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left"/>
        <w:rPr>
          <w:b/>
          <w:sz w:val="28"/>
          <w:lang w:val="vi-VN"/>
        </w:rPr>
      </w:pP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8874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8874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275/2026/0841/VFI-CT.53.A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THIẾT BỊ GIÁO DỤC SÔNG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908 tại nhà ĐN1- OCT2, phường Đại Kim, quận Hoàng Mai, thành phố Hà Nội (nay là Phường Định Công, Thành phố Hà Nội) theo Gi</w:t>
                            </w:r>
                            <w:r>
                              <w:rPr>
                                <w:color w:val="000000"/>
                              </w:rPr>
                              <w:t xml:space="preserve">ấy chứng nhận quyền sử dụng đất, quyền sở hữu nhà ở và tài sản khác gắn liền với đất số: BL 750325, số vào sổ cấp GCN: CH 01528/Hđ: 1876/1992 do Uỷ ban Nhân dân Quận Hoàng Mai cấp ngày 25/09/2012; Chủ sở hữu căn hộ là Ông Nguyễn Mạnh Hùng và Bà Hà Anh Xuân</w:t>
                            </w:r>
                            <w:r>
                              <w:rPr>
                                <w:bCs/>
                                <w:i/>
                                <w:iCs/>
                              </w:rPr>
                              <w:t xml:space="preserve">.</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06.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275/2026/0841/VFI-CT.53.A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CÔNG TY CỔ PHẦN THIẾT BỊ GIÁO DỤC SÔNG VIỆT</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sở hữu căn hộ chung cư số 908 tại nhà ĐN1- OCT2, phường Đại Kim, quận Hoàng Mai, thành phố Hà Nội (nay là Phường Định Công, Thành phố Hà Nội) theo Gi</w:t>
                      </w:r>
                      <w:r>
                        <w:rPr>
                          <w:color w:val="000000"/>
                        </w:rPr>
                        <w:t xml:space="preserve">ấy chứng nhận quyền sử dụng đất, quyền sở hữu nhà ở và tài sản khác gắn liền với đất số: BL 750325, số vào sổ cấp GCN: CH 01528/Hđ: 1876/1992 do Uỷ ban Nhân dân Quận Hoàng Mai cấp ngày 25/09/2012; Chủ sở hữu căn hộ là Ông Nguyễn Mạnh Hùng và Bà Hà Anh Xuân</w:t>
                      </w:r>
                      <w:r>
                        <w:rPr>
                          <w:bCs/>
                          <w:i/>
                          <w:iCs/>
                        </w:rPr>
                        <w:t xml:space="preserve">.</w:t>
                      </w:r>
                      <w:r>
                        <w:rPr>
                          <w:bCs/>
                          <w:i/>
                          <w:iCs/>
                        </w:rPr>
                      </w:r>
                      <w:r>
                        <w:rPr>
                          <w:bCs/>
                          <w:i/>
                          <w:iCs/>
                        </w:rPr>
                      </w:r>
                    </w:p>
                    <w:p>
                      <w:pPr>
                        <w:pBdr/>
                        <w:spacing w:after="120" w:before="120" w:line="360" w:lineRule="auto"/>
                        <w:ind/>
                        <w:jc w:val="center"/>
                        <w:rPr>
                          <w:bCs/>
                          <w:i/>
                        </w:rPr>
                      </w:pPr>
                      <w:r>
                        <w:rPr>
                          <w:highlight w:val="none"/>
                          <w:lang w:val="pt-BR"/>
                        </w:rPr>
                      </w:r>
                      <w:r>
                        <w:rPr>
                          <w:bCs/>
                          <w:i/>
                        </w:rPr>
                      </w:r>
                      <w:r>
                        <w:rPr>
                          <w:bCs/>
                          <w:i/>
                        </w:rPr>
                      </w:r>
                    </w:p>
                    <w:p>
                      <w:pPr>
                        <w:pBdr/>
                        <w:spacing w:after="120" w:before="120" w:line="360" w:lineRule="auto"/>
                        <w:ind/>
                        <w:jc w:val="center"/>
                        <w:rPr>
                          <w:iCs/>
                          <w:highlight w:val="none"/>
                          <w:lang w:val="pt-BR"/>
                        </w:rPr>
                      </w:pPr>
                      <w:r>
                        <w:rPr>
                          <w:b/>
                          <w:bCs/>
                          <w:lang w:val="pt-BR"/>
                        </w:rPr>
                        <w:t xml:space="preserve">Thời điểm thẩm định: </w:t>
                      </w:r>
                      <w:r>
                        <w:rPr>
                          <w:color w:val="000000" w:themeColor="text1"/>
                          <w:lang w:val="pt-BR"/>
                        </w:rPr>
                        <w:t xml:space="preserve">Tháng 06/2026</w:t>
                      </w:r>
                      <w:r>
                        <w:rPr>
                          <w:lang w:val="pt-BR"/>
                        </w:rPr>
                        <w:t xml:space="preserve">.</w:t>
                      </w:r>
                      <w:r>
                        <w:rPr>
                          <w:iCs/>
                          <w:highlight w:val="none"/>
                          <w:lang w:val="pt-BR"/>
                        </w:rPr>
                      </w:r>
                      <w:r>
                        <w:rPr>
                          <w:iCs/>
                          <w:highlight w:val="none"/>
                          <w:lang w:val="pt-BR"/>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highlight w:val="yellow"/>
                <w:u w:val="single"/>
              </w:rPr>
            </w:pPr>
            <w:r>
              <w:rPr>
                <w:rFonts w:eastAsia="Calibri"/>
                <w:b/>
                <w:highlight w:val="yellow"/>
                <w:u w:val="single"/>
              </w:rPr>
              <w:t xml:space="preserve">NỘI DUNG</w:t>
            </w:r>
            <w:r>
              <w:rPr>
                <w:rFonts w:eastAsia="Calibri"/>
                <w:b/>
                <w:highlight w:val="yellow"/>
                <w:u w:val="single"/>
              </w:rPr>
            </w:r>
            <w:r>
              <w:rPr>
                <w:rFonts w:eastAsia="Calibri"/>
                <w:b/>
                <w:highlight w:val="yellow"/>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u w:val="single"/>
              </w:rPr>
            </w:pPr>
            <w:r>
              <w:rPr>
                <w:b/>
                <w:highlight w:val="yellow"/>
                <w:u w:val="single"/>
              </w:rPr>
              <w:t xml:space="preserve">TRANG</w:t>
            </w:r>
            <w:r>
              <w:rPr>
                <w:b/>
                <w:highlight w:val="yellow"/>
                <w:u w:val="single"/>
              </w:rPr>
            </w:r>
            <w:r>
              <w:rPr>
                <w:b/>
                <w:highlight w:val="yellow"/>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highlight w:val="yellow"/>
              </w:rPr>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Chứng thư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1-3</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Báo cáo thẩm định giá</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highlight w:val="yellow"/>
              </w:rPr>
            </w:pPr>
            <w:r>
              <w:rPr>
                <w:b/>
                <w:color w:val="000000" w:themeColor="text1"/>
                <w:highlight w:val="yellow"/>
              </w:rPr>
              <w:t xml:space="preserve">4-17</w:t>
            </w:r>
            <w:r>
              <w:rPr>
                <w:b/>
                <w:highlight w:val="yellow"/>
              </w:rPr>
            </w:r>
            <w:r>
              <w:rPr>
                <w:b/>
                <w:highlight w:val="yellow"/>
              </w:rPr>
            </w:r>
          </w:p>
        </w:tc>
      </w:tr>
      <w:tr>
        <w:trPr/>
        <w:tc>
          <w:tcPr>
            <w:tcBorders/>
            <w:tcMar>
              <w:left w:w="108" w:type="dxa"/>
              <w:right w:w="108" w:type="dxa"/>
            </w:tcMar>
            <w:tcW w:w="7280" w:type="dxa"/>
            <w:vAlign w:val="center"/>
            <w:textDirection w:val="lrTb"/>
            <w:noWrap w:val="false"/>
          </w:tcPr>
          <w:p>
            <w:pPr>
              <w:pBdr/>
              <w:spacing w:after="120" w:before="100" w:beforeAutospacing="1"/>
              <w:ind/>
              <w:rPr>
                <w:b/>
                <w:highlight w:val="yellow"/>
              </w:rPr>
            </w:pPr>
            <w:r>
              <w:rPr>
                <w:b/>
                <w:highlight w:val="yellow"/>
              </w:rPr>
              <w:t xml:space="preserve">Các phụ lục chi tiết kèm theo</w:t>
            </w:r>
            <w:r>
              <w:rPr>
                <w:b/>
                <w:highlight w:val="yellow"/>
              </w:rPr>
            </w:r>
            <w:r>
              <w:rPr>
                <w:b/>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highlight w:val="yellow"/>
              </w:rPr>
            </w:pPr>
            <w:r>
              <w:rPr>
                <w:b/>
                <w:bCs/>
                <w:highlight w:val="yellow"/>
              </w:rPr>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yellow"/>
              </w:rPr>
            </w:pPr>
            <w:r>
              <w:rPr>
                <w:bCs/>
                <w:highlight w:val="yellow"/>
                <w:lang w:val="pt-BR"/>
              </w:rPr>
              <w:t xml:space="preserve">Phụ lục 1: Thông tin hiện trạng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18</w:t>
            </w:r>
            <w:r>
              <w:rPr>
                <w:b/>
                <w:bCs/>
                <w:highlight w:val="yellow"/>
              </w:rPr>
            </w:r>
            <w:r>
              <w:rPr>
                <w:b/>
                <w:bCs/>
                <w:highlight w:val="yellow"/>
              </w:rPr>
            </w:r>
          </w:p>
        </w:tc>
      </w:tr>
      <w:tr>
        <w:trPr/>
        <w:tc>
          <w:tcPr>
            <w:tcBorders/>
            <w:tcMar>
              <w:left w:w="108" w:type="dxa"/>
              <w:right w:w="108" w:type="dxa"/>
            </w:tcMar>
            <w:tcW w:w="7280" w:type="dxa"/>
            <w:vAlign w:val="center"/>
            <w:textDirection w:val="lrTb"/>
            <w:noWrap w:val="false"/>
          </w:tcPr>
          <w:p>
            <w:pPr>
              <w:pStyle w:val="1025"/>
              <w:pBdr/>
              <w:tabs>
                <w:tab w:val="left" w:leader="none" w:pos="993"/>
              </w:tabs>
              <w:spacing w:after="120" w:before="120" w:line="288" w:lineRule="auto"/>
              <w:ind w:left="0"/>
              <w:jc w:val="both"/>
              <w:rPr>
                <w:bCs/>
                <w:highlight w:val="yellow"/>
              </w:rPr>
            </w:pPr>
            <w:r>
              <w:rPr>
                <w:bCs/>
                <w:highlight w:val="yellow"/>
                <w:lang w:val="pt-BR"/>
              </w:rPr>
              <w:t xml:space="preserve">Phụ lục 2: Thông tin thu thập thị trường</w:t>
            </w:r>
            <w:r>
              <w:rPr>
                <w:bCs/>
                <w:highlight w:val="yellow"/>
              </w:rPr>
            </w:r>
            <w:r>
              <w:rPr>
                <w:bCs/>
                <w:highlight w:val="yellow"/>
              </w:rPr>
            </w:r>
          </w:p>
        </w:tc>
        <w:tc>
          <w:tcPr>
            <w:tcBorders/>
            <w:tcMar>
              <w:left w:w="108" w:type="dxa"/>
              <w:right w:w="108" w:type="dxa"/>
            </w:tcMar>
            <w:tcW w:w="1520" w:type="dxa"/>
            <w:vAlign w:val="center"/>
            <w:textDirection w:val="lrTb"/>
            <w:noWrap w:val="false"/>
          </w:tcPr>
          <w:p>
            <w:pPr>
              <w:pBdr/>
              <w:spacing w:after="120" w:before="100" w:beforeAutospacing="1"/>
              <w:ind/>
              <w:jc w:val="right"/>
              <w:rPr>
                <w:b/>
                <w:bCs/>
                <w:highlight w:val="yellow"/>
              </w:rPr>
            </w:pPr>
            <w:r>
              <w:rPr>
                <w:b/>
                <w:bCs/>
                <w:highlight w:val="yellow"/>
              </w:rPr>
              <w:t xml:space="preserve">19-22</w:t>
            </w:r>
            <w:r>
              <w:rPr>
                <w:b/>
                <w:bCs/>
                <w:highlight w:val="yellow"/>
              </w:rPr>
            </w:r>
            <w:r>
              <w:rPr>
                <w:b/>
                <w:bCs/>
                <w:highlight w:val="yellow"/>
              </w:rPr>
            </w:r>
          </w:p>
        </w:tc>
      </w:tr>
    </w:tbl>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4"/>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4414" w:type="dxa"/>
        <w:tblBorders/>
        <w:tblLayout w:type="fixed"/>
        <w:tblLook w:val="04A0" w:firstRow="1" w:lastRow="0" w:firstColumn="1" w:lastColumn="0" w:noHBand="0" w:noVBand="1"/>
      </w:tblPr>
      <w:tblGrid>
        <w:gridCol w:w="856"/>
        <w:gridCol w:w="874"/>
        <w:gridCol w:w="12684"/>
      </w:tblGrid>
      <w:tr>
        <w:trPr>
          <w:trHeight w:val="1152"/>
        </w:trPr>
        <w:tc>
          <w:tcPr>
            <w:gridSpan w:val="2"/>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68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482"/>
        </w:trPr>
        <w:tc>
          <w:tcPr>
            <w:gridSpan w:val="2"/>
            <w:shd w:val="clear" w:color="auto" w:fill="auto"/>
            <w:tcBorders/>
            <w:tcMar>
              <w:left w:w="108" w:type="dxa"/>
              <w:top w:w="0" w:type="dxa"/>
              <w:right w:w="108" w:type="dxa"/>
              <w:bottom w:w="0" w:type="dxa"/>
            </w:tcMar>
            <w:tcW w:w="13558"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275/2026/0841/VFI-CT.53.A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4"/>
        <w:pBdr/>
        <w:spacing w:after="120" w:before="200" w:line="288" w:lineRule="auto"/>
        <w:ind/>
        <w:jc w:val="center"/>
        <w:rPr>
          <w:rStyle w:val="1023"/>
          <w:rFonts w:ascii="Times New Roman" w:hAnsi="Times New Roman"/>
          <w:b/>
          <w:bCs/>
          <w:color w:val="auto"/>
          <w:sz w:val="30"/>
          <w:szCs w:val="30"/>
          <w:lang w:val="vi-VN"/>
        </w:rPr>
      </w:pPr>
      <w:r>
        <w:rPr>
          <w:rStyle w:val="1023"/>
          <w:rFonts w:ascii="Times New Roman" w:hAnsi="Times New Roman"/>
          <w:b/>
          <w:bCs/>
          <w:color w:val="auto"/>
          <w:sz w:val="30"/>
          <w:szCs w:val="30"/>
          <w:lang w:val="vi-VN"/>
        </w:rPr>
        <w:t xml:space="preserve">CHỨNG THƯ THẨM ĐỊNH GIÁ</w:t>
      </w:r>
      <w:r>
        <w:rPr>
          <w:rStyle w:val="1023"/>
          <w:rFonts w:ascii="Times New Roman" w:hAnsi="Times New Roman"/>
          <w:b/>
          <w:bCs/>
          <w:color w:val="auto"/>
          <w:sz w:val="30"/>
          <w:szCs w:val="30"/>
          <w:lang w:val="vi-VN"/>
        </w:rPr>
      </w:r>
      <w:r>
        <w:rPr>
          <w:rStyle w:val="1023"/>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CỔ PHẦN THIẾT BỊ GIÁO DỤC SÔNG VIỆT</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275/2026/0841/VFI-HĐTĐ.53.A</w:t>
      </w:r>
      <w:r>
        <w:rPr>
          <w:spacing w:val="-4"/>
          <w:lang w:val="vi-VN"/>
        </w:rPr>
        <w:t xml:space="preserve"> ký ngày </w:t>
      </w:r>
      <w:r>
        <w:rPr>
          <w:color w:val="000000" w:themeColor="text1"/>
          <w:spacing w:val="-4"/>
        </w:rPr>
        <w:t xml:space="preserve">20 tháng 5 năm 2026</w:t>
      </w:r>
      <w:r>
        <w:rPr>
          <w:spacing w:val="-4"/>
          <w:lang w:val="vi-VN"/>
        </w:rPr>
        <w:t xml:space="preserve"> </w:t>
      </w:r>
      <w:r>
        <w:rPr>
          <w:spacing w:val="-4"/>
          <w:lang w:val="vi-VN"/>
        </w:rPr>
        <w:t xml:space="preserve">giữa </w:t>
      </w:r>
      <w:r>
        <w:rPr>
          <w:color w:val="000000" w:themeColor="text1"/>
          <w:spacing w:val="-4"/>
        </w:rPr>
        <w:t xml:space="preserve">CÔNG TY CỔ PHẦN THIẾT BỊ GIÁO DỤC SÔNG VIỆT</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275/2026/0841/VFI-BC.53.A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CÔNG TY CỔ PHẦN THIẾT BỊ GIÁO DỤC SÔNG VIỆT</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0104280908</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 111- Lô A- Khu đô thị Đại Kim- Định Công, phường Đại Kim, quận Hoàng Mai, Thành phố Hà Nội( Nay là phường Định Công, thành phố Hà Nội)</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
                <w:bCs/>
                <w:color w:val="000000" w:themeColor="text1"/>
              </w:rPr>
            </w:pPr>
            <w:r>
              <w:rPr>
                <w:b/>
                <w:bCs/>
                <w:color w:val="000000"/>
                <w:lang w:val="pt-BR"/>
              </w:rPr>
              <w:t xml:space="preserve">:</w:t>
            </w:r>
            <w:r>
              <w:rPr>
                <w:b/>
                <w:bCs/>
                <w:color w:val="000000" w:themeColor="text1"/>
              </w:rPr>
            </w:r>
            <w:r>
              <w:rPr>
                <w:b/>
                <w:bCs/>
                <w:color w:val="000000" w:themeColor="text1"/>
              </w:rPr>
            </w:r>
          </w:p>
        </w:tc>
        <w:tc>
          <w:tcPr>
            <w:tcBorders/>
            <w:tcW w:w="3643" w:type="pct"/>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Khương Khải Định   – Chức vụ: Tổng giám đốc</w:t>
            </w:r>
            <w:r>
              <w:rPr>
                <w:b/>
                <w:bCs/>
                <w:color w:val="ff0000"/>
              </w:rPr>
            </w:r>
            <w:r>
              <w:rPr>
                <w:b/>
                <w:bCs/>
                <w:color w:val="ff0000"/>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sở hữu căn hộ chung cư số 908 tại nhà ĐN1- OCT2, phường Đại Kim, quận Hoàng Mai, thành phố Hà Nội (nay là Phường Định Công, Thành phố Hà Nội) theo Gi</w:t>
      </w:r>
      <w:r>
        <w:rPr>
          <w:color w:val="000000" w:themeColor="text1"/>
        </w:rPr>
        <w:t xml:space="preserve">ấy chứng nhận quyền sử dụng đất, quyền sở hữu nhà ở và tài sản khác gắn liền với đất số: BL 750325, số vào sổ cấp GCN: CH 01528/Hđ: 1876/1992 do Uỷ ban Nhân dân Quận Hoàng Mai cấp ngày 25/09/2012; Chủ sở hữu căn hộ là Ông Nguyễn Mạnh Hùng và Bà Hà Anh Xuân</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b/>
                <w:bCs/>
                <w:color w:val="000000"/>
              </w:rPr>
              <w:t xml:space="preserve">Quyền sở hữu căn hộ chung cư số 908 tại nhà ĐN1- OCT2, phường Đại Kim, quận Hoàng Mai, thành phố Hà Nội (nay là Phường Định Công, Thành phố Hà Nội) theo Gi</w:t>
            </w:r>
            <w:r>
              <w:rPr>
                <w:b/>
                <w:bCs/>
                <w:color w:val="000000"/>
              </w:rPr>
              <w:t xml:space="preserve">ấy chứng nhận quyền sử dụng đất, quyền sở hữu nhà ở và tài sản khác gắn liền với đất số: BL 750325, số vào sổ cấp GCN: CH 01528/Hđ: 1876/1992 do Uỷ ban Nhân dân Quận Hoàng Mai cấp ngày 25/09/2012; Chủ sở hữu căn hộ là Ông Nguyễn Mạnh Hùng và Bà Hà Anh Xuân</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Căn hộ chung cư </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71</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4.970.000.000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4.970.000.000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bảy mươi triệu đồng chẵn</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4417" w:type="dxa"/>
        <w:tblBorders/>
        <w:tblLayout w:type="fixed"/>
        <w:tblLook w:val="04A0" w:firstRow="1" w:lastRow="0" w:firstColumn="1" w:lastColumn="0" w:noHBand="0" w:noVBand="1"/>
      </w:tblPr>
      <w:tblGrid>
        <w:gridCol w:w="856"/>
        <w:gridCol w:w="732"/>
        <w:gridCol w:w="12830"/>
      </w:tblGrid>
      <w:tr>
        <w:trPr>
          <w:trHeight w:val="1843"/>
        </w:trPr>
        <w:tc>
          <w:tcPr>
            <w:gridSpan w:val="2"/>
            <w:tcBorders/>
            <w:tcW w:w="158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12830"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5"/>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Before w:val="1"/>
          <w:trHeight w:val="84"/>
        </w:trPr>
        <w:tc>
          <w:tcPr>
            <w:gridSpan w:val="2"/>
            <w:shd w:val="clear" w:color="auto" w:fill="auto"/>
            <w:tcBorders/>
            <w:tcMar>
              <w:left w:w="108" w:type="dxa"/>
              <w:top w:w="0" w:type="dxa"/>
              <w:right w:w="108" w:type="dxa"/>
              <w:bottom w:w="0" w:type="dxa"/>
            </w:tcMar>
            <w:tcW w:w="13562" w:type="dxa"/>
            <w:textDirection w:val="lrTb"/>
            <w:noWrap w:val="false"/>
          </w:tcPr>
          <w:p>
            <w:pPr>
              <w:pStyle w:val="1024"/>
              <w:pBdr/>
              <w:spacing w:after="60"/>
              <w:ind/>
              <w:rPr>
                <w:color w:val="000000" w:themeColor="text1"/>
                <w:sz w:val="24"/>
                <w:szCs w:val="24"/>
              </w:rPr>
            </w:pPr>
            <w:r>
              <w:rPr>
                <w:rStyle w:val="1023"/>
                <w:rFonts w:ascii="Times New Roman" w:hAnsi="Times New Roman"/>
                <w:color w:val="000000" w:themeColor="text1"/>
                <w:lang w:val="pt-BR"/>
              </w:rPr>
              <w:t xml:space="preserve">Số: </w:t>
            </w:r>
            <w:r>
              <w:rPr>
                <w:rStyle w:val="1023"/>
                <w:rFonts w:ascii="Times New Roman" w:hAnsi="Times New Roman"/>
                <w:color w:val="000000" w:themeColor="text1"/>
                <w:lang w:val="pt-BR"/>
              </w:rPr>
              <w:t xml:space="preserve">275/2026/0841/VFI-BC.53.A</w:t>
            </w:r>
            <w:r>
              <w:rPr>
                <w:color w:val="000000" w:themeColor="text1"/>
                <w:sz w:val="24"/>
                <w:szCs w:val="24"/>
              </w:rPr>
            </w:r>
            <w:r>
              <w:rPr>
                <w:color w:val="000000" w:themeColor="text1"/>
                <w:sz w:val="24"/>
                <w:szCs w:val="24"/>
              </w:rPr>
            </w:r>
          </w:p>
          <w:p>
            <w:pPr>
              <w:pStyle w:val="1024"/>
              <w:pBdr/>
              <w:spacing w:after="60"/>
              <w:ind w:right="-56"/>
              <w:jc w:val="center"/>
              <w:rPr>
                <w:color w:val="000000" w:themeColor="text1"/>
                <w:sz w:val="24"/>
                <w:szCs w:val="24"/>
                <w:lang w:val="vi-VN"/>
              </w:rPr>
            </w:pPr>
            <w:r>
              <w:rPr>
                <w:rStyle w:val="1023"/>
                <w:rFonts w:ascii="Times New Roman" w:hAnsi="Times New Roman"/>
                <w:i/>
                <w:color w:val="auto"/>
              </w:rPr>
              <w:t xml:space="preserve">TP. Hà Nội</w:t>
            </w:r>
            <w:r>
              <w:rPr>
                <w:rStyle w:val="1023"/>
                <w:rFonts w:ascii="Times New Roman" w:hAnsi="Times New Roman"/>
                <w:i/>
                <w:color w:val="auto"/>
                <w:lang w:val="vi-VN"/>
              </w:rPr>
              <w:t xml:space="preserve">, </w:t>
            </w:r>
            <w:r>
              <w:rPr>
                <w:rStyle w:val="1023"/>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r>
        <w:trPr>
          <w:gridBefore w:val="1"/>
          <w:trHeight w:val="84"/>
        </w:trPr>
        <w:tc>
          <w:tcPr>
            <w:shd w:val="clear" w:color="auto" w:fill="auto"/>
            <w:tcBorders/>
            <w:tcMar>
              <w:left w:w="108" w:type="dxa"/>
              <w:top w:w="0" w:type="dxa"/>
              <w:right w:w="108" w:type="dxa"/>
              <w:bottom w:w="0" w:type="dxa"/>
            </w:tcMar>
            <w:tcW w:w="732" w:type="dxa"/>
            <w:textDirection w:val="lrTb"/>
            <w:noWrap w:val="false"/>
          </w:tcPr>
          <w:p>
            <w:pPr>
              <w:pStyle w:val="1024"/>
              <w:pBdr/>
              <w:spacing w:after="60"/>
              <w:ind/>
              <w:rPr>
                <w:rStyle w:val="1023"/>
                <w:rFonts w:ascii="Times New Roman" w:hAnsi="Times New Roman"/>
                <w:color w:val="000000" w:themeColor="text1"/>
                <w:lang w:val="pt-BR"/>
              </w:rPr>
            </w:pPr>
            <w:r>
              <w:rPr>
                <w:rStyle w:val="1023"/>
                <w:rFonts w:ascii="Times New Roman" w:hAnsi="Times New Roman"/>
                <w:color w:val="000000" w:themeColor="text1"/>
                <w:lang w:val="pt-BR"/>
              </w:rPr>
            </w:r>
            <w:r>
              <w:rPr>
                <w:rStyle w:val="1023"/>
                <w:rFonts w:ascii="Times New Roman" w:hAnsi="Times New Roman"/>
                <w:color w:val="000000" w:themeColor="text1"/>
                <w:lang w:val="pt-BR"/>
              </w:rPr>
            </w:r>
            <w:r>
              <w:rPr>
                <w:rStyle w:val="1023"/>
                <w:rFonts w:ascii="Times New Roman" w:hAnsi="Times New Roman"/>
                <w:color w:val="000000" w:themeColor="text1"/>
                <w:lang w:val="pt-BR"/>
              </w:rPr>
            </w:r>
          </w:p>
        </w:tc>
        <w:tc>
          <w:tcPr>
            <w:shd w:val="clear" w:color="auto" w:fill="auto"/>
            <w:tcBorders/>
            <w:tcMar>
              <w:left w:w="108" w:type="dxa"/>
              <w:top w:w="0" w:type="dxa"/>
              <w:right w:w="108" w:type="dxa"/>
              <w:bottom w:w="0" w:type="dxa"/>
            </w:tcMar>
            <w:tcW w:w="12830" w:type="dxa"/>
            <w:textDirection w:val="lrTb"/>
            <w:noWrap w:val="false"/>
          </w:tcPr>
          <w:p>
            <w:pPr>
              <w:pStyle w:val="1024"/>
              <w:pBdr/>
              <w:spacing w:after="60"/>
              <w:ind w:right="-56"/>
              <w:rPr>
                <w:rStyle w:val="1023"/>
                <w:rFonts w:ascii="Times New Roman" w:hAnsi="Times New Roman"/>
                <w:i/>
                <w:color w:val="auto"/>
              </w:rPr>
            </w:pPr>
            <w:r>
              <w:rPr>
                <w:rFonts w:ascii="Times New Roman" w:hAnsi="Times New Roman"/>
                <w:i/>
                <w:color w:val="auto"/>
              </w:rPr>
            </w:r>
            <w:r>
              <w:rPr>
                <w:rStyle w:val="1023"/>
                <w:rFonts w:ascii="Times New Roman" w:hAnsi="Times New Roman"/>
                <w:i/>
                <w:color w:val="auto"/>
              </w:rPr>
            </w:r>
            <w:r>
              <w:rPr>
                <w:rStyle w:val="1023"/>
                <w:rFonts w:ascii="Times New Roman" w:hAnsi="Times New Roman"/>
                <w:i/>
                <w:color w:val="auto"/>
              </w:rPr>
            </w:r>
          </w:p>
        </w:tc>
      </w:tr>
    </w:tbl>
    <w:p>
      <w:pPr>
        <w:pStyle w:val="1024"/>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4"/>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275/2026/0841/VFI-CT.53.A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4"/>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5"/>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ind/>
              <w:rPr/>
            </w:pPr>
            <w:r>
              <w:rPr>
                <w:b/>
                <w:bCs/>
              </w:rPr>
              <w:t xml:space="preserve">CÔNG TY CỔ PHẦN THIẾT BỊ GIÁO DỤC SÔNG VIỆT</w:t>
            </w: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MST/CMTND/CCCD:</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0104280908</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Ô 111- Lô A- Khu đô thị Đại Kim- Định Công, phường Đại Kim, quận Hoàng Mai, Thành phố Hà Nội( Nay là phường Định Công, thành phố Hà Nội)</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Đại diện</w:t>
            </w:r>
            <w:r>
              <w:rPr>
                <w:bCs/>
                <w:color w:val="000000" w:themeColor="text1"/>
                <w:lang w:val="pt-BR"/>
              </w:rPr>
            </w:r>
            <w:r>
              <w:rPr>
                <w:bCs/>
                <w:color w:val="000000" w:themeColor="text1"/>
                <w:lang w:val="pt-BR"/>
              </w:rPr>
            </w:r>
          </w:p>
        </w:tc>
        <w:tc>
          <w:tcPr>
            <w:tcBorders/>
            <w:tcW w:w="284" w:type="dxa"/>
            <w:vAlign w:val="center"/>
            <w:textDirection w:val="lrTb"/>
            <w:noWrap w:val="false"/>
          </w:tcPr>
          <w:p>
            <w:pPr>
              <w:pBdr/>
              <w:spacing w:after="40" w:before="40" w:line="276" w:lineRule="auto"/>
              <w:ind/>
              <w:jc w:val="center"/>
              <w:rPr>
                <w:b/>
                <w:bCs/>
                <w:color w:val="000000" w:themeColor="text1"/>
              </w:rPr>
            </w:pPr>
            <w:r>
              <w:rPr>
                <w:b/>
                <w:bCs/>
                <w:color w:val="000000"/>
                <w:lang w:val="pt-BR"/>
              </w:rPr>
              <w:t xml:space="preserve">:</w:t>
            </w:r>
            <w:r>
              <w:rPr>
                <w:b/>
                <w:bCs/>
                <w:color w:val="000000" w:themeColor="text1"/>
              </w:rPr>
            </w:r>
            <w:r>
              <w:rPr>
                <w:b/>
                <w:bCs/>
                <w:color w:val="000000" w:themeColor="text1"/>
              </w:rPr>
            </w:r>
          </w:p>
        </w:tc>
        <w:tc>
          <w:tcPr>
            <w:tcBorders/>
            <w:tcW w:w="6945" w:type="dxa"/>
            <w:vAlign w:val="center"/>
            <w:textDirection w:val="lrTb"/>
            <w:noWrap w:val="false"/>
          </w:tcPr>
          <w:p>
            <w:pPr>
              <w:pBdr/>
              <w:spacing w:after="40" w:before="40" w:line="276" w:lineRule="auto"/>
              <w:ind/>
              <w:jc w:val="both"/>
              <w:rPr>
                <w:b/>
                <w:bCs/>
                <w:color w:val="ff0000"/>
              </w:rPr>
            </w:pPr>
            <w:r>
              <w:rPr>
                <w:b/>
                <w:bCs/>
                <w:color w:val="000000" w:themeColor="text1"/>
                <w:lang w:val="vi-VN"/>
              </w:rPr>
              <w:t xml:space="preserve">Khương Khải Định   – Chức vụ: Tổng giám đốc</w:t>
            </w:r>
            <w:r>
              <w:rPr>
                <w:b/>
                <w:bCs/>
                <w:color w:val="ff0000"/>
              </w:rPr>
            </w:r>
            <w:r>
              <w:rPr>
                <w:b/>
                <w:bCs/>
                <w:color w:val="ff0000"/>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sở hữu căn hộ chung cư số 908 tại nhà ĐN1- OCT2, phường Đại Kim, quận Hoàng Mai, thành phố Hà Nội (nay là Phường Định Công, Thành phố Hà Nội) theo Gi</w:t>
            </w:r>
            <w:r>
              <w:rPr>
                <w:bCs/>
                <w:color w:val="000000" w:themeColor="text1"/>
                <w:lang w:val="pt-BR"/>
              </w:rPr>
              <w:t xml:space="preserve">ấy chứng nhận quyền sử dụng đất, quyền sở hữu nhà ở và tài sản khác gắn liền với đất số: BL 750325, số vào sổ cấp GCN: CH 01528/Hđ: 1876/1992 do Uỷ ban Nhân dân Quận Hoàng Mai cấp ngày 25/09/2012; Chủ sở hữu căn hộ là Ông Nguyễn Mạnh Hùng và Bà Hà Anh Xuân</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Phường Định Công,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5"/>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20.972833333333, 105.82844444444</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5"/>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r>
            <w:r>
              <w:rPr>
                <w:lang w:val="pt-BR"/>
              </w:rPr>
              <w:t xml:space="preserve">Ngày 20/05/2026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5"/>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5"/>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5"/>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5"/>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5"/>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5"/>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5"/>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5"/>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5"/>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w:t>
      </w:r>
      <w:r>
        <w:rPr>
          <w:bCs/>
          <w:color w:val="000000" w:themeColor="text1"/>
          <w:lang w:val="pt-BR"/>
        </w:rPr>
        <w:t xml:space="preserve">ấy chứng nhận quyền sử dụng đất, quyền sở hữu nhà ở và tài sản khác gắn liền với đất số: BL 750325, số vào sổ cấp GCN: CH 01528/Hđ: 1876/1992 do Uỷ ban Nhân dân Quận Hoàng Mai cấp ngày 25/09/2012; Chủ sở hữu căn hộ là Ôn</w:t>
      </w:r>
      <w:r>
        <w:rPr>
          <w:bCs/>
          <w:color w:val="000000" w:themeColor="text1"/>
          <w:lang w:val="pt-BR"/>
        </w:rPr>
        <w:t xml:space="preserve">g Nguyễn Mạnh Hùng và Bà Hà An</w:t>
      </w:r>
      <w:r>
        <w:rPr>
          <w:bCs/>
          <w:color w:val="000000" w:themeColor="text1"/>
          <w:lang w:val="pt-BR"/>
        </w:rPr>
        <w:t xml:space="preserve">h Xuân</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5"/>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275/2026/0841/VFI-HĐTĐ.53.A ngày 20/05/2026 giữa CÔNG TY CỔ PHẦN THIẾT BỊ GIÁO DỤC SÔNG VIỆT với Công ty Cổ phần Thẩm định và Đầu tư Tài chính Hoa Sen.</w:t>
      </w:r>
      <w:r>
        <w:rPr>
          <w:b/>
          <w:lang w:val="pt-BR"/>
        </w:rPr>
      </w:r>
      <w:r>
        <w:rPr>
          <w:b/>
          <w:lang w:val="pt-BR"/>
        </w:rPr>
      </w:r>
    </w:p>
    <w:p>
      <w:pPr>
        <w:pStyle w:val="1025"/>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rFonts w:ascii="Times New Roman" w:hAnsi="Times New Roman" w:cs="Times New Roman"/>
          <w:i/>
          <w:iCs/>
          <w:color w:val="000000" w:themeColor="text1"/>
          <w:sz w:val="24"/>
          <w:szCs w:val="24"/>
          <w:highlight w:val="none"/>
        </w:rPr>
      </w:pPr>
      <w:r>
        <w:rPr>
          <w:rFonts w:ascii="Times New Roman" w:hAnsi="Times New Roman" w:eastAsia="Times New Roman" w:cs="Times New Roman"/>
          <w:color w:val="000000" w:themeColor="text1"/>
          <w:sz w:val="24"/>
          <w:szCs w:val="24"/>
          <w:lang w:val="pt-BR"/>
        </w:rPr>
        <w:tab/>
      </w:r>
      <w:r>
        <w:rPr>
          <w:rFonts w:ascii="Times New Roman" w:hAnsi="Times New Roman" w:eastAsia="Times New Roman" w:cs="Times New Roman"/>
          <w:color w:val="000000" w:themeColor="text1"/>
          <w:sz w:val="24"/>
          <w:szCs w:val="24"/>
        </w:rPr>
        <w:t xml:space="preserve">Quận Hoàng Mai, được thành lập vào năm 2004, sở hữu diện tích tự nhiên 41km2, đứng thứ tư về diện tích trong số các quận của Hà Nội. Sau quá trình sắp xếp lại đơn vị hành chính vào năm 2025, số lượng phường của quận đã giảm từ 14 xuống còn 7, nhằm tối ưu h</w:t>
      </w:r>
      <w:r>
        <w:rPr>
          <w:rFonts w:ascii="Times New Roman" w:hAnsi="Times New Roman" w:eastAsia="Times New Roman" w:cs="Times New Roman"/>
          <w:color w:val="000000" w:themeColor="text1"/>
          <w:sz w:val="24"/>
          <w:szCs w:val="24"/>
        </w:rPr>
        <w:t xml:space="preserve">óa quản lý và thúc đẩy phát triển đồng bộ. Sự thay đổi này không chỉ đơn thuần là điều chỉnh địa giới mà còn mở ra cơ hội để quận Hoàng Mai định hình lại chiến lược phát triển trong giai đoạn mới.</w:t>
      </w:r>
      <w:r>
        <w:rPr>
          <w:rFonts w:ascii="Times New Roman" w:hAnsi="Times New Roman" w:cs="Times New Roman"/>
          <w:i/>
          <w:iCs/>
          <w:color w:val="000000" w:themeColor="text1"/>
          <w:sz w:val="24"/>
          <w:szCs w:val="24"/>
          <w:highlight w:val="none"/>
        </w:rPr>
      </w:r>
      <w:r>
        <w:rPr>
          <w:rFonts w:ascii="Times New Roman" w:hAnsi="Times New Roman" w:cs="Times New Roman"/>
          <w:i/>
          <w:iCs/>
          <w:color w:val="000000" w:themeColor="text1"/>
          <w:sz w:val="24"/>
          <w:szCs w:val="24"/>
          <w:highlight w:val="none"/>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r>
      <w:r>
        <w:rPr>
          <w:rFonts w:ascii="Times New Roman" w:hAnsi="Times New Roman" w:eastAsia="Times New Roman" w:cs="Times New Roman"/>
          <w:color w:val="000000" w:themeColor="text1"/>
          <w:sz w:val="24"/>
          <w:szCs w:val="24"/>
        </w:rPr>
        <w:t xml:space="preserve">Với lợi thế về vị trí và diện tích, quận Hoàng Mai được định hướng trở thành một trong những khu vực phát triển năng động của Hà Nội. Chính quyền địa phương đang tập trung vào việc nâng cấp hạ tầng giao thông, thu hút đầu tư vào các dự án nhà ở và khu đô t</w:t>
      </w:r>
      <w:r>
        <w:rPr>
          <w:rFonts w:ascii="Times New Roman" w:hAnsi="Times New Roman" w:eastAsia="Times New Roman" w:cs="Times New Roman"/>
          <w:color w:val="000000" w:themeColor="text1"/>
          <w:sz w:val="24"/>
          <w:szCs w:val="24"/>
        </w:rPr>
        <w:t xml:space="preserve">hị mới, đồng thời thúc đẩy phát triển kinh tế - xã hội. Các mục tiêu chính bao gồm cải thiện môi trường sống, tạo thêm việc làm, và xây dựng các tiện ích công cộng hiện đại, từ đó nâng cao chất lượng cuộc sống cho cư dân và tăng sức hấp dẫn đối với nhà đầu</w:t>
      </w:r>
      <w:r>
        <w:rPr>
          <w:rFonts w:ascii="Times New Roman" w:hAnsi="Times New Roman" w:eastAsia="Times New Roman" w:cs="Times New Roman"/>
          <w:color w:val="000000" w:themeColor="text1"/>
          <w:sz w:val="24"/>
          <w:szCs w:val="24"/>
        </w:rPr>
        <w:t xml:space="preserve"> tư.</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Tuy nhiên, bên cạnh cơ hội, nhà đầu tư cũng cần đối mặt với một số rủi ro. Giá bất động sản tăng mạnh có thể dẫn đến biến động cung cầu, đặc biệt khi nguồn cung căn hộ cũ ngày càng hạn chế. Các vấn đề pháp lý liên quan đến đất đai và thủ tục dự án cũng là </w:t>
      </w:r>
      <w:r>
        <w:rPr>
          <w:rFonts w:ascii="Times New Roman" w:hAnsi="Times New Roman" w:eastAsia="Times New Roman" w:cs="Times New Roman"/>
          <w:color w:val="000000" w:themeColor="text1"/>
          <w:sz w:val="24"/>
          <w:szCs w:val="24"/>
        </w:rPr>
        <w:t xml:space="preserve">một thách thức, đòi hỏi nhà đầu tư phải kiểm tra kỹ lưỡng để tránh rủi ro. Hơn nữa, những biến động kinh tế vĩ mô, như lạm phát hoặc thay đổi chính sách tín dụng, có thể ảnh hưởng đến khả năng thanh khoản của thị trường bất động sản, làm tăng rủi ro cho cá</w:t>
      </w:r>
      <w:r>
        <w:rPr>
          <w:rFonts w:ascii="Times New Roman" w:hAnsi="Times New Roman" w:eastAsia="Times New Roman" w:cs="Times New Roman"/>
          <w:color w:val="000000" w:themeColor="text1"/>
          <w:sz w:val="24"/>
          <w:szCs w:val="24"/>
        </w:rPr>
        <w:t xml:space="preserve">c khoản đầu tư dài hạn. Nhà đầu tư cần cân nhắc kỹ lưỡng và tham khảo ý kiến từ các chuyên gia để đưa ra quyết định phù hợp.</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op w:val="single" w:color="e5e5ea" w:sz="0" w:space="0"/>
          <w:left w:val="single" w:color="e5e5ea" w:sz="0" w:space="0"/>
          <w:bottom w:val="single" w:color="e5e5ea" w:sz="0" w:space="0"/>
          <w:right w:val="single" w:color="e5e5ea" w:sz="0" w:space="0"/>
        </w:pBdr>
        <w:spacing w:after="299" w:before="299"/>
        <w:ind w:right="0" w:firstLine="0" w:left="0"/>
        <w:rPr>
          <w:rFonts w:ascii="Times New Roman" w:hAnsi="Times New Roman" w:cs="Times New Roman"/>
          <w:color w:val="000000" w:themeColor="text1"/>
          <w:sz w:val="24"/>
          <w:szCs w:val="24"/>
        </w:rPr>
      </w:pPr>
      <w:r>
        <w:rPr>
          <w:rFonts w:ascii="Times New Roman" w:hAnsi="Times New Roman" w:eastAsia="Times New Roman" w:cs="Times New Roman"/>
          <w:color w:val="000000" w:themeColor="text1"/>
          <w:sz w:val="24"/>
          <w:szCs w:val="24"/>
        </w:rPr>
        <w:t xml:space="preserve">Quy hoạch quận Hoàng Mai, Hà Nội, sau khi sắp xếp hành chính năm 2025, mở ra giai đoạn phát triển mới với các khu đô thị hiện đại, hạ tầng giao thông cải thiện, và thị trường bất động sản sôi động năm 2025. Tuy nhiên, nhà đầu tư cần cân nhắc rủi ro về giá </w:t>
      </w:r>
      <w:r>
        <w:rPr>
          <w:rFonts w:ascii="Times New Roman" w:hAnsi="Times New Roman" w:eastAsia="Times New Roman" w:cs="Times New Roman"/>
          <w:color w:val="000000" w:themeColor="text1"/>
          <w:sz w:val="24"/>
          <w:szCs w:val="24"/>
        </w:rPr>
        <w:t xml:space="preserve">cả và pháp lý để đảm bảo đầu tư bền vững.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Bdr/>
        <w:tabs>
          <w:tab w:val="left" w:leader="none" w:pos="426"/>
        </w:tabs>
        <w:spacing w:after="120" w:before="120" w:line="276" w:lineRule="auto"/>
        <w:ind/>
        <w:rPr>
          <w:rFonts w:ascii="Times New Roman" w:hAnsi="Times New Roman" w:cs="Times New Roman"/>
          <w:bCs/>
          <w:i/>
          <w:color w:val="000000" w:themeColor="text1"/>
          <w:sz w:val="24"/>
          <w:szCs w:val="24"/>
          <w:highlight w:val="none"/>
        </w:rPr>
      </w:pPr>
      <w:r>
        <w:rPr>
          <w:rFonts w:ascii="Times New Roman" w:hAnsi="Times New Roman" w:eastAsia="Times New Roman" w:cs="Times New Roman"/>
          <w:i/>
          <w:iCs/>
          <w:color w:val="000000" w:themeColor="text1"/>
          <w:sz w:val="24"/>
          <w:szCs w:val="24"/>
          <w:highlight w:val="none"/>
          <w:lang w:val="pt-BR" w:bidi="pt-BR"/>
        </w:rPr>
        <w:t xml:space="preserve">(Nguồn:</w:t>
      </w:r>
      <w:r>
        <w:rPr>
          <w:rFonts w:ascii="Times New Roman" w:hAnsi="Times New Roman" w:eastAsia="Times New Roman" w:cs="Times New Roman"/>
          <w:i/>
          <w:iCs/>
          <w:color w:val="000000" w:themeColor="text1"/>
          <w:sz w:val="24"/>
          <w:szCs w:val="24"/>
          <w:highlight w:val="none"/>
          <w:lang w:val="pt-BR" w:bidi="pt-BR"/>
        </w:rPr>
        <w:t xml:space="preserve">https://onehousing.vn/blog/quy-hoach-quan-hoang-mai-ha-noi-sau-khi-sap-xep-lai-don-vi-hanh-chinh-n17t</w:t>
      </w:r>
      <w:r>
        <w:rPr>
          <w:rFonts w:ascii="Times New Roman" w:hAnsi="Times New Roman" w:eastAsia="Times New Roman" w:cs="Times New Roman"/>
          <w:i/>
          <w:iCs/>
          <w:color w:val="000000" w:themeColor="text1"/>
          <w:sz w:val="24"/>
          <w:szCs w:val="24"/>
          <w:highlight w:val="none"/>
          <w:lang w:val="pt-BR" w:bidi="pt-BR"/>
        </w:rPr>
        <w:t xml:space="preserve">)</w:t>
      </w:r>
      <w:r>
        <w:rPr>
          <w:rFonts w:ascii="Times New Roman" w:hAnsi="Times New Roman" w:cs="Times New Roman"/>
          <w:bCs/>
          <w:i/>
          <w:color w:val="000000" w:themeColor="text1"/>
          <w:sz w:val="24"/>
          <w:szCs w:val="24"/>
          <w:highlight w:val="none"/>
        </w:rPr>
      </w:r>
      <w:r>
        <w:rPr>
          <w:rFonts w:ascii="Times New Roman" w:hAnsi="Times New Roman" w:cs="Times New Roman"/>
          <w:bCs/>
          <w:i/>
          <w:color w:val="000000" w:themeColor="text1"/>
          <w:sz w:val="24"/>
          <w:szCs w:val="24"/>
          <w:highlight w:val="none"/>
        </w:rPr>
      </w:r>
    </w:p>
    <w:p>
      <w:pPr>
        <w:pBdr/>
        <w:tabs>
          <w:tab w:val="left" w:leader="none" w:pos="426"/>
        </w:tabs>
        <w:spacing w:after="120" w:before="120" w:line="276" w:lineRule="auto"/>
        <w:ind/>
        <w:rPr>
          <w:bCs/>
          <w:i/>
          <w:lang w:val="pt-BR"/>
        </w:rPr>
      </w:pPr>
      <w:r>
        <w:rPr>
          <w:i/>
          <w:iCs/>
          <w:highlight w:val="none"/>
          <w:lang w:val="pt-BR" w:bidi="pt-BR"/>
        </w:rPr>
      </w:r>
      <w:r>
        <w:rPr>
          <w:bCs/>
          <w:i/>
          <w:lang w:val="pt-BR"/>
        </w:rPr>
      </w:r>
      <w:r>
        <w:rPr>
          <w:bCs/>
          <w:i/>
          <w:lang w:val="pt-BR"/>
        </w:rPr>
      </w:r>
    </w:p>
    <w:p>
      <w:pPr>
        <w:pStyle w:val="1025"/>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878"/>
        <w:gridCol w:w="2099"/>
        <w:gridCol w:w="1950"/>
        <w:gridCol w:w="2340"/>
        <w:gridCol w:w="2257"/>
      </w:tblGrid>
      <w:tr>
        <w:trPr>
          <w:trHeight w:val="2139"/>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Tên tài sản</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647" w:type="dxa"/>
            <w:vAlign w:val="center"/>
            <w:textDirection w:val="lrTb"/>
            <w:noWrap w:val="false"/>
          </w:tcPr>
          <w:p>
            <w:pPr>
              <w:pBdr/>
              <w:spacing w:after="0" w:before="0" w:line="276" w:lineRule="auto"/>
              <w:ind/>
              <w:jc w:val="both"/>
              <w:rPr/>
            </w:pPr>
            <w:r>
              <w:rPr>
                <w:rFonts w:ascii="Times New Roman" w:hAnsi="Times New Roman" w:eastAsia="Times New Roman" w:cs="Times New Roman"/>
                <w:b/>
                <w:color w:val="000000"/>
                <w:sz w:val="24"/>
              </w:rPr>
              <w:t xml:space="preserve">Quyền sở hữu căn hộ chung cư số 524, Căn 908 nhà ĐN1- OCT2, phường Đại Kim, quận Hoàng Mai, thành phố Hà Nội (nay là Phường Định Công, Thành phố Hà Nội) theo Giấy chứng nhận quyền sử dụng đất, quyền sở hữu nhà ở và tài sản khác gắn liền với đất  số: BL 750</w:t>
            </w:r>
            <w:r>
              <w:rPr>
                <w:rFonts w:ascii="Times New Roman" w:hAnsi="Times New Roman" w:eastAsia="Times New Roman" w:cs="Times New Roman"/>
                <w:b/>
                <w:color w:val="000000"/>
                <w:sz w:val="24"/>
              </w:rPr>
              <w:t xml:space="preserve">325, số vào sổ cấp GCN: CH 01528/Hđ: 1876/1992 do Uỷ ban Nhân dân Quận Hoàng Mai  cấp ngày 25/09/2012; Chủ sở hữu căn hộ là Ông Nguyễn Mạnh Hùng và Bà Hà Anh Xuân  </w:t>
            </w:r>
            <w:r/>
          </w:p>
        </w:tc>
      </w:tr>
      <w:tr>
        <w:trPr>
          <w:trHeight w:val="315"/>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1.</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64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Nội dung Thửa đất theo Hồ sơ pháp lý</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Thửa đất:</w:t>
            </w:r>
            <w:r/>
          </w:p>
        </w:tc>
        <w:tc>
          <w:tcPr>
            <w:tcBorders>
              <w:bottom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Tờ bản đồ số:</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Địa chỉ:</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4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Căn 908 nhà ĐN1- OCT2, phường Đại Kim, quận Hoàng Mai, thành phố Hà Nội (nay là Phường Định Công, Thành phố Hà Nội)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(m²):</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620,0</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sử dụng</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Sử dụng chung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Mục đích sử dụng:</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Đất tại ở đô thị</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Thời hạn sử dụng:</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Lâu dài</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Nguồn gốc sử dụng đất:</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Nhà nước giao đất có thu tiền sử dụng đất</w:t>
            </w:r>
            <w:r/>
          </w:p>
        </w:tc>
      </w:tr>
      <w:tr>
        <w:trPr>
          <w:trHeight w:val="588"/>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Ghi chú:</w:t>
            </w:r>
            <w:r/>
          </w:p>
        </w:tc>
        <w:tc>
          <w:tcPr>
            <w:gridSpan w:val="3"/>
            <w:tcBorders>
              <w:top w:val="single" w:color="000000" w:sz="5" w:space="0"/>
              <w:bottom w:val="single" w:color="000000" w:sz="5" w:space="0"/>
              <w:right w:val="single" w:color="000000" w:sz="4" w:space="0"/>
            </w:tcBorders>
            <w:tcMar>
              <w:left w:w="0" w:type="dxa"/>
              <w:top w:w="0" w:type="dxa"/>
              <w:right w:w="0" w:type="dxa"/>
              <w:bottom w:w="0" w:type="dxa"/>
            </w:tcMar>
            <w:tcW w:w="6548" w:type="dxa"/>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 Nhận chuyển nhượng từ GCN số 10123290796 được UBND quận Hoàng Mai cấp ngày 01/12/2024 theo Quyết định số 1895/QĐ-UBND. Số vào sổ 1992.</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64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trên bản đồ vệ tinh: </w:t>
            </w:r>
            <w:r>
              <w:rPr>
                <w:rFonts w:ascii="Times New Roman" w:hAnsi="Times New Roman" w:eastAsia="Times New Roman" w:cs="Times New Roman"/>
                <w:color w:val="000000"/>
                <w:sz w:val="24"/>
              </w:rPr>
              <w:t xml:space="preserve">20.97307371374262, 105.82844439588554</w: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gridSpan w:val="4"/>
            <w:tcBorders>
              <w:top w:val="single" w:color="000000" w:sz="5" w:space="0"/>
              <w:bottom w:val="single" w:color="000000" w:sz="5" w:space="0"/>
              <w:right w:val="single" w:color="000000" w:sz="4" w:space="0"/>
            </w:tcBorders>
            <w:tcMar>
              <w:left w:w="0" w:type="dxa"/>
              <w:top w:w="0" w:type="dxa"/>
              <w:right w:w="0" w:type="dxa"/>
              <w:bottom w:w="0" w:type="dxa"/>
            </w:tcMar>
            <w:tcW w:w="864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 </w:t>
            </w:r>
            <w:r>
              <mc:AlternateContent>
                <mc:Choice Requires="wpg">
                  <w:drawing>
                    <wp:inline xmlns:wp="http://schemas.openxmlformats.org/drawingml/2006/wordprocessingDrawing" distT="0" distB="0" distL="0" distR="0">
                      <wp:extent cx="5382441" cy="3108170"/>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032235" name=""/>
                              <pic:cNvPicPr>
                                <a:picLocks noChangeAspect="1"/>
                              </pic:cNvPicPr>
                              <pic:nvPr/>
                            </pic:nvPicPr>
                            <pic:blipFill rotWithShape="1">
                              <a:blip r:embed="rId17"/>
                              <a:stretch/>
                            </pic:blipFill>
                            <pic:spPr bwMode="auto">
                              <a:xfrm flipH="0" flipV="0">
                                <a:off x="0" y="0"/>
                                <a:ext cx="5382441" cy="310817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81pt;height:244.74pt;mso-wrap-distance-left:0.00pt;mso-wrap-distance-top:0.00pt;mso-wrap-distance-right:0.00pt;mso-wrap-distance-bottom:0.00pt;z-index:1;" stroked="false">
                      <v:imagedata r:id="rId17" o:title=""/>
                      <o:lock v:ext="edit" rotation="t"/>
                    </v:shape>
                  </w:pict>
                </mc:Fallback>
              </mc:AlternateContent>
            </w:r>
            <w:r>
              <w:rPr>
                <w:rFonts w:ascii="Times New Roman" w:hAnsi="Times New Roman" w:eastAsia="Times New Roman" w:cs="Times New Roman"/>
                <w:color w:val="000000"/>
                <w:sz w:val="24"/>
              </w:rPr>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2.</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64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Thông tin về căn hộ</w:t>
            </w:r>
            <w:r/>
          </w:p>
        </w:tc>
      </w:tr>
      <w:tr>
        <w:trPr>
          <w:trHeight w:val="624"/>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71</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Diện tích tim tường (m²):</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r>
      <w:tr>
        <w:trPr>
          <w:trHeight w:val="639"/>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Hình thức sở hữu:</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Sở hữu riêng</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908 nhà DN1 -OCT2</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Vị trí tầng:</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Tầng 9/12</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Số mặt tiền:</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Căn góc</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cửa:</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Nam</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Hướng ban công:</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Bắc</w:t>
            </w:r>
            <w:r/>
          </w:p>
        </w:tc>
      </w:tr>
      <w:tr>
        <w:trPr>
          <w:trHeight w:val="936"/>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Cấu trúc:</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 phòng ngủ, 1 nhà vệ sinh,  phòng khách + nhà bếp</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Nội thất:</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450"/>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3.</w:t>
            </w:r>
            <w:r/>
          </w:p>
        </w:tc>
        <w:tc>
          <w:tcPr>
            <w:gridSpan w:val="4"/>
            <w:tcBorders>
              <w:top w:val="single" w:color="000000" w:sz="5" w:space="0"/>
              <w:bottom w:val="single" w:color="000000" w:sz="5" w:space="0"/>
              <w:right w:val="single" w:color="000000" w:sz="5" w:space="0"/>
            </w:tcBorders>
            <w:tcMar>
              <w:left w:w="0" w:type="dxa"/>
              <w:top w:w="0" w:type="dxa"/>
              <w:right w:w="0" w:type="dxa"/>
              <w:bottom w:w="0" w:type="dxa"/>
            </w:tcMar>
            <w:tcW w:w="864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4"/>
              </w:rPr>
              <w:t xml:space="preserve">Điều kiện kinh doanh; Hạ tầng nội bộ; Hạ tầng xung quanh</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nội bộ:</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Cấp điện, cấp nước sạch, mạng internet,… hoàn thiện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Hạ tầng xung quanh:</w:t>
            </w:r>
            <w:r/>
          </w:p>
        </w:tc>
        <w:tc>
          <w:tcPr>
            <w:gridSpan w:val="3"/>
            <w:tcBorders>
              <w:top w:val="single" w:color="000000" w:sz="5" w:space="0"/>
              <w:bottom w:val="single" w:color="000000" w:sz="5" w:space="0"/>
              <w:right w:val="single" w:color="000000" w:sz="5" w:space="0"/>
            </w:tcBorders>
            <w:tcMar>
              <w:left w:w="0" w:type="dxa"/>
              <w:top w:w="0" w:type="dxa"/>
              <w:right w:w="0" w:type="dxa"/>
              <w:bottom w:w="0" w:type="dxa"/>
            </w:tcMar>
            <w:tcW w:w="6548"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Môi trường trong lành, an ninh đảm bảo, dân trí tốt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Mật độ dân cư:</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Đông đúc</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Đời sống dân cư:</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Ổn định</w:t>
            </w:r>
            <w:r/>
          </w:p>
        </w:tc>
      </w:tr>
      <w:tr>
        <w:trPr>
          <w:trHeight w:val="612"/>
        </w:trPr>
        <w:tc>
          <w:tcPr>
            <w:tcBorders>
              <w:left w:val="single" w:color="000000" w:sz="5" w:space="0"/>
              <w:bottom w:val="single" w:color="000000" w:sz="5" w:space="0"/>
              <w:right w:val="single" w:color="000000" w:sz="5" w:space="0"/>
            </w:tcBorders>
            <w:tcMar>
              <w:left w:w="0" w:type="dxa"/>
              <w:top w:w="0" w:type="dxa"/>
              <w:right w:w="0" w:type="dxa"/>
              <w:bottom w:w="0" w:type="dxa"/>
            </w:tcMar>
            <w:tcW w:w="878"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w:t>
            </w:r>
            <w:r/>
          </w:p>
        </w:tc>
        <w:tc>
          <w:tcPr>
            <w:tcBorders>
              <w:bottom w:val="single" w:color="000000" w:sz="5" w:space="0"/>
              <w:right w:val="single" w:color="000000" w:sz="5" w:space="0"/>
            </w:tcBorders>
            <w:tcMar>
              <w:left w:w="0" w:type="dxa"/>
              <w:top w:w="0" w:type="dxa"/>
              <w:right w:w="0" w:type="dxa"/>
              <w:bottom w:w="0" w:type="dxa"/>
            </w:tcMar>
            <w:tcW w:w="2099"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Lợi thế kinh doanh:</w:t>
            </w:r>
            <w:r/>
          </w:p>
        </w:tc>
        <w:tc>
          <w:tcPr>
            <w:tcBorders>
              <w:bottom w:val="single" w:color="000000" w:sz="5" w:space="0"/>
              <w:right w:val="single" w:color="000000" w:sz="5" w:space="0"/>
            </w:tcBorders>
            <w:tcMar>
              <w:left w:w="0" w:type="dxa"/>
              <w:top w:w="0" w:type="dxa"/>
              <w:right w:w="0" w:type="dxa"/>
              <w:bottom w:w="0" w:type="dxa"/>
            </w:tcMar>
            <w:tcW w:w="1950"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Phù hợp để ở</w:t>
            </w:r>
            <w:r/>
          </w:p>
        </w:tc>
        <w:tc>
          <w:tcPr>
            <w:tcBorders>
              <w:bottom w:val="single" w:color="000000" w:sz="5" w:space="0"/>
              <w:right w:val="single" w:color="000000" w:sz="5" w:space="0"/>
            </w:tcBorders>
            <w:tcMar>
              <w:left w:w="0" w:type="dxa"/>
              <w:top w:w="0" w:type="dxa"/>
              <w:right w:w="0" w:type="dxa"/>
              <w:bottom w:w="0" w:type="dxa"/>
            </w:tcMar>
            <w:tcW w:w="2340"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4"/>
              </w:rPr>
              <w:t xml:space="preserve">Khả năng chuyển nhượng:</w:t>
            </w:r>
            <w:r/>
          </w:p>
        </w:tc>
        <w:tc>
          <w:tcPr>
            <w:tcBorders>
              <w:bottom w:val="single" w:color="000000" w:sz="5" w:space="0"/>
              <w:right w:val="single" w:color="000000" w:sz="5" w:space="0"/>
            </w:tcBorders>
            <w:tcMar>
              <w:left w:w="0" w:type="dxa"/>
              <w:top w:w="0" w:type="dxa"/>
              <w:right w:w="0" w:type="dxa"/>
              <w:bottom w:w="0" w:type="dxa"/>
            </w:tcMar>
            <w:tcW w:w="2257"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Tốt </w:t>
            </w:r>
            <w:r/>
          </w:p>
        </w:tc>
      </w:tr>
    </w:tbl>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highlight w:val="white"/>
              </w:rPr>
            </w:pPr>
            <w:r>
              <w:rPr>
                <w:highlight w:val="white"/>
                <w:lang w:eastAsia="ko-KR"/>
              </w:rPr>
              <w:t xml:space="preserve">View hồ sông, sông, suối, đầm, ao lớn (S=0.5ha), ruộng lúa, đồi núi xa, ngắm hoàng hôn, bình minh xa soi mặt nước, thơ mộng</w:t>
            </w:r>
            <w:r>
              <w:rPr>
                <w:highlight w:val="white"/>
              </w:rPr>
            </w:r>
            <w:r>
              <w:rPr>
                <w:highlight w:val="white"/>
              </w:rPr>
            </w:r>
          </w:p>
        </w:tc>
        <w:tc>
          <w:tcPr>
            <w:tcBorders/>
            <w:tcW w:w="819" w:type="pct"/>
            <w:vAlign w:val="center"/>
            <w:textDirection w:val="lrTb"/>
            <w:noWrap w:val="false"/>
          </w:tcPr>
          <w:p>
            <w:pPr>
              <w:widowControl w:val="false"/>
              <w:pBdr/>
              <w:spacing w:line="235" w:lineRule="auto"/>
              <w:ind w:left="144"/>
              <w:jc w:val="left"/>
              <w:rPr>
                <w:highlight w:val="white"/>
              </w:rPr>
            </w:pPr>
            <w:r>
              <w:rPr>
                <w:highlight w:val="white"/>
              </w:rPr>
              <w:t xml:space="preserve">       </w:t>
            </w:r>
            <w:r>
              <w:rPr>
                <w:highlight w:val="white"/>
                <w:lang w:eastAsia="ko-KR"/>
              </w:rPr>
              <w:t xml:space="preserve">Có</w:t>
            </w:r>
            <w:r>
              <w:rPr>
                <w:highlight w:val="white"/>
              </w:rPr>
            </w:r>
            <w:r>
              <w:rPr>
                <w:highlight w:val="white"/>
              </w:rPr>
            </w:r>
          </w:p>
        </w:tc>
        <w:tc>
          <w:tcPr>
            <w:tcBorders/>
            <w:tcW w:w="1874" w:type="pct"/>
            <w:vAlign w:val="center"/>
            <w:textDirection w:val="lrTb"/>
            <w:noWrap w:val="false"/>
          </w:tcPr>
          <w:p>
            <w:pPr>
              <w:widowControl w:val="false"/>
              <w:pBdr/>
              <w:spacing w:line="235" w:lineRule="auto"/>
              <w:ind w:left="144"/>
              <w:rPr>
                <w:highlight w:val="white"/>
              </w:rPr>
            </w:pPr>
            <w:r>
              <w:rPr>
                <w:highlight w:val="white"/>
                <w:lang w:eastAsia="ko-KR"/>
              </w:rPr>
              <w:t xml:space="preserve">               View hồ </w:t>
            </w:r>
            <w:r>
              <w:rPr>
                <w:highlight w:val="white"/>
                <w:lang w:eastAsia="ko-KR"/>
              </w:rPr>
            </w:r>
            <w:r>
              <w:rPr>
                <w:highlight w:val="white"/>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5"/>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5"/>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5"/>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5"/>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5"/>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5"/>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5"/>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5"/>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w:t>
      </w:r>
      <w:r>
        <w:rPr>
          <w:spacing w:val="-4"/>
          <w:highlight w:val="white"/>
          <w:lang w:val="pt-BR"/>
        </w:rPr>
        <w:t xml:space="preserve">à Đầu tư Tài chính Hoa Sen lựa chọn phương pháp so sánh (cách tiếp cận từ thị trường) để xác định</w:t>
      </w:r>
      <w:r>
        <w:rPr>
          <w:spacing w:val="-4"/>
          <w:highlight w:val="white"/>
          <w:lang w:val="pt-BR"/>
        </w:rPr>
        <w:t xml:space="preserve"> giá </w:t>
      </w:r>
      <w:r>
        <w:rPr>
          <w:color w:val="000000" w:themeColor="text1"/>
          <w:spacing w:val="-4"/>
          <w:highlight w:val="white"/>
          <w:lang w:val="pt-BR"/>
        </w:rPr>
        <w:t xml:space="preserve">trị</w:t>
      </w:r>
      <w:r>
        <w:rPr>
          <w:color w:val="000000" w:themeColor="text1"/>
          <w:spacing w:val="-4"/>
          <w:highlight w:val="white"/>
          <w:lang w:val="pt-BR"/>
        </w:rPr>
        <w:t xml:space="preserve"> </w:t>
      </w:r>
      <w:r>
        <w:rPr>
          <w:color w:val="000000" w:themeColor="text1"/>
          <w:spacing w:val="-4"/>
          <w:highlight w:val="white"/>
          <w:lang w:val="pt-BR"/>
        </w:rPr>
        <w:t xml:space="preserve">q</w:t>
      </w:r>
      <w:r>
        <w:rPr>
          <w:color w:val="000000" w:themeColor="text1"/>
          <w:spacing w:val="-4"/>
          <w:highlight w:val="white"/>
          <w:lang w:val="pt-BR"/>
        </w:rPr>
        <w:t xml:space="preserve">u</w:t>
      </w:r>
      <w:r>
        <w:rPr>
          <w:color w:val="000000" w:themeColor="text1"/>
          <w:spacing w:val="-4"/>
          <w:highlight w:val="white"/>
          <w:lang w:val="pt-BR"/>
        </w:rPr>
        <w:t xml:space="preserve">yền sở hữu căn hộ chung cư là tài </w:t>
      </w:r>
      <w:r>
        <w:rPr>
          <w:spacing w:val="-4"/>
          <w:highlight w:val="white"/>
          <w:lang w:val="pt-BR"/>
        </w:rPr>
        <w:t xml:space="preserve">sản thẩm định </w:t>
      </w:r>
      <w:r>
        <w:rPr>
          <w:spacing w:val="-4"/>
          <w:lang w:val="pt-BR"/>
        </w:rPr>
        <w:t xml:space="preserve">giá</w:t>
      </w:r>
      <w:r>
        <w:rPr>
          <w:spacing w:val="-4"/>
          <w:lang w:val="pt-BR"/>
        </w:rPr>
        <w:t xml:space="preserve">.</w:t>
      </w:r>
      <w:r>
        <w:rPr>
          <w:spacing w:val="-4"/>
          <w:lang w:val="pt-BR"/>
        </w:rPr>
      </w:r>
      <w:r>
        <w:rPr>
          <w:spacing w:val="-4"/>
          <w:lang w:val="pt-BR"/>
        </w:rPr>
      </w:r>
    </w:p>
    <w:p>
      <w:pPr>
        <w:pStyle w:val="1025"/>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5"/>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5"/>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5"/>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fixed"/>
        <w:tblLook w:val="04A0" w:firstRow="1" w:lastRow="0" w:firstColumn="1" w:lastColumn="0" w:noHBand="0" w:noVBand="1"/>
      </w:tblPr>
      <w:tblGrid>
        <w:gridCol w:w="453"/>
        <w:gridCol w:w="1417"/>
        <w:gridCol w:w="1914"/>
        <w:gridCol w:w="1914"/>
        <w:gridCol w:w="1914"/>
        <w:gridCol w:w="1914"/>
      </w:tblGrid>
      <w:tr>
        <w:trPr>
          <w:trHeight w:val="300"/>
        </w:trPr>
        <w:tc>
          <w:tcPr>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STT</w:t>
            </w:r>
            <w:r/>
          </w:p>
        </w:tc>
        <w:tc>
          <w:tcPr>
            <w:tcBorders>
              <w:top w:val="single" w:color="000000" w:sz="5" w:space="0"/>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ĐẶC ĐIỂM BĐS</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TSTĐ</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TSSS2</w:t>
            </w:r>
            <w:r/>
          </w:p>
        </w:tc>
        <w:tc>
          <w:tcPr>
            <w:tcBorders>
              <w:top w:val="single" w:color="000000" w:sz="5" w:space="0"/>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TSSS3</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A</w:t>
            </w:r>
            <w:r/>
          </w:p>
        </w:tc>
        <w:tc>
          <w:tcPr>
            <w:tcBorders>
              <w:bottom w:val="single" w:color="000000" w:sz="5" w:space="0"/>
              <w:right w:val="single" w:color="000000" w:sz="5" w:space="0"/>
            </w:tcBorders>
            <w:tcMar>
              <w:left w:w="0" w:type="dxa"/>
              <w:top w:w="0" w:type="dxa"/>
              <w:right w:w="0" w:type="dxa"/>
              <w:bottom w:w="0" w:type="dxa"/>
            </w:tcMar>
            <w:tcW w:w="1417" w:type="dxa"/>
            <w:vAlign w:val="top"/>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Thông tin về tài sản</w:t>
            </w:r>
            <w:r/>
          </w:p>
        </w:tc>
        <w:tc>
          <w:tcPr>
            <w:tcBorders>
              <w:bottom w:val="single" w:color="000000" w:sz="5" w:space="0"/>
              <w:right w:val="single" w:color="000000" w:sz="5" w:space="0"/>
            </w:tcBorders>
            <w:tcMar>
              <w:left w:w="0" w:type="dxa"/>
              <w:top w:w="0" w:type="dxa"/>
              <w:right w:w="0" w:type="dxa"/>
              <w:bottom w:w="0" w:type="dxa"/>
            </w:tcMar>
            <w:tcW w:w="19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top"/>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top"/>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2"/>
              </w:rPr>
              <w:t xml:space="preserve"> </w:t>
            </w:r>
            <w:r/>
          </w:p>
        </w:tc>
      </w:tr>
      <w:tr>
        <w:trPr>
          <w:trHeight w:val="13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Địa chỉ</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Phường Định Công, Thành phố Hà Nội</w:t>
            </w:r>
            <w:r/>
          </w:p>
        </w:tc>
      </w:tr>
      <w:tr>
        <w:trPr>
          <w:trHeight w:val="1380"/>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Nguồn tham khảo</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https://www.facebook.com/photo/?fbid=3455178214646368&amp;set=pcb.1844830096211631</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Liên hệ trực tiếp</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Thông tin liên lạc</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0374643508 </w:t>
              <w:br/>
              <w:t xml:space="preserve">(Hoa)</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0335363222</w:t>
              <w:br/>
              <w:t xml:space="preserve">(Hoàng Nhung)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0335363222</w:t>
              <w:br/>
              <w:t xml:space="preserve">(Hoàng Nhung)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Tình trạng giao dịch</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Đang giao dịch  </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Thời điểm thu thập thông tin</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Tháng 6/2026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Giao dịch bình thường trên thị trường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Loại hình tài sản</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hộ chung cư</w:t>
            </w:r>
            <w:r/>
          </w:p>
        </w:tc>
      </w:tr>
      <w:tr>
        <w:trPr>
          <w:trHeight w:val="1104"/>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chung cư tại OCT-DN1, Phường Định Công, TP Hà Nội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chung cư tại OCT-DN2, phường Định Công, TP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chung cư tại OCT-DN2, phường Định Công, TP Hà Nội</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chung cư tại OCT-DN2, phường Định Công, TP Hà Nội</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85</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65</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10</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Căn góc</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góc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Căn thường</w:t>
            </w:r>
            <w:r/>
          </w:p>
        </w:tc>
      </w:tr>
      <w:tr>
        <w:trPr>
          <w:trHeight w:val="557"/>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Tầng 9/12</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cao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Tầng trung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highlight w:val="white"/>
              </w:rPr>
            </w:pPr>
            <w:r>
              <w:rPr>
                <w:rFonts w:ascii="Times New Roman" w:hAnsi="Times New Roman" w:eastAsia="Times New Roman" w:cs="Times New Roman"/>
                <w:color w:val="000000"/>
                <w:sz w:val="22"/>
                <w:highlight w:val="white"/>
              </w:rPr>
            </w:r>
            <w:r>
              <w:rPr>
                <w:rFonts w:ascii="Times New Roman" w:hAnsi="Times New Roman" w:eastAsia="Times New Roman" w:cs="Times New Roman"/>
                <w:color w:val="000000"/>
                <w:sz w:val="22"/>
                <w:highlight w:val="white"/>
              </w:rPr>
              <w:t xml:space="preserve">View</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View hồ  </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View hồ Định Công </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View hồ </w:t>
            </w:r>
            <w:r>
              <w:rPr>
                <w:highlight w:val="white"/>
              </w:rPr>
            </w:r>
            <w:r>
              <w:rPr>
                <w:highlight w:val="white"/>
              </w:rP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highlight w:val="white"/>
              </w:rPr>
            </w:pPr>
            <w:r>
              <w:rPr>
                <w:rFonts w:ascii="Times New Roman" w:hAnsi="Times New Roman" w:eastAsia="Times New Roman" w:cs="Times New Roman"/>
                <w:color w:val="000000"/>
                <w:sz w:val="22"/>
                <w:highlight w:val="white"/>
              </w:rPr>
              <w:t xml:space="preserve">View hồ </w:t>
            </w:r>
            <w:r>
              <w:rPr>
                <w:highlight w:val="white"/>
              </w:rPr>
            </w:r>
            <w:r>
              <w:rPr>
                <w:highlight w:val="white"/>
              </w:rP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Bắc</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bắc</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Đông bắc</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Cấu trúc</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2 phòng ngủ, 1 nhà vệ sinh,  phòng khách + nhà bếp</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Nội thất cơ bản</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Nội thất cơ bản </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Hệ thống cấp điện, cấp thoát nước đầy đủ</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Điều kiện môi trường an ninh</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Tốt</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Giá rao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4.300.000.000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6.400.000.000</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4"/>
              </w:rPr>
              <w:t xml:space="preserve">4.800.000.000</w:t>
            </w:r>
            <w:r/>
          </w:p>
        </w:tc>
      </w:tr>
      <w:tr>
        <w:trPr>
          <w:trHeight w:val="828"/>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19</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Giá thương lượng/bán (đồng) (đã giảm trừ giá trị nội thất nếu có)</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4.085.000.000</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6.080.000.000</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4.560.000.000</w:t>
            </w:r>
            <w:r/>
          </w:p>
        </w:tc>
      </w:tr>
      <w:tr>
        <w:trPr>
          <w:trHeight w:val="55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20</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Đơn giá QSD căn hộ (đồng/m2)</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62.846.154</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71.529.412</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70.153.846</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b/>
                <w:color w:val="000000"/>
                <w:sz w:val="22"/>
              </w:rPr>
              <w:t xml:space="preserve">B</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b/>
                <w:color w:val="000000"/>
                <w:sz w:val="22"/>
              </w:rPr>
              <w:t xml:space="preserve">NHẬN XÉT</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1</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Tính chất giao dịch</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2</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Pháp lý</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3</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Vị trí</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4</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Diện tích sàn (m²)</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5</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Mặt tiếp giáp</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Kém lợi thế hơn</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6</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Tầng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Lợi thế hơn</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7</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View</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312"/>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8</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Nội thất</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shd w:val="clear" w:color="ffffff" w:fill="ffffff"/>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r>
        <w:trPr>
          <w:trHeight w:val="276"/>
        </w:trPr>
        <w:tc>
          <w:tcPr>
            <w:tcBorders>
              <w:left w:val="single" w:color="000000" w:sz="5" w:space="0"/>
              <w:bottom w:val="single" w:color="000000" w:sz="5" w:space="0"/>
              <w:right w:val="single" w:color="000000" w:sz="5" w:space="0"/>
            </w:tcBorders>
            <w:tcMar>
              <w:left w:w="0" w:type="dxa"/>
              <w:top w:w="0" w:type="dxa"/>
              <w:right w:w="0" w:type="dxa"/>
              <w:bottom w:w="0" w:type="dxa"/>
            </w:tcMar>
            <w:tcW w:w="453"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9</w:t>
            </w:r>
            <w:r/>
          </w:p>
        </w:tc>
        <w:tc>
          <w:tcPr>
            <w:tcBorders>
              <w:bottom w:val="single" w:color="000000" w:sz="5" w:space="0"/>
              <w:right w:val="single" w:color="000000" w:sz="5" w:space="0"/>
            </w:tcBorders>
            <w:tcMar>
              <w:left w:w="0" w:type="dxa"/>
              <w:top w:w="0" w:type="dxa"/>
              <w:right w:w="0" w:type="dxa"/>
              <w:bottom w:w="0" w:type="dxa"/>
            </w:tcMar>
            <w:tcW w:w="1417" w:type="dxa"/>
            <w:vAlign w:val="center"/>
            <w:textDirection w:val="lrTb"/>
            <w:noWrap w:val="false"/>
          </w:tcPr>
          <w:p>
            <w:pPr>
              <w:pBdr/>
              <w:spacing w:after="0" w:before="0" w:line="240" w:lineRule="auto"/>
              <w:ind/>
              <w:rPr/>
            </w:pPr>
            <w:r>
              <w:rPr>
                <w:rFonts w:ascii="Times New Roman" w:hAnsi="Times New Roman" w:eastAsia="Times New Roman" w:cs="Times New Roman"/>
                <w:color w:val="000000"/>
                <w:sz w:val="22"/>
              </w:rPr>
              <w:t xml:space="preserve">Hướng ban công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 </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c>
          <w:tcPr>
            <w:tcBorders>
              <w:bottom w:val="single" w:color="000000" w:sz="5" w:space="0"/>
              <w:right w:val="single" w:color="000000" w:sz="5" w:space="0"/>
            </w:tcBorders>
            <w:tcMar>
              <w:left w:w="0" w:type="dxa"/>
              <w:top w:w="0" w:type="dxa"/>
              <w:right w:w="0" w:type="dxa"/>
              <w:bottom w:w="0" w:type="dxa"/>
            </w:tcMar>
            <w:tcW w:w="1914" w:type="dxa"/>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2"/>
              </w:rPr>
              <w:t xml:space="preserve">Tương đồng</w:t>
            </w: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5"/>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Style w:val="1029"/>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728"/>
        <w:gridCol w:w="1888"/>
        <w:gridCol w:w="935"/>
        <w:gridCol w:w="1953"/>
        <w:gridCol w:w="1996"/>
        <w:gridCol w:w="1992"/>
        <w:gridCol w:w="1993"/>
      </w:tblGrid>
      <w:tr>
        <w:trPr>
          <w:trHeight w:val="630"/>
        </w:trPr>
        <w:tc>
          <w:tcPr>
            <w:shd w:val="clear" w:color="ffffff" w:fill="ffffff"/>
            <w:tcBorders>
              <w:top w:val="single" w:color="000000" w:sz="5" w:space="0"/>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STT</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Yếu tố so sánh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Đơn vị tính</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TSTĐ</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TSSS1</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TSSS2</w:t>
            </w:r>
            <w:r>
              <w:rPr>
                <w:color w:val="000000" w:themeColor="text1"/>
              </w:rPr>
            </w:r>
            <w:r>
              <w:rPr>
                <w:color w:val="000000" w:themeColor="text1"/>
              </w:rPr>
            </w:r>
          </w:p>
        </w:tc>
        <w:tc>
          <w:tcPr>
            <w:shd w:val="clear" w:color="ffffff" w:fill="ffffff"/>
            <w:tcBorders>
              <w:top w:val="single" w:color="000000" w:sz="5" w:space="0"/>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TSSS3</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A</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Giá trị BĐS thị trường (Ước tính trước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4.085.000.000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6.080.000.000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4.560.000.000</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w:t>
            </w:r>
            <w:r>
              <w:rPr>
                <w:color w:val="000000" w:themeColor="text1"/>
              </w:rPr>
            </w:r>
            <w:r>
              <w:rPr>
                <w:color w:val="000000" w:themeColor="text1"/>
              </w:rPr>
            </w:r>
          </w:p>
        </w:tc>
        <w:tc>
          <w:tcPr>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Đơn giá QSD căn hộ ước tính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62.846.154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71.529.412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w:t>
            </w:r>
            <w:r>
              <w:rPr>
                <w:color w:val="000000" w:themeColor="text1"/>
              </w:rPr>
            </w:r>
            <w:r>
              <w:rPr>
                <w:color w:val="000000" w:themeColor="text1"/>
              </w:rPr>
            </w:r>
          </w:p>
        </w:tc>
      </w:tr>
      <w:tr>
        <w:trPr>
          <w:trHeight w:val="525"/>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Điều chỉnh các yếu tố so sánh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Tính chất giao dịch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Giao dịch bình thường trên thị trường</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62.846.154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71.529.412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Pháp lý</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Có Giấy chứng nhận quyền sử dụng đất</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62.846.154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71.529.412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1380"/>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Vị trí</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chung cư tại OCT-DN1, Phường Định Công, TP Hà Nội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chung cư tại OCT-DN2, phường Định Công, TP Hà Nội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chung cư tại OCT-DN2, phường Định Công, TP Hà Nội</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chung cư tại OCT-DN2, phường Định Công, TP Hà Nội</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360"/>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62.846.154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71.529.412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Diện tích sàn (m²)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85,0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65,0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4,00%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2.861.176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62.846.154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74.390.588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Mặt tiếp giáp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góc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thường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góc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Căn thường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3.142.308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3.507.692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65.988.462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74.390.588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73.661.538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C6</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Tầng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9/12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cao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cao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Tầng trung</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-5,00%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-3.507.692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65.988.462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74.390.588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C7</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View</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View hồ</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highlight w:val="white"/>
              </w:rPr>
            </w:pPr>
            <w:r>
              <w:rPr>
                <w:rFonts w:ascii="Times New Roman" w:hAnsi="Times New Roman" w:eastAsia="Times New Roman" w:cs="Times New Roman"/>
                <w:b/>
                <w:color w:val="000000" w:themeColor="text1"/>
                <w:sz w:val="22"/>
                <w:highlight w:val="white"/>
              </w:rPr>
              <w:t xml:space="preserve">View hồ Định Công </w:t>
            </w:r>
            <w:r>
              <w:rPr>
                <w:color w:val="000000" w:themeColor="text1"/>
                <w:highlight w:val="white"/>
              </w:rPr>
            </w:r>
            <w:r>
              <w:rPr>
                <w:color w:val="000000" w:themeColor="text1"/>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ind/>
              <w:jc w:val="center"/>
              <w:rPr>
                <w:highlight w:val="white"/>
              </w:rPr>
            </w:pPr>
            <w:r>
              <w:rPr>
                <w:highlight w:val="white"/>
              </w:rPr>
            </w:r>
            <w:r>
              <w:rPr>
                <w:rFonts w:ascii="Times New Roman" w:hAnsi="Times New Roman" w:eastAsia="Times New Roman" w:cs="Times New Roman"/>
                <w:b/>
                <w:color w:val="000000" w:themeColor="text1"/>
                <w:sz w:val="22"/>
                <w:highlight w:val="white"/>
              </w:rPr>
              <w:t xml:space="preserve">View hồ</w:t>
            </w:r>
            <w:r>
              <w:rPr>
                <w:highlight w:val="white"/>
              </w:rPr>
            </w:r>
            <w:r>
              <w:rPr>
                <w:highlight w:val="white"/>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ind/>
              <w:jc w:val="center"/>
              <w:rPr>
                <w:highlight w:val="white"/>
              </w:rPr>
            </w:pPr>
            <w:r>
              <w:rPr>
                <w:highlight w:val="white"/>
              </w:rPr>
            </w:r>
            <w:r>
              <w:rPr>
                <w:rFonts w:ascii="Times New Roman" w:hAnsi="Times New Roman" w:eastAsia="Times New Roman" w:cs="Times New Roman"/>
                <w:b/>
                <w:color w:val="000000" w:themeColor="text1"/>
                <w:sz w:val="22"/>
                <w:highlight w:val="white"/>
              </w:rPr>
              <w:t xml:space="preserve">View hồ</w:t>
            </w:r>
            <w:r>
              <w:rPr>
                <w:highlight w:val="white"/>
              </w:rPr>
            </w:r>
            <w:r>
              <w:rPr>
                <w:highlight w:val="white"/>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65.988.462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74.390.588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C8</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Nội thất</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Nội thất cơ bản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Nội thất cơ bản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Nội thất cơ bản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65.988.462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74.390.588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4" w:space="0"/>
              <w:right w:val="single" w:color="000000" w:sz="5" w:space="0"/>
            </w:tcBorders>
            <w:tcMar>
              <w:left w:w="0" w:type="dxa"/>
              <w:top w:w="0" w:type="dxa"/>
              <w:right w:w="0" w:type="dxa"/>
              <w:bottom w:w="0" w:type="dxa"/>
            </w:tcMar>
            <w:tcW w:w="728" w:type="dxa"/>
            <w:vAlign w:val="center"/>
            <w:vMerge w:val="restart"/>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C9</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Hướng ban công</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Bắc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Bắc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Đông bắc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Đông bắc</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Tỷ lệ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0,00%</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r>
        <w:trPr>
          <w:trHeight w:val="276"/>
        </w:trPr>
        <w:tc>
          <w:tcPr>
            <w:tcBorders>
              <w:left w:val="single" w:color="000000" w:sz="5" w:space="0"/>
              <w:bottom w:val="single" w:color="000000" w:sz="4" w:space="0"/>
              <w:right w:val="single" w:color="000000" w:sz="5" w:space="0"/>
            </w:tcBorders>
            <w:vMerge w:val="continue"/>
            <w:textDirection w:val="lrTb"/>
            <w:noWrap w:val="false"/>
          </w:tcPr>
          <w:p>
            <w:pPr>
              <w:pBdr/>
              <w:spacing/>
              <w:ind/>
              <w:rPr/>
            </w:pPr>
            <w: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sau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65.988.462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74.390.588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70.153.846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D</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Mức giá chỉ dẫn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Đồng/m²</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65.988.462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74.390.588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70.153.846 </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Giá trị trung bình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gridSpan w:val="4"/>
            <w:shd w:val="clear" w:color="ffffff" w:fill="ffffff"/>
            <w:tcBorders>
              <w:bottom w:val="single" w:color="000000" w:sz="5" w:space="0"/>
              <w:right w:val="single" w:color="000000" w:sz="5" w:space="0"/>
            </w:tcBorders>
            <w:tcMar>
              <w:left w:w="0" w:type="dxa"/>
              <w:top w:w="0" w:type="dxa"/>
              <w:right w:w="0" w:type="dxa"/>
              <w:bottom w:w="0" w:type="dxa"/>
            </w:tcMar>
            <w:tcW w:w="6554"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70.177.632 </w:t>
            </w:r>
            <w:r>
              <w:rPr>
                <w:color w:val="000000" w:themeColor="text1"/>
              </w:rPr>
            </w:r>
            <w:r>
              <w:rPr>
                <w:color w:val="000000" w:themeColor="text1"/>
              </w:rPr>
            </w:r>
          </w:p>
        </w:tc>
      </w:tr>
      <w:tr>
        <w:trPr>
          <w:trHeight w:val="300"/>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D2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Mức độ chênh lệch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6,0%</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0,0%</w:t>
            </w:r>
            <w:r>
              <w:rPr>
                <w:color w:val="000000" w:themeColor="text1"/>
              </w:rPr>
            </w:r>
            <w:r>
              <w:rPr>
                <w:color w:val="000000" w:themeColor="text1"/>
              </w:rPr>
            </w:r>
          </w:p>
        </w:tc>
      </w:tr>
      <w:tr>
        <w:trPr>
          <w:trHeight w:val="828"/>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Tổng hợp các số liệu điều chỉnh tại mục C</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tcPr>
          <w:p>
            <w:pPr>
              <w:pBdr/>
              <w:spacing w:after="0" w:before="0" w:line="240" w:lineRule="auto"/>
              <w:ind/>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gộp</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3.142.308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2.861.176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b/>
                <w:color w:val="000000" w:themeColor="text1"/>
                <w:sz w:val="22"/>
              </w:rPr>
              <w:t xml:space="preserve">7.015.385 </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E2</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số lần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Lần</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1</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w:t>
            </w:r>
            <w:r>
              <w:rPr>
                <w:color w:val="000000" w:themeColor="text1"/>
              </w:rPr>
            </w:r>
            <w:r>
              <w:rPr>
                <w:color w:val="000000" w:themeColor="text1"/>
              </w:rPr>
            </w:r>
          </w:p>
        </w:tc>
      </w:tr>
      <w:tr>
        <w:trPr>
          <w:trHeight w:val="276"/>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E3</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Biên độ điều chỉnh</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val="false"/>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- 5%</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- 5%</w:t>
            </w:r>
            <w:r>
              <w:rPr>
                <w:color w:val="000000" w:themeColor="text1"/>
              </w:rPr>
            </w:r>
            <w:r>
              <w:rPr>
                <w:color w:val="000000" w:themeColor="text1"/>
              </w:rPr>
            </w:r>
          </w:p>
        </w:tc>
      </w:tr>
      <w:tr>
        <w:trPr>
          <w:trHeight w:val="552"/>
        </w:trPr>
        <w:tc>
          <w:tcPr>
            <w:shd w:val="clear" w:color="ffffff" w:fill="ffffff"/>
            <w:tcBorders>
              <w:left w:val="single" w:color="000000" w:sz="5" w:space="0"/>
              <w:bottom w:val="single" w:color="000000" w:sz="5" w:space="0"/>
              <w:right w:val="single" w:color="000000" w:sz="5" w:space="0"/>
            </w:tcBorders>
            <w:tcMar>
              <w:left w:w="0" w:type="dxa"/>
              <w:top w:w="0" w:type="dxa"/>
              <w:right w:w="0" w:type="dxa"/>
              <w:bottom w:w="0" w:type="dxa"/>
            </w:tcMar>
            <w:tcW w:w="728"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E4</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888" w:type="dxa"/>
            <w:vAlign w:val="center"/>
            <w:textDirection w:val="lrTb"/>
            <w:noWrap w:val="false"/>
          </w:tcPr>
          <w:p>
            <w:pPr>
              <w:pBdr/>
              <w:spacing w:after="0" w:before="0" w:line="240" w:lineRule="auto"/>
              <w:ind/>
              <w:rPr>
                <w:color w:val="000000" w:themeColor="text1"/>
              </w:rPr>
            </w:pPr>
            <w:r>
              <w:rPr>
                <w:rFonts w:ascii="Times New Roman" w:hAnsi="Times New Roman" w:eastAsia="Times New Roman" w:cs="Times New Roman"/>
                <w:color w:val="000000" w:themeColor="text1"/>
                <w:sz w:val="22"/>
              </w:rPr>
              <w:t xml:space="preserve">Tổng giá trị điều chỉnh thuần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935"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Đồng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5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6"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3.142.308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2"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2.861.176 </w:t>
            </w:r>
            <w:r>
              <w:rPr>
                <w:color w:val="000000" w:themeColor="text1"/>
              </w:rPr>
            </w:r>
            <w:r>
              <w:rPr>
                <w:color w:val="000000" w:themeColor="text1"/>
              </w:rPr>
            </w:r>
          </w:p>
        </w:tc>
        <w:tc>
          <w:tcPr>
            <w:shd w:val="clear" w:color="ffffff" w:fill="ffffff"/>
            <w:tcBorders>
              <w:bottom w:val="single" w:color="000000" w:sz="5" w:space="0"/>
              <w:right w:val="single" w:color="000000" w:sz="5" w:space="0"/>
            </w:tcBorders>
            <w:tcMar>
              <w:left w:w="0" w:type="dxa"/>
              <w:top w:w="0" w:type="dxa"/>
              <w:right w:w="0" w:type="dxa"/>
              <w:bottom w:w="0" w:type="dxa"/>
            </w:tcMar>
            <w:tcW w:w="1993" w:type="dxa"/>
            <w:vAlign w:val="center"/>
            <w:textDirection w:val="lrTb"/>
            <w:noWrap/>
          </w:tcPr>
          <w:p>
            <w:pPr>
              <w:pBdr/>
              <w:spacing w:after="0" w:before="0" w:line="240" w:lineRule="auto"/>
              <w:ind/>
              <w:jc w:val="center"/>
              <w:rPr>
                <w:color w:val="000000" w:themeColor="text1"/>
              </w:rPr>
            </w:pPr>
            <w:r>
              <w:rPr>
                <w:rFonts w:ascii="Times New Roman" w:hAnsi="Times New Roman" w:eastAsia="Times New Roman" w:cs="Times New Roman"/>
                <w:color w:val="000000" w:themeColor="text1"/>
                <w:sz w:val="22"/>
              </w:rPr>
              <w:t xml:space="preserve">0 </w:t>
            </w:r>
            <w:r>
              <w:rPr>
                <w:color w:val="000000" w:themeColor="text1"/>
              </w:rPr>
            </w:r>
            <w:r>
              <w:rPr>
                <w:color w:val="000000" w:themeColor="text1"/>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-6,0</w:t>
      </w:r>
      <w:r>
        <w:t xml:space="preserve">% đến</w:t>
      </w:r>
      <w:r>
        <w:t xml:space="preserve"> </w:t>
      </w:r>
      <w:r>
        <w:t xml:space="preserve"> </w:t>
      </w:r>
      <w:r>
        <w:t xml:space="preserve">6,0%,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TT</w:t>
            </w: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Tài sản</w:t>
            </w: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Mức giá chỉ dẫn của các TSSS</w:t>
            </w: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Trọng số của các TSSS sau điều chỉnh</w:t>
            </w: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trung bình của mức giá chỉ dẫn sau điều chỉnh</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1</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1</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65.988.462</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21.993.954</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2</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74.390.588</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33,33%</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24.794.383</w:t>
            </w: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w:t>
            </w: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after="0" w:before="0" w:line="240" w:lineRule="auto"/>
              <w:ind/>
              <w:jc w:val="both"/>
              <w:rPr/>
            </w:pPr>
            <w:r>
              <w:rPr>
                <w:rFonts w:ascii="Times New Roman" w:hAnsi="Times New Roman" w:eastAsia="Times New Roman" w:cs="Times New Roman"/>
                <w:color w:val="000000"/>
                <w:sz w:val="24"/>
              </w:rPr>
              <w:t xml:space="preserve">Tài sản so sánh 3</w:t>
            </w: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70.153.846</w:t>
            </w: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33,34%</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color w:val="000000"/>
                <w:sz w:val="24"/>
              </w:rPr>
              <w:t xml:space="preserve">23.389.292</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Giá trị bình quân theo trọng số:</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70.177.630</w:t>
            </w: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Làm tròn:</w:t>
            </w: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after="0" w:before="0" w:line="240" w:lineRule="auto"/>
              <w:ind/>
              <w:jc w:val="center"/>
              <w:rPr/>
            </w:pPr>
            <w:r>
              <w:rPr>
                <w:rFonts w:ascii="Times New Roman" w:hAnsi="Times New Roman" w:eastAsia="Times New Roman" w:cs="Times New Roman"/>
                <w:b/>
                <w:color w:val="000000"/>
                <w:sz w:val="24"/>
              </w:rPr>
              <w:t xml:space="preserve">70.000.000</w:t>
            </w: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70.000.000</w:t>
      </w:r>
      <w:r>
        <w:rPr>
          <w:b/>
          <w:bCs/>
          <w:color w:val="000000" w:themeColor="text1"/>
        </w:rPr>
        <w:t xml:space="preserve"> </w:t>
      </w:r>
      <w:r>
        <w:rPr>
          <w:b/>
          <w:bCs/>
        </w:rPr>
        <w:t xml:space="preserve">đồng/m².</w:t>
      </w:r>
      <w:r>
        <w:rPr>
          <w:b/>
          <w:bCs/>
        </w:rPr>
      </w:r>
      <w:r>
        <w:rPr>
          <w:b/>
          <w:bCs/>
        </w:rPr>
      </w:r>
    </w:p>
    <w:p>
      <w:pPr>
        <w:pStyle w:val="1025"/>
        <w:pBdr/>
        <w:spacing w:after="120" w:before="120" w:line="276" w:lineRule="auto"/>
        <w:ind w:left="0"/>
        <w:jc w:val="both"/>
        <w:rPr>
          <w:b/>
          <w:lang w:val="pt-BR"/>
        </w:rPr>
      </w:pPr>
      <w:r>
        <w:rPr>
          <w:b/>
          <w:lang w:val="pt-BR"/>
        </w:rPr>
      </w:r>
      <w:r>
        <w:rPr>
          <w:b/>
          <w:lang w:val="pt-BR"/>
        </w:rPr>
      </w:r>
      <w:r>
        <w:rPr>
          <w:b/>
          <w:lang w:val="pt-BR"/>
        </w:rPr>
      </w:r>
    </w:p>
    <w:p>
      <w:pPr>
        <w:pStyle w:val="1025"/>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5"/>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b/>
                <w:bCs/>
                <w:color w:val="000000"/>
              </w:rPr>
              <w:t xml:space="preserve">Quyền sở hữu căn hộ chung cư số 908 tại nhà ĐN1- OCT2, phường Đại Kim, quận Hoàng Mai, thành phố Hà Nội (nay là Phường Định Công, Thành phố Hà Nội) theo Gi</w:t>
            </w:r>
            <w:r>
              <w:rPr>
                <w:b/>
                <w:bCs/>
                <w:color w:val="000000"/>
              </w:rPr>
              <w:t xml:space="preserve">ấy chứng nhận quyền sử dụng đất, quyền sở hữu nhà ở và tài sản khác gắn liền với đất số: BL 750325, số vào sổ cấp GCN: CH 01528/Hđ: 1876/1992 do Uỷ ban Nhân dân Quận Hoàng Mai cấp ngày 25/09/2012; Chủ sở hữu căn hộ là Ông Nguyễn Mạnh Hùng và Bà Hà Anh Xuân</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Căn hộ chung cư </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71</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70.000.000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4.970.000.000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4.970.000.000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Bốn tỷ, chín trăm bảy mươi triệu đồng chẵn</w:t>
            </w:r>
            <w:r>
              <w:rPr>
                <w:b/>
                <w:bCs/>
                <w:i/>
                <w:iCs/>
                <w:color w:val="000000"/>
              </w:rPr>
              <w:t xml:space="preserve">./.)</w:t>
            </w:r>
            <w:r>
              <w:rPr>
                <w:b/>
                <w:bCs/>
                <w:i/>
                <w:iCs/>
                <w:color w:val="000000"/>
              </w:rPr>
            </w:r>
            <w:r>
              <w:rPr>
                <w:b/>
                <w:bCs/>
                <w:i/>
                <w:iCs/>
                <w:color w:val="000000"/>
              </w:rPr>
            </w:r>
          </w:p>
        </w:tc>
      </w:tr>
    </w:tbl>
    <w:p>
      <w:pPr>
        <w:pStyle w:val="1025"/>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5"/>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5"/>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5"/>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5"/>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5"/>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5"/>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5"/>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5"/>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5"/>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5"/>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5"/>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5"/>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5"/>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5"/>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5"/>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5"/>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5"/>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5"/>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275/2026/0841/VFI-CT.53.A</w:t>
      </w:r>
      <w:r>
        <w:rPr>
          <w:color w:val="ff0000"/>
          <w:lang w:val="vi-VN"/>
        </w:rPr>
        <w:t xml:space="preserve"> </w:t>
      </w:r>
      <w:r>
        <w:rPr>
          <w:color w:val="000000" w:themeColor="text1"/>
        </w:rPr>
        <w:t xml:space="preserve">ngày 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5"/>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Trần Thị Thanh Tâm</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275/2026/0841/VFI-BC.53.A ngày</w:t>
      </w:r>
      <w:r>
        <w:rPr>
          <w:i/>
          <w:lang w:val="pt-BR"/>
        </w:rPr>
        <w:t xml:space="preserve">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2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725975" cy="2336919"/>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546752" name=""/>
                              <pic:cNvPicPr>
                                <a:picLocks noChangeAspect="1"/>
                              </pic:cNvPicPr>
                              <pic:nvPr/>
                            </pic:nvPicPr>
                            <pic:blipFill rotWithShape="1">
                              <a:blip r:embed="rId18"/>
                              <a:stretch/>
                            </pic:blipFill>
                            <pic:spPr bwMode="auto">
                              <a:xfrm flipH="0" flipV="0">
                                <a:off x="0" y="0"/>
                                <a:ext cx="1725974" cy="23369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35.90pt;height:184.01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26712" cy="2420034"/>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246241" name=""/>
                              <pic:cNvPicPr>
                                <a:picLocks noChangeAspect="1"/>
                              </pic:cNvPicPr>
                              <pic:nvPr/>
                            </pic:nvPicPr>
                            <pic:blipFill rotWithShape="1">
                              <a:blip r:embed="rId19"/>
                              <a:stretch/>
                            </pic:blipFill>
                            <pic:spPr bwMode="auto">
                              <a:xfrm flipH="0" flipV="0">
                                <a:off x="0" y="0"/>
                                <a:ext cx="3226711" cy="24200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4.07pt;height:190.55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65460" cy="2149095"/>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10516" name=""/>
                              <pic:cNvPicPr>
                                <a:picLocks noChangeAspect="1"/>
                              </pic:cNvPicPr>
                              <pic:nvPr/>
                            </pic:nvPicPr>
                            <pic:blipFill rotWithShape="1">
                              <a:blip r:embed="rId20"/>
                              <a:stretch/>
                            </pic:blipFill>
                            <pic:spPr bwMode="auto">
                              <a:xfrm flipH="0" flipV="0">
                                <a:off x="0" y="0"/>
                                <a:ext cx="2865459" cy="214909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5.63pt;height:169.22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208495" cy="2556133"/>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61174" name=""/>
                              <pic:cNvPicPr>
                                <a:picLocks noChangeAspect="1"/>
                              </pic:cNvPicPr>
                              <pic:nvPr/>
                            </pic:nvPicPr>
                            <pic:blipFill rotWithShape="1">
                              <a:blip r:embed="rId21"/>
                              <a:stretch/>
                            </pic:blipFill>
                            <pic:spPr bwMode="auto">
                              <a:xfrm flipH="0" flipV="0">
                                <a:off x="0" y="0"/>
                                <a:ext cx="2208495" cy="255613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173.90pt;height:201.27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877640" cy="250352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331862" name=""/>
                              <pic:cNvPicPr>
                                <a:picLocks noChangeAspect="1"/>
                              </pic:cNvPicPr>
                              <pic:nvPr/>
                            </pic:nvPicPr>
                            <pic:blipFill rotWithShape="1">
                              <a:blip r:embed="rId22"/>
                              <a:stretch/>
                            </pic:blipFill>
                            <pic:spPr bwMode="auto">
                              <a:xfrm flipH="0" flipV="0">
                                <a:off x="0" y="0"/>
                                <a:ext cx="1877639" cy="250351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47.85pt;height:197.13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101875" cy="2475013"/>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674417" name=""/>
                              <pic:cNvPicPr>
                                <a:picLocks noChangeAspect="1"/>
                              </pic:cNvPicPr>
                              <pic:nvPr/>
                            </pic:nvPicPr>
                            <pic:blipFill rotWithShape="1">
                              <a:blip r:embed="rId23"/>
                              <a:stretch/>
                            </pic:blipFill>
                            <pic:spPr bwMode="auto">
                              <a:xfrm flipH="0" flipV="0">
                                <a:off x="0" y="0"/>
                                <a:ext cx="2101874" cy="247501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165.50pt;height:194.88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t xml:space="preserve">                                     </w:t>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p>
    <w:p>
      <w:pPr>
        <w:pBdr/>
        <w:spacing/>
        <w:ind/>
        <w:jc w:val="center"/>
        <w:rPr>
          <w:i/>
          <w:lang w:val="pt-BR"/>
        </w:rPr>
      </w:pPr>
      <w:r>
        <w:rPr>
          <w:i/>
          <w:lang w:val="pt-BR"/>
        </w:rPr>
        <w:t xml:space="preserve">(Kèm theo Báo cáo thẩm định số </w:t>
      </w:r>
      <w:r>
        <w:rPr>
          <w:i/>
        </w:rPr>
        <w:t xml:space="preserve">275/2026/0841/VFI-BC.53.A</w:t>
      </w:r>
      <w:r>
        <w:rPr>
          <w:i/>
          <w:lang w:val="pt-BR"/>
        </w:rPr>
        <w:t xml:space="preserve"> ngày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https://www.facebook.com/photo/?fbid=3455178214646368&amp;set=pcb.1844830096211631</w:t>
            </w:r>
            <w:r>
              <w:rPr>
                <w:color w:val="000000" w:themeColor="text1"/>
                <w:sz w:val="22"/>
                <w:szCs w:val="22"/>
              </w:rPr>
              <w:br/>
              <w:t xml:space="preserve">0374643508</w:t>
            </w:r>
            <w:r>
              <w:rPr>
                <w:sz w:val="22"/>
                <w:szCs w:val="22"/>
              </w:rPr>
              <w:t xml:space="preserve"> </w:t>
            </w:r>
            <w:r>
              <w:rPr>
                <w:sz w:val="22"/>
                <w:szCs w:val="22"/>
              </w:rPr>
              <w:br/>
              <w:t xml:space="preserve">(Hoa</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4.085.000.000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Căn chung cư tại OCT-DN2, phường Định Công, TP Hà Nội</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Đường nhựa có vỉa hè</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val="0"/>
                <w:bCs w:val="0"/>
                <w:sz w:val="22"/>
                <w:szCs w:val="22"/>
              </w:rPr>
            </w:pPr>
            <w:r>
              <w:rPr>
                <w:b w:val="0"/>
                <w:bCs w:val="0"/>
                <w:color w:val="000000" w:themeColor="text1"/>
                <w:sz w:val="22"/>
                <w:szCs w:val="22"/>
              </w:rPr>
              <w:t xml:space="preserve">65</w:t>
            </w:r>
            <w:r>
              <w:rPr>
                <w:b w:val="0"/>
                <w:bCs w:val="0"/>
                <w:sz w:val="22"/>
                <w:szCs w:val="22"/>
              </w:rPr>
            </w:r>
            <w:r>
              <w:rPr>
                <w:b w:val="0"/>
                <w:bCs w:val="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97237"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6397237"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503.7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6514579"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651457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512.96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545381"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5453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00.42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600993"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460099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362.2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Trần Thị Thanh Tâm</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rPr>
          <w:b/>
          <w:bCs/>
          <w:iCs/>
          <w:lang w:val="pt-BR"/>
        </w:rPr>
      </w:pPr>
      <w:r>
        <w:rPr>
          <w:b/>
          <w:bCs/>
          <w:iCs/>
          <w:lang w:val="pt-BR"/>
        </w:rPr>
        <w:br w:type="page" w:clear="all"/>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0335363222</w:t>
            </w:r>
            <w:r>
              <w:rPr>
                <w:sz w:val="22"/>
                <w:szCs w:val="22"/>
              </w:rPr>
              <w:t xml:space="preserve"> </w:t>
            </w:r>
            <w:r>
              <w:rPr>
                <w:sz w:val="22"/>
                <w:szCs w:val="22"/>
              </w:rPr>
              <w:br/>
              <w:t xml:space="preserve">(Hoàng 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6.080.000.000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Căn chung cư tại OCT-DN2, phường Định Công, TP Hà Nội</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57669"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3857669"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03.7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7.50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187.5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Trần Thị Thanh Tâm</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0335363222</w:t>
            </w:r>
            <w:r>
              <w:rPr>
                <w:sz w:val="22"/>
                <w:szCs w:val="22"/>
              </w:rPr>
              <w:t xml:space="preserve"> </w:t>
            </w:r>
            <w:r>
              <w:rPr>
                <w:sz w:val="22"/>
                <w:szCs w:val="22"/>
              </w:rPr>
              <w:br/>
              <w:t xml:space="preserve">(nhung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4.800.000.000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(65m²)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after="0" w:before="0" w:line="240" w:lineRule="auto"/>
              <w:ind/>
              <w:jc w:val="center"/>
              <w:rPr>
                <w:b w:val="0"/>
                <w:bCs w:val="0"/>
              </w:rPr>
            </w:pPr>
            <w:r>
              <w:rPr>
                <w:rFonts w:ascii="Times New Roman" w:hAnsi="Times New Roman" w:eastAsia="Times New Roman" w:cs="Times New Roman"/>
                <w:b w:val="0"/>
                <w:bCs w:val="0"/>
                <w:color w:val="000000"/>
                <w:sz w:val="22"/>
              </w:rPr>
              <w:t xml:space="preserve">Căn chung cư tại OCT-DN2, phường Định Công, TP Hà Nội</w:t>
            </w:r>
            <w:r>
              <w:rPr>
                <w:b w:val="0"/>
                <w:bCs w:val="0"/>
              </w:rPr>
            </w:r>
            <w:r>
              <w:rPr>
                <w:b w:val="0"/>
                <w:bCs w:val="0"/>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778221"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77822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297.50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233333"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4233333"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333.33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8438"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15.6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1468438" cy="3175000"/>
                      <wp:effectExtent l="0" t="0" r="0" b="0"/>
                      <wp:docPr id="2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5"/>
                              <a:stretch/>
                            </pic:blipFill>
                            <pic:spPr bwMode="auto">
                              <a:xfrm>
                                <a:off x="0" y="0"/>
                                <a:ext cx="146843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115.63pt;height:250.00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t xml:space="preserve">Trần Thị Thanh Tâm</w:t>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lang w:val="pt-BR"/>
        </w:rPr>
      </w:pPr>
      <w:r>
        <w:rPr>
          <w:iCs/>
          <w:lang w:val="pt-BR"/>
        </w:rPr>
      </w:r>
      <w:r>
        <w:rPr>
          <w:lang w:val="pt-BR"/>
        </w:rPr>
      </w:r>
      <w:r>
        <w:rPr>
          <w:lang w:val="pt-BR"/>
        </w:rPr>
      </w:r>
    </w:p>
    <w:p>
      <w:pPr>
        <w:pBdr/>
        <w:spacing w:after="200" w:line="276" w:lineRule="auto"/>
        <w:ind/>
        <w:jc w:val="center"/>
        <w:rPr>
          <w:b/>
          <w:bCs/>
          <w:iCs/>
          <w:highlight w:val="none"/>
          <w:lang w:val="pt-BR"/>
        </w:rPr>
      </w:pPr>
      <w:r>
        <w:rPr>
          <w:b/>
          <w:bCs/>
          <w:iCs/>
          <w:lang w:val="pt-BR"/>
        </w:rPr>
        <w:t xml:space="preserve">HỒ SƠ PHÁP LÝ </w:t>
      </w:r>
      <w:r>
        <w:rPr>
          <w:b/>
          <w:bCs/>
          <w:iCs/>
          <w:highlight w:val="none"/>
          <w:lang w:val="pt-BR"/>
        </w:rPr>
      </w:r>
      <w:r>
        <w:rPr>
          <w:b/>
          <w:bCs/>
          <w:iCs/>
          <w:highlight w:val="none"/>
          <w:lang w:val="pt-BR"/>
        </w:rPr>
      </w:r>
    </w:p>
    <w:p>
      <w:pPr>
        <w:pBdr/>
        <w:spacing w:after="200" w:line="276" w:lineRule="auto"/>
        <w:ind/>
        <w:jc w:val="center"/>
        <w:rPr>
          <w:highlight w:val="none"/>
        </w:rPr>
      </w:pPr>
      <w:r>
        <w:rPr>
          <w:b/>
          <w:bCs/>
          <w:iCs/>
          <w:highlight w:val="none"/>
          <w:lang w:val="pt-BR"/>
        </w:rPr>
      </w:r>
      <w:r>
        <mc:AlternateContent>
          <mc:Choice Requires="wpg">
            <w:drawing>
              <wp:inline xmlns:wp="http://schemas.openxmlformats.org/drawingml/2006/wordprocessingDrawing" distT="0" distB="0" distL="0" distR="0">
                <wp:extent cx="6048375" cy="8012719"/>
                <wp:effectExtent l="0" t="0" r="0" b="0"/>
                <wp:docPr id="2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356447" name=""/>
                        <pic:cNvPicPr>
                          <a:picLocks noChangeAspect="1"/>
                        </pic:cNvPicPr>
                        <pic:nvPr/>
                      </pic:nvPicPr>
                      <pic:blipFill rotWithShape="1">
                        <a:blip r:embed="rId36"/>
                        <a:stretch/>
                      </pic:blipFill>
                      <pic:spPr bwMode="auto">
                        <a:xfrm>
                          <a:off x="0" y="0"/>
                          <a:ext cx="6048374" cy="801271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76.25pt;height:630.92pt;mso-wrap-distance-left:0.00pt;mso-wrap-distance-top:0.00pt;mso-wrap-distance-right:0.00pt;mso-wrap-distance-bottom:0.00pt;z-index:1;" stroked="false">
                <v:imagedata r:id="rId36"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028210"/>
                <wp:effectExtent l="0" t="0" r="0" b="0"/>
                <wp:docPr id="2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73392" name=""/>
                        <pic:cNvPicPr>
                          <a:picLocks noChangeAspect="1"/>
                        </pic:cNvPicPr>
                        <pic:nvPr/>
                      </pic:nvPicPr>
                      <pic:blipFill rotWithShape="1">
                        <a:blip r:embed="rId37"/>
                        <a:stretch/>
                      </pic:blipFill>
                      <pic:spPr bwMode="auto">
                        <a:xfrm>
                          <a:off x="0" y="0"/>
                          <a:ext cx="6048374" cy="80282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476.25pt;height:632.14pt;mso-wrap-distance-left:0.00pt;mso-wrap-distance-top:0.00pt;mso-wrap-distance-right:0.00pt;mso-wrap-distance-bottom:0.00pt;z-index:1;" stroked="false">
                <v:imagedata r:id="rId37"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336506" cy="8448675"/>
                <wp:effectExtent l="0" t="0" r="0" b="0"/>
                <wp:docPr id="2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542169" name=""/>
                        <pic:cNvPicPr>
                          <a:picLocks noChangeAspect="1"/>
                        </pic:cNvPicPr>
                        <pic:nvPr/>
                      </pic:nvPicPr>
                      <pic:blipFill rotWithShape="1">
                        <a:blip r:embed="rId38"/>
                        <a:stretch/>
                      </pic:blipFill>
                      <pic:spPr bwMode="auto">
                        <a:xfrm flipH="0" flipV="0">
                          <a:off x="0" y="0"/>
                          <a:ext cx="6336506" cy="844867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498.94pt;height:665.25pt;mso-wrap-distance-left:0.00pt;mso-wrap-distance-top:0.00pt;mso-wrap-distance-right:0.00pt;mso-wrap-distance-bottom:0.00pt;z-index:1;" stroked="false">
                <v:imagedata r:id="rId38"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rPr>
      </w:pPr>
      <w:r>
        <w:rPr>
          <w:b/>
          <w:bCs/>
        </w:rPr>
      </w:r>
      <w:r>
        <w:rPr>
          <w:b/>
          <w:bCs/>
        </w:rPr>
      </w:r>
      <w:r>
        <w:rPr>
          <w:b/>
          <w:bCs/>
        </w:rPr>
      </w:r>
    </w:p>
    <w:p>
      <w:pPr>
        <w:pBdr/>
        <w:spacing w:after="200" w:line="276" w:lineRule="auto"/>
        <w:ind/>
        <w:jc w:val="center"/>
        <w:rPr>
          <w:highlight w:val="none"/>
        </w:rPr>
      </w:pPr>
      <w:r>
        <w:rPr>
          <w:highlight w:val="none"/>
        </w:rPr>
      </w:r>
      <w:r>
        <mc:AlternateContent>
          <mc:Choice Requires="wpg">
            <w:drawing>
              <wp:inline xmlns:wp="http://schemas.openxmlformats.org/drawingml/2006/wordprocessingDrawing" distT="0" distB="0" distL="0" distR="0">
                <wp:extent cx="6048375" cy="8791035"/>
                <wp:effectExtent l="0" t="0" r="0" b="0"/>
                <wp:docPr id="2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557439" name=""/>
                        <pic:cNvPicPr>
                          <a:picLocks noChangeAspect="1"/>
                        </pic:cNvPicPr>
                        <pic:nvPr/>
                      </pic:nvPicPr>
                      <pic:blipFill rotWithShape="1">
                        <a:blip r:embed="rId39"/>
                        <a:stretch/>
                      </pic:blipFill>
                      <pic:spPr bwMode="auto">
                        <a:xfrm flipH="0" flipV="0">
                          <a:off x="0" y="0"/>
                          <a:ext cx="6048374" cy="87910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476.25pt;height:692.21pt;mso-wrap-distance-left:0.00pt;mso-wrap-distance-top:0.00pt;mso-wrap-distance-right:0.00pt;mso-wrap-distance-bottom:0.00pt;z-index:1;" stroked="false">
                <v:imagedata r:id="rId39" o:title=""/>
                <o:lock v:ext="edit" rotation="t"/>
              </v:shape>
            </w:pict>
          </mc:Fallback>
        </mc:AlternateContent>
      </w:r>
      <w:r>
        <w:rPr>
          <w:highlight w:val="none"/>
        </w:rPr>
      </w:r>
      <w:r>
        <w:rPr>
          <w:highlight w:val="none"/>
        </w:rPr>
      </w:r>
    </w:p>
    <w:p>
      <w:pPr>
        <w:pBdr/>
        <w:spacing w:after="200" w:line="276" w:lineRule="auto"/>
        <w:ind/>
        <w:jc w:val="center"/>
        <w:rPr>
          <w:b/>
          <w:bCs/>
        </w:rPr>
      </w:pPr>
      <w:r>
        <w:rPr>
          <w:b/>
          <w:bCs/>
        </w:rPr>
      </w:r>
      <w:r>
        <w:rPr>
          <w:b/>
          <w:bCs/>
        </w:rPr>
      </w:r>
      <w:r>
        <w:rPr>
          <w:b/>
          <w:bCs/>
        </w:rPr>
      </w:r>
    </w:p>
    <w:p>
      <w:pPr>
        <w:pBdr/>
        <w:spacing w:after="200" w:line="276" w:lineRule="auto"/>
        <w:ind/>
        <w:jc w:val="center"/>
        <w:rPr>
          <w:b/>
          <w:bCs/>
          <w:highlight w:val="none"/>
        </w:rPr>
      </w:pPr>
      <w:r>
        <w:rPr>
          <w:b/>
          <w:bCs/>
          <w:highlight w:val="none"/>
        </w:rPr>
        <w:t xml:space="preserve">BIÊN BẢN KHẢO SÁT</w:t>
      </w:r>
      <w:r>
        <w:rPr>
          <w:b/>
          <w:bCs/>
          <w:highlight w:val="none"/>
        </w:rPr>
      </w:r>
      <w:r>
        <w:rPr>
          <w:b/>
          <w:bCs/>
          <w:highlight w:val="none"/>
        </w:rPr>
      </w:r>
    </w:p>
    <w:p>
      <w:pPr>
        <w:pBdr/>
        <w:spacing w:after="200" w:line="276" w:lineRule="auto"/>
        <w:ind/>
        <w:jc w:val="center"/>
        <w:rPr>
          <w:b/>
          <w:bCs/>
        </w:rPr>
      </w:pPr>
      <w:r>
        <w:rPr>
          <w:b/>
          <w:bCs/>
          <w:highlight w:val="none"/>
        </w:rPr>
      </w:r>
      <w:r>
        <mc:AlternateContent>
          <mc:Choice Requires="wpg">
            <w:drawing>
              <wp:inline xmlns:wp="http://schemas.openxmlformats.org/drawingml/2006/wordprocessingDrawing" distT="0" distB="0" distL="0" distR="0">
                <wp:extent cx="6048375" cy="8064500"/>
                <wp:effectExtent l="0" t="0" r="0" b="0"/>
                <wp:docPr id="2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268824" name=""/>
                        <pic:cNvPicPr>
                          <a:picLocks noChangeAspect="1"/>
                        </pic:cNvPicPr>
                        <pic:nvPr/>
                      </pic:nvPicPr>
                      <pic:blipFill rotWithShape="1">
                        <a:blip r:embed="rId40"/>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476.25pt;height:635.00pt;mso-wrap-distance-left:0.00pt;mso-wrap-distance-top:0.00pt;mso-wrap-distance-right:0.00pt;mso-wrap-distance-bottom:0.00pt;z-index:1;" stroked="false">
                <v:imagedata r:id="rId40"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1"/>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19"/>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7">
    <w:name w:val="Table Grid Light"/>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Plain Table 1"/>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Plain Table 2"/>
    <w:basedOn w:val="100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3"/>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4"/>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5"/>
    <w:basedOn w:val="100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1 Light"/>
    <w:basedOn w:val="100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1 Light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2"/>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2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3"/>
    <w:basedOn w:val="100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3 - Accent 1"/>
    <w:basedOn w:val="100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5"/>
    <w:basedOn w:val="100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6"/>
    <w:basedOn w:val="100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4"/>
    <w:basedOn w:val="100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4 - Accent 1"/>
    <w:basedOn w:val="100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 Accent 2"/>
    <w:basedOn w:val="100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3"/>
    <w:basedOn w:val="100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4"/>
    <w:basedOn w:val="100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5"/>
    <w:basedOn w:val="100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6"/>
    <w:basedOn w:val="100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5 Dark"/>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5 Dark- Accent 1"/>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 Accent 2"/>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 Accent 3"/>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Accent 4"/>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5"/>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6"/>
    <w:basedOn w:val="100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79">
    <w:name w:val="Grid Table 6 Colorful - Accent 1"/>
    <w:basedOn w:val="100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0">
    <w:name w:val="Grid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1">
    <w:name w:val="Grid Table 6 Colorful - Accent 3"/>
    <w:basedOn w:val="100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2">
    <w:name w:val="Grid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3">
    <w:name w:val="Grid Table 6 Colorful - Accent 5"/>
    <w:basedOn w:val="100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4">
    <w:name w:val="Grid Table 6 Colorful - Accent 6"/>
    <w:basedOn w:val="100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5">
    <w:name w:val="Grid Table 7 Colorful"/>
    <w:basedOn w:val="100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7 Colorful - Accent 1"/>
    <w:basedOn w:val="100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7 Colorful - Accent 2"/>
    <w:basedOn w:val="100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3"/>
    <w:basedOn w:val="100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4"/>
    <w:basedOn w:val="100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5"/>
    <w:basedOn w:val="100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6"/>
    <w:basedOn w:val="100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List Table 1 Light"/>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List Table 1 Light - Accent 1"/>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 Accent 2"/>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3"/>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4"/>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5"/>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6"/>
    <w:basedOn w:val="100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2"/>
    <w:basedOn w:val="100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2 - Accent 1"/>
    <w:basedOn w:val="100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 Accent 2"/>
    <w:basedOn w:val="100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3"/>
    <w:basedOn w:val="100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4"/>
    <w:basedOn w:val="100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5"/>
    <w:basedOn w:val="100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6"/>
    <w:basedOn w:val="100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3"/>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3 - Accent 1"/>
    <w:basedOn w:val="100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 Accent 2"/>
    <w:basedOn w:val="100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3"/>
    <w:basedOn w:val="100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4"/>
    <w:basedOn w:val="100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5"/>
    <w:basedOn w:val="100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6"/>
    <w:basedOn w:val="100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4"/>
    <w:basedOn w:val="100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4 - Accent 1"/>
    <w:basedOn w:val="100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 Accent 2"/>
    <w:basedOn w:val="100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3"/>
    <w:basedOn w:val="100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4"/>
    <w:basedOn w:val="100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5"/>
    <w:basedOn w:val="100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6"/>
    <w:basedOn w:val="100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5 Dark"/>
    <w:basedOn w:val="100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1">
    <w:name w:val="List Table 5 Dark - Accent 1"/>
    <w:basedOn w:val="100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2">
    <w:name w:val="List Table 5 Dark - Accent 2"/>
    <w:basedOn w:val="100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3"/>
    <w:basedOn w:val="100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4"/>
    <w:basedOn w:val="100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5"/>
    <w:basedOn w:val="100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6"/>
    <w:basedOn w:val="100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6 Colorful"/>
    <w:basedOn w:val="100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6 Colorful - Accent 1"/>
    <w:basedOn w:val="100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6 Colorful - Accent 2"/>
    <w:basedOn w:val="100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3"/>
    <w:basedOn w:val="100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4"/>
    <w:basedOn w:val="100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5"/>
    <w:basedOn w:val="100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6"/>
    <w:basedOn w:val="100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7 Colorful"/>
    <w:basedOn w:val="100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5">
    <w:name w:val="List Table 7 Colorful - Accent 1"/>
    <w:basedOn w:val="100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6">
    <w:name w:val="List Table 7 Colorful - Accent 2"/>
    <w:basedOn w:val="100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7">
    <w:name w:val="List Table 7 Colorful - Accent 3"/>
    <w:basedOn w:val="100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38">
    <w:name w:val="List Table 7 Colorful - Accent 4"/>
    <w:basedOn w:val="100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39">
    <w:name w:val="List Table 7 Colorful - Accent 5"/>
    <w:basedOn w:val="100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0">
    <w:name w:val="List Table 7 Colorful - Accent 6"/>
    <w:basedOn w:val="100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1">
    <w:name w:val="Lined - Accent"/>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ned - Accent 1"/>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3">
    <w:name w:val="Lined - Accent 2"/>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3"/>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4"/>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5"/>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6"/>
    <w:basedOn w:val="100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Bordered &amp; Lined - Accent"/>
    <w:basedOn w:val="100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Bordered &amp; Lined - Accent 1"/>
    <w:basedOn w:val="100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2"/>
    <w:basedOn w:val="100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3"/>
    <w:basedOn w:val="100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4"/>
    <w:basedOn w:val="100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5"/>
    <w:basedOn w:val="100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6"/>
    <w:basedOn w:val="100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w:basedOn w:val="100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 Accent 1"/>
    <w:basedOn w:val="100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 Accent 2"/>
    <w:basedOn w:val="100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3"/>
    <w:basedOn w:val="100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4"/>
    <w:basedOn w:val="100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5"/>
    <w:basedOn w:val="100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6"/>
    <w:basedOn w:val="100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2">
    <w:name w:val="Heading 5"/>
    <w:basedOn w:val="1003"/>
    <w:next w:val="1003"/>
    <w:link w:val="967"/>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3">
    <w:name w:val="Heading 6"/>
    <w:basedOn w:val="1003"/>
    <w:next w:val="1003"/>
    <w:link w:val="968"/>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4">
    <w:name w:val="Heading 7"/>
    <w:basedOn w:val="1003"/>
    <w:next w:val="1003"/>
    <w:link w:val="969"/>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5">
    <w:name w:val="Heading 8"/>
    <w:basedOn w:val="1003"/>
    <w:next w:val="1003"/>
    <w:link w:val="970"/>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6">
    <w:name w:val="Heading 9"/>
    <w:basedOn w:val="1003"/>
    <w:next w:val="1003"/>
    <w:link w:val="971"/>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7">
    <w:name w:val="Heading 5 Char"/>
    <w:basedOn w:val="1008"/>
    <w:link w:val="962"/>
    <w:uiPriority w:val="9"/>
    <w:pPr>
      <w:pBdr/>
      <w:spacing/>
      <w:ind/>
    </w:pPr>
    <w:rPr>
      <w:rFonts w:ascii="Arial" w:hAnsi="Arial" w:eastAsia="Arial" w:cs="Arial"/>
      <w:color w:val="0f4761" w:themeColor="accent1" w:themeShade="BF"/>
    </w:rPr>
  </w:style>
  <w:style w:type="character" w:styleId="968">
    <w:name w:val="Heading 6 Char"/>
    <w:basedOn w:val="1008"/>
    <w:link w:val="963"/>
    <w:uiPriority w:val="9"/>
    <w:pPr>
      <w:pBdr/>
      <w:spacing/>
      <w:ind/>
    </w:pPr>
    <w:rPr>
      <w:rFonts w:ascii="Arial" w:hAnsi="Arial" w:eastAsia="Arial" w:cs="Arial"/>
      <w:i/>
      <w:iCs/>
      <w:color w:val="595959" w:themeColor="text1" w:themeTint="A6"/>
    </w:rPr>
  </w:style>
  <w:style w:type="character" w:styleId="969">
    <w:name w:val="Heading 7 Char"/>
    <w:basedOn w:val="1008"/>
    <w:link w:val="964"/>
    <w:uiPriority w:val="9"/>
    <w:pPr>
      <w:pBdr/>
      <w:spacing/>
      <w:ind/>
    </w:pPr>
    <w:rPr>
      <w:rFonts w:ascii="Arial" w:hAnsi="Arial" w:eastAsia="Arial" w:cs="Arial"/>
      <w:color w:val="595959" w:themeColor="text1" w:themeTint="A6"/>
    </w:rPr>
  </w:style>
  <w:style w:type="character" w:styleId="970">
    <w:name w:val="Heading 8 Char"/>
    <w:basedOn w:val="1008"/>
    <w:link w:val="965"/>
    <w:uiPriority w:val="9"/>
    <w:pPr>
      <w:pBdr/>
      <w:spacing/>
      <w:ind/>
    </w:pPr>
    <w:rPr>
      <w:rFonts w:ascii="Arial" w:hAnsi="Arial" w:eastAsia="Arial" w:cs="Arial"/>
      <w:i/>
      <w:iCs/>
      <w:color w:val="272727" w:themeColor="text1" w:themeTint="D8"/>
    </w:rPr>
  </w:style>
  <w:style w:type="character" w:styleId="971">
    <w:name w:val="Heading 9 Char"/>
    <w:basedOn w:val="1008"/>
    <w:link w:val="966"/>
    <w:uiPriority w:val="9"/>
    <w:pPr>
      <w:pBdr/>
      <w:spacing/>
      <w:ind/>
    </w:pPr>
    <w:rPr>
      <w:rFonts w:ascii="Arial" w:hAnsi="Arial" w:eastAsia="Arial" w:cs="Arial"/>
      <w:i/>
      <w:iCs/>
      <w:color w:val="272727" w:themeColor="text1" w:themeTint="D8"/>
    </w:rPr>
  </w:style>
  <w:style w:type="paragraph" w:styleId="972">
    <w:name w:val="Subtitle"/>
    <w:basedOn w:val="1003"/>
    <w:next w:val="1003"/>
    <w:link w:val="973"/>
    <w:uiPriority w:val="11"/>
    <w:qFormat/>
    <w:pPr>
      <w:numPr>
        <w:ilvl w:val="1"/>
      </w:numPr>
      <w:pBdr/>
      <w:spacing/>
      <w:ind/>
    </w:pPr>
    <w:rPr>
      <w:color w:val="595959" w:themeColor="text1" w:themeTint="A6"/>
      <w:spacing w:val="15"/>
      <w:sz w:val="28"/>
      <w:szCs w:val="28"/>
    </w:rPr>
  </w:style>
  <w:style w:type="character" w:styleId="973">
    <w:name w:val="Subtitle Char"/>
    <w:basedOn w:val="1008"/>
    <w:link w:val="972"/>
    <w:uiPriority w:val="11"/>
    <w:pPr>
      <w:pBdr/>
      <w:spacing/>
      <w:ind/>
    </w:pPr>
    <w:rPr>
      <w:color w:val="595959" w:themeColor="text1" w:themeTint="A6"/>
      <w:spacing w:val="15"/>
      <w:sz w:val="28"/>
      <w:szCs w:val="28"/>
    </w:rPr>
  </w:style>
  <w:style w:type="paragraph" w:styleId="974">
    <w:name w:val="Quote"/>
    <w:basedOn w:val="1003"/>
    <w:next w:val="1003"/>
    <w:link w:val="975"/>
    <w:uiPriority w:val="29"/>
    <w:qFormat/>
    <w:pPr>
      <w:pBdr/>
      <w:spacing w:before="160"/>
      <w:ind/>
      <w:jc w:val="center"/>
    </w:pPr>
    <w:rPr>
      <w:i/>
      <w:iCs/>
      <w:color w:val="404040" w:themeColor="text1" w:themeTint="BF"/>
    </w:rPr>
  </w:style>
  <w:style w:type="character" w:styleId="975">
    <w:name w:val="Quote Char"/>
    <w:basedOn w:val="1008"/>
    <w:link w:val="974"/>
    <w:uiPriority w:val="29"/>
    <w:pPr>
      <w:pBdr/>
      <w:spacing/>
      <w:ind/>
    </w:pPr>
    <w:rPr>
      <w:i/>
      <w:iCs/>
      <w:color w:val="404040" w:themeColor="text1" w:themeTint="BF"/>
    </w:rPr>
  </w:style>
  <w:style w:type="character" w:styleId="976">
    <w:name w:val="Intense Emphasis"/>
    <w:basedOn w:val="1008"/>
    <w:uiPriority w:val="21"/>
    <w:qFormat/>
    <w:pPr>
      <w:pBdr/>
      <w:spacing/>
      <w:ind/>
    </w:pPr>
    <w:rPr>
      <w:i/>
      <w:iCs/>
      <w:color w:val="0f4761" w:themeColor="accent1" w:themeShade="BF"/>
    </w:rPr>
  </w:style>
  <w:style w:type="paragraph" w:styleId="977">
    <w:name w:val="Intense Quote"/>
    <w:basedOn w:val="1003"/>
    <w:next w:val="1003"/>
    <w:link w:val="9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78">
    <w:name w:val="Intense Quote Char"/>
    <w:basedOn w:val="1008"/>
    <w:link w:val="977"/>
    <w:uiPriority w:val="30"/>
    <w:pPr>
      <w:pBdr/>
      <w:spacing/>
      <w:ind/>
    </w:pPr>
    <w:rPr>
      <w:i/>
      <w:iCs/>
      <w:color w:val="0f4761" w:themeColor="accent1" w:themeShade="BF"/>
    </w:rPr>
  </w:style>
  <w:style w:type="character" w:styleId="979">
    <w:name w:val="Intense Reference"/>
    <w:basedOn w:val="1008"/>
    <w:uiPriority w:val="32"/>
    <w:qFormat/>
    <w:pPr>
      <w:pBdr/>
      <w:spacing/>
      <w:ind/>
    </w:pPr>
    <w:rPr>
      <w:b/>
      <w:bCs/>
      <w:smallCaps/>
      <w:color w:val="0f4761" w:themeColor="accent1" w:themeShade="BF"/>
      <w:spacing w:val="5"/>
    </w:rPr>
  </w:style>
  <w:style w:type="paragraph" w:styleId="980">
    <w:name w:val="No Spacing"/>
    <w:basedOn w:val="1003"/>
    <w:uiPriority w:val="1"/>
    <w:qFormat/>
    <w:pPr>
      <w:pBdr/>
      <w:spacing w:after="0" w:line="240" w:lineRule="auto"/>
      <w:ind/>
    </w:pPr>
  </w:style>
  <w:style w:type="character" w:styleId="981">
    <w:name w:val="Subtle Emphasis"/>
    <w:basedOn w:val="1008"/>
    <w:uiPriority w:val="19"/>
    <w:qFormat/>
    <w:pPr>
      <w:pBdr/>
      <w:spacing/>
      <w:ind/>
    </w:pPr>
    <w:rPr>
      <w:i/>
      <w:iCs/>
      <w:color w:val="404040" w:themeColor="text1" w:themeTint="BF"/>
    </w:rPr>
  </w:style>
  <w:style w:type="character" w:styleId="982">
    <w:name w:val="Subtle Reference"/>
    <w:basedOn w:val="1008"/>
    <w:uiPriority w:val="31"/>
    <w:qFormat/>
    <w:pPr>
      <w:pBdr/>
      <w:spacing/>
      <w:ind/>
    </w:pPr>
    <w:rPr>
      <w:smallCaps/>
      <w:color w:val="5a5a5a" w:themeColor="text1" w:themeTint="A5"/>
    </w:rPr>
  </w:style>
  <w:style w:type="character" w:styleId="983">
    <w:name w:val="Book Title"/>
    <w:basedOn w:val="1008"/>
    <w:uiPriority w:val="33"/>
    <w:qFormat/>
    <w:pPr>
      <w:pBdr/>
      <w:spacing/>
      <w:ind/>
    </w:pPr>
    <w:rPr>
      <w:b/>
      <w:bCs/>
      <w:i/>
      <w:iCs/>
      <w:spacing w:val="5"/>
    </w:rPr>
  </w:style>
  <w:style w:type="paragraph" w:styleId="984">
    <w:name w:val="Caption"/>
    <w:basedOn w:val="1003"/>
    <w:next w:val="1003"/>
    <w:uiPriority w:val="35"/>
    <w:unhideWhenUsed/>
    <w:qFormat/>
    <w:pPr>
      <w:pBdr/>
      <w:spacing w:after="200" w:line="240" w:lineRule="auto"/>
      <w:ind/>
    </w:pPr>
    <w:rPr>
      <w:i/>
      <w:iCs/>
      <w:color w:val="0e2841" w:themeColor="text2"/>
      <w:sz w:val="18"/>
      <w:szCs w:val="18"/>
    </w:rPr>
  </w:style>
  <w:style w:type="paragraph" w:styleId="985">
    <w:name w:val="footnote text"/>
    <w:basedOn w:val="1003"/>
    <w:link w:val="986"/>
    <w:uiPriority w:val="99"/>
    <w:semiHidden/>
    <w:unhideWhenUsed/>
    <w:pPr>
      <w:pBdr/>
      <w:spacing w:after="0" w:line="240" w:lineRule="auto"/>
      <w:ind/>
    </w:pPr>
    <w:rPr>
      <w:sz w:val="20"/>
      <w:szCs w:val="20"/>
    </w:rPr>
  </w:style>
  <w:style w:type="character" w:styleId="986">
    <w:name w:val="Footnote Text Char"/>
    <w:basedOn w:val="1008"/>
    <w:link w:val="985"/>
    <w:uiPriority w:val="99"/>
    <w:semiHidden/>
    <w:pPr>
      <w:pBdr/>
      <w:spacing/>
      <w:ind/>
    </w:pPr>
    <w:rPr>
      <w:sz w:val="20"/>
      <w:szCs w:val="20"/>
    </w:rPr>
  </w:style>
  <w:style w:type="character" w:styleId="987">
    <w:name w:val="footnote reference"/>
    <w:basedOn w:val="1008"/>
    <w:uiPriority w:val="99"/>
    <w:semiHidden/>
    <w:unhideWhenUsed/>
    <w:pPr>
      <w:pBdr/>
      <w:spacing/>
      <w:ind/>
    </w:pPr>
    <w:rPr>
      <w:vertAlign w:val="superscript"/>
    </w:rPr>
  </w:style>
  <w:style w:type="paragraph" w:styleId="988">
    <w:name w:val="endnote text"/>
    <w:basedOn w:val="1003"/>
    <w:link w:val="989"/>
    <w:uiPriority w:val="99"/>
    <w:semiHidden/>
    <w:unhideWhenUsed/>
    <w:pPr>
      <w:pBdr/>
      <w:spacing w:after="0" w:line="240" w:lineRule="auto"/>
      <w:ind/>
    </w:pPr>
    <w:rPr>
      <w:sz w:val="20"/>
      <w:szCs w:val="20"/>
    </w:rPr>
  </w:style>
  <w:style w:type="character" w:styleId="989">
    <w:name w:val="Endnote Text Char"/>
    <w:basedOn w:val="1008"/>
    <w:link w:val="988"/>
    <w:uiPriority w:val="99"/>
    <w:semiHidden/>
    <w:pPr>
      <w:pBdr/>
      <w:spacing/>
      <w:ind/>
    </w:pPr>
    <w:rPr>
      <w:sz w:val="20"/>
      <w:szCs w:val="20"/>
    </w:rPr>
  </w:style>
  <w:style w:type="character" w:styleId="990">
    <w:name w:val="endnote reference"/>
    <w:basedOn w:val="1008"/>
    <w:uiPriority w:val="99"/>
    <w:semiHidden/>
    <w:unhideWhenUsed/>
    <w:pPr>
      <w:pBdr/>
      <w:spacing/>
      <w:ind/>
    </w:pPr>
    <w:rPr>
      <w:vertAlign w:val="superscript"/>
    </w:rPr>
  </w:style>
  <w:style w:type="paragraph" w:styleId="991">
    <w:name w:val="toc 1"/>
    <w:basedOn w:val="1003"/>
    <w:next w:val="1003"/>
    <w:uiPriority w:val="39"/>
    <w:unhideWhenUsed/>
    <w:pPr>
      <w:pBdr/>
      <w:spacing w:after="100"/>
      <w:ind/>
    </w:pPr>
  </w:style>
  <w:style w:type="paragraph" w:styleId="992">
    <w:name w:val="toc 2"/>
    <w:basedOn w:val="1003"/>
    <w:next w:val="1003"/>
    <w:uiPriority w:val="39"/>
    <w:unhideWhenUsed/>
    <w:pPr>
      <w:pBdr/>
      <w:spacing w:after="100"/>
      <w:ind w:left="220"/>
    </w:pPr>
  </w:style>
  <w:style w:type="paragraph" w:styleId="993">
    <w:name w:val="toc 3"/>
    <w:basedOn w:val="1003"/>
    <w:next w:val="1003"/>
    <w:uiPriority w:val="39"/>
    <w:unhideWhenUsed/>
    <w:pPr>
      <w:pBdr/>
      <w:spacing w:after="100"/>
      <w:ind w:left="440"/>
    </w:pPr>
  </w:style>
  <w:style w:type="paragraph" w:styleId="994">
    <w:name w:val="toc 4"/>
    <w:basedOn w:val="1003"/>
    <w:next w:val="1003"/>
    <w:uiPriority w:val="39"/>
    <w:unhideWhenUsed/>
    <w:pPr>
      <w:pBdr/>
      <w:spacing w:after="100"/>
      <w:ind w:left="660"/>
    </w:pPr>
  </w:style>
  <w:style w:type="paragraph" w:styleId="995">
    <w:name w:val="toc 5"/>
    <w:basedOn w:val="1003"/>
    <w:next w:val="1003"/>
    <w:uiPriority w:val="39"/>
    <w:unhideWhenUsed/>
    <w:pPr>
      <w:pBdr/>
      <w:spacing w:after="100"/>
      <w:ind w:left="880"/>
    </w:pPr>
  </w:style>
  <w:style w:type="paragraph" w:styleId="996">
    <w:name w:val="toc 6"/>
    <w:basedOn w:val="1003"/>
    <w:next w:val="1003"/>
    <w:uiPriority w:val="39"/>
    <w:unhideWhenUsed/>
    <w:pPr>
      <w:pBdr/>
      <w:spacing w:after="100"/>
      <w:ind w:left="1100"/>
    </w:pPr>
  </w:style>
  <w:style w:type="paragraph" w:styleId="997">
    <w:name w:val="toc 7"/>
    <w:basedOn w:val="1003"/>
    <w:next w:val="1003"/>
    <w:uiPriority w:val="39"/>
    <w:unhideWhenUsed/>
    <w:pPr>
      <w:pBdr/>
      <w:spacing w:after="100"/>
      <w:ind w:left="1320"/>
    </w:pPr>
  </w:style>
  <w:style w:type="paragraph" w:styleId="998">
    <w:name w:val="toc 8"/>
    <w:basedOn w:val="1003"/>
    <w:next w:val="1003"/>
    <w:uiPriority w:val="39"/>
    <w:unhideWhenUsed/>
    <w:pPr>
      <w:pBdr/>
      <w:spacing w:after="100"/>
      <w:ind w:left="1540"/>
    </w:pPr>
  </w:style>
  <w:style w:type="paragraph" w:styleId="999">
    <w:name w:val="toc 9"/>
    <w:basedOn w:val="1003"/>
    <w:next w:val="1003"/>
    <w:uiPriority w:val="39"/>
    <w:unhideWhenUsed/>
    <w:pPr>
      <w:pBdr/>
      <w:spacing w:after="100"/>
      <w:ind w:left="1760"/>
    </w:pPr>
  </w:style>
  <w:style w:type="character" w:styleId="1000">
    <w:name w:val="Placeholder Text"/>
    <w:basedOn w:val="1008"/>
    <w:uiPriority w:val="99"/>
    <w:semiHidden/>
    <w:pPr>
      <w:pBdr/>
      <w:spacing/>
      <w:ind/>
    </w:pPr>
    <w:rPr>
      <w:color w:val="666666"/>
    </w:rPr>
  </w:style>
  <w:style w:type="paragraph" w:styleId="1001">
    <w:name w:val="TOC Heading"/>
    <w:uiPriority w:val="39"/>
    <w:unhideWhenUsed/>
    <w:pPr>
      <w:pBdr/>
      <w:spacing/>
      <w:ind/>
    </w:pPr>
  </w:style>
  <w:style w:type="paragraph" w:styleId="1002">
    <w:name w:val="table of figures"/>
    <w:basedOn w:val="1003"/>
    <w:next w:val="1003"/>
    <w:uiPriority w:val="99"/>
    <w:unhideWhenUsed/>
    <w:pPr>
      <w:pBdr/>
      <w:spacing w:after="0" w:afterAutospacing="0"/>
      <w:ind/>
    </w:pPr>
  </w:style>
  <w:style w:type="paragraph" w:styleId="1003" w:default="1">
    <w:name w:val="Normal"/>
    <w:qFormat/>
    <w:pPr>
      <w:pBdr/>
      <w:spacing w:after="0" w:line="240" w:lineRule="auto"/>
      <w:ind/>
    </w:pPr>
    <w:rPr>
      <w:rFonts w:ascii="Times New Roman" w:hAnsi="Times New Roman" w:eastAsia="Times New Roman" w:cs="Times New Roman"/>
      <w:sz w:val="24"/>
      <w:szCs w:val="24"/>
    </w:rPr>
  </w:style>
  <w:style w:type="paragraph" w:styleId="1004">
    <w:name w:val="Heading 1"/>
    <w:basedOn w:val="1003"/>
    <w:next w:val="1003"/>
    <w:link w:val="1011"/>
    <w:qFormat/>
    <w:pPr>
      <w:keepNext w:val="true"/>
      <w:pBdr/>
      <w:spacing w:after="120" w:before="120"/>
      <w:ind/>
      <w:jc w:val="center"/>
      <w:outlineLvl w:val="0"/>
    </w:pPr>
    <w:rPr>
      <w:b/>
      <w:bCs/>
      <w:sz w:val="27"/>
      <w:szCs w:val="27"/>
    </w:rPr>
  </w:style>
  <w:style w:type="paragraph" w:styleId="1005">
    <w:name w:val="Heading 2"/>
    <w:basedOn w:val="1003"/>
    <w:next w:val="1003"/>
    <w:link w:val="1012"/>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6">
    <w:name w:val="Heading 3"/>
    <w:basedOn w:val="1003"/>
    <w:next w:val="1003"/>
    <w:link w:val="1013"/>
    <w:qFormat/>
    <w:pPr>
      <w:keepNext w:val="true"/>
      <w:pBdr/>
      <w:spacing w:before="60"/>
      <w:ind/>
      <w:outlineLvl w:val="2"/>
    </w:pPr>
    <w:rPr>
      <w:sz w:val="28"/>
      <w:szCs w:val="28"/>
    </w:rPr>
  </w:style>
  <w:style w:type="paragraph" w:styleId="1007">
    <w:name w:val="Heading 4"/>
    <w:basedOn w:val="1003"/>
    <w:next w:val="1003"/>
    <w:link w:val="1014"/>
    <w:qFormat/>
    <w:pPr>
      <w:keepNext w:val="true"/>
      <w:pBdr/>
      <w:spacing/>
      <w:ind/>
      <w:jc w:val="center"/>
      <w:outlineLvl w:val="3"/>
    </w:pPr>
    <w:rPr>
      <w:b/>
      <w:bCs/>
    </w:rPr>
  </w:style>
  <w:style w:type="character" w:styleId="1008" w:default="1">
    <w:name w:val="Default Paragraph Font"/>
    <w:uiPriority w:val="1"/>
    <w:semiHidden/>
    <w:unhideWhenUsed/>
    <w:pPr>
      <w:pBdr/>
      <w:spacing/>
      <w:ind/>
    </w:pPr>
  </w:style>
  <w:style w:type="table" w:styleId="100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0" w:default="1">
    <w:name w:val="No List"/>
    <w:uiPriority w:val="99"/>
    <w:semiHidden/>
    <w:unhideWhenUsed/>
    <w:pPr>
      <w:pBdr/>
      <w:spacing/>
      <w:ind/>
    </w:pPr>
  </w:style>
  <w:style w:type="character" w:styleId="1011" w:customStyle="1">
    <w:name w:val="Heading 1 Char"/>
    <w:basedOn w:val="1008"/>
    <w:link w:val="1004"/>
    <w:pPr>
      <w:pBdr/>
      <w:spacing/>
      <w:ind/>
    </w:pPr>
    <w:rPr>
      <w:rFonts w:ascii="Times New Roman" w:hAnsi="Times New Roman" w:eastAsia="Times New Roman" w:cs="Times New Roman"/>
      <w:b/>
      <w:bCs/>
      <w:sz w:val="27"/>
      <w:szCs w:val="27"/>
    </w:rPr>
  </w:style>
  <w:style w:type="character" w:styleId="1012" w:customStyle="1">
    <w:name w:val="Heading 2 Char"/>
    <w:basedOn w:val="1008"/>
    <w:link w:val="1005"/>
    <w:uiPriority w:val="9"/>
    <w:pPr>
      <w:pBdr/>
      <w:spacing/>
      <w:ind/>
    </w:pPr>
    <w:rPr>
      <w:rFonts w:asciiTheme="majorHAnsi" w:hAnsiTheme="majorHAnsi" w:eastAsiaTheme="majorEastAsia" w:cstheme="majorBidi"/>
      <w:color w:val="365f91" w:themeColor="accent1" w:themeShade="BF"/>
      <w:sz w:val="26"/>
      <w:szCs w:val="26"/>
    </w:rPr>
  </w:style>
  <w:style w:type="character" w:styleId="1013" w:customStyle="1">
    <w:name w:val="Heading 3 Char"/>
    <w:basedOn w:val="1008"/>
    <w:link w:val="1006"/>
    <w:pPr>
      <w:pBdr/>
      <w:spacing/>
      <w:ind/>
    </w:pPr>
    <w:rPr>
      <w:rFonts w:ascii="Times New Roman" w:hAnsi="Times New Roman" w:eastAsia="Times New Roman" w:cs="Times New Roman"/>
      <w:sz w:val="28"/>
      <w:szCs w:val="28"/>
    </w:rPr>
  </w:style>
  <w:style w:type="character" w:styleId="1014" w:customStyle="1">
    <w:name w:val="Heading 4 Char"/>
    <w:basedOn w:val="1008"/>
    <w:link w:val="1007"/>
    <w:pPr>
      <w:pBdr/>
      <w:spacing/>
      <w:ind/>
    </w:pPr>
    <w:rPr>
      <w:rFonts w:ascii="Times New Roman" w:hAnsi="Times New Roman" w:eastAsia="Times New Roman" w:cs="Times New Roman"/>
      <w:b/>
      <w:bCs/>
      <w:sz w:val="24"/>
      <w:szCs w:val="24"/>
    </w:rPr>
  </w:style>
  <w:style w:type="character" w:styleId="1015">
    <w:name w:val="Hyperlink"/>
    <w:uiPriority w:val="99"/>
    <w:pPr>
      <w:pBdr/>
      <w:spacing/>
      <w:ind/>
    </w:pPr>
    <w:rPr>
      <w:color w:val="000000"/>
      <w:u w:val="single"/>
    </w:rPr>
  </w:style>
  <w:style w:type="character" w:styleId="1016">
    <w:name w:val="Strong"/>
    <w:uiPriority w:val="22"/>
    <w:qFormat/>
    <w:pPr>
      <w:pBdr/>
      <w:spacing/>
      <w:ind/>
    </w:pPr>
    <w:rPr>
      <w:b/>
      <w:bCs/>
    </w:rPr>
  </w:style>
  <w:style w:type="paragraph" w:styleId="1017">
    <w:name w:val="Balloon Text"/>
    <w:basedOn w:val="1003"/>
    <w:link w:val="1018"/>
    <w:uiPriority w:val="99"/>
    <w:semiHidden/>
    <w:unhideWhenUsed/>
    <w:pPr>
      <w:pBdr/>
      <w:spacing/>
      <w:ind/>
    </w:pPr>
    <w:rPr>
      <w:rFonts w:ascii="Tahoma" w:hAnsi="Tahoma" w:cs="Tahoma"/>
      <w:sz w:val="16"/>
      <w:szCs w:val="16"/>
    </w:rPr>
  </w:style>
  <w:style w:type="character" w:styleId="1018" w:customStyle="1">
    <w:name w:val="Balloon Text Char"/>
    <w:basedOn w:val="1008"/>
    <w:link w:val="1017"/>
    <w:uiPriority w:val="99"/>
    <w:semiHidden/>
    <w:pPr>
      <w:pBdr/>
      <w:spacing/>
      <w:ind/>
    </w:pPr>
    <w:rPr>
      <w:rFonts w:ascii="Tahoma" w:hAnsi="Tahoma" w:eastAsia="Times New Roman" w:cs="Tahoma"/>
      <w:sz w:val="16"/>
      <w:szCs w:val="16"/>
    </w:rPr>
  </w:style>
  <w:style w:type="paragraph" w:styleId="1019">
    <w:name w:val="Header"/>
    <w:basedOn w:val="1003"/>
    <w:link w:val="1020"/>
    <w:unhideWhenUsed/>
    <w:pPr>
      <w:pBdr/>
      <w:tabs>
        <w:tab w:val="center" w:leader="none" w:pos="4680"/>
        <w:tab w:val="right" w:leader="none" w:pos="9360"/>
      </w:tabs>
      <w:spacing/>
      <w:ind/>
    </w:pPr>
  </w:style>
  <w:style w:type="character" w:styleId="1020" w:customStyle="1">
    <w:name w:val="Header Char"/>
    <w:basedOn w:val="1008"/>
    <w:link w:val="1019"/>
    <w:pPr>
      <w:pBdr/>
      <w:spacing/>
      <w:ind/>
    </w:pPr>
    <w:rPr>
      <w:rFonts w:ascii="Times New Roman" w:hAnsi="Times New Roman" w:eastAsia="Times New Roman" w:cs="Times New Roman"/>
      <w:sz w:val="24"/>
      <w:szCs w:val="24"/>
    </w:rPr>
  </w:style>
  <w:style w:type="paragraph" w:styleId="1021">
    <w:name w:val="Footer"/>
    <w:basedOn w:val="1003"/>
    <w:link w:val="1022"/>
    <w:uiPriority w:val="99"/>
    <w:unhideWhenUsed/>
    <w:pPr>
      <w:pBdr/>
      <w:tabs>
        <w:tab w:val="center" w:leader="none" w:pos="4680"/>
        <w:tab w:val="right" w:leader="none" w:pos="9360"/>
      </w:tabs>
      <w:spacing/>
      <w:ind/>
    </w:pPr>
  </w:style>
  <w:style w:type="character" w:styleId="1022" w:customStyle="1">
    <w:name w:val="Footer Char"/>
    <w:basedOn w:val="1008"/>
    <w:link w:val="1021"/>
    <w:uiPriority w:val="99"/>
    <w:pPr>
      <w:pBdr/>
      <w:spacing/>
      <w:ind/>
    </w:pPr>
    <w:rPr>
      <w:rFonts w:ascii="Times New Roman" w:hAnsi="Times New Roman" w:eastAsia="Times New Roman" w:cs="Times New Roman"/>
      <w:sz w:val="24"/>
      <w:szCs w:val="24"/>
    </w:rPr>
  </w:style>
  <w:style w:type="character" w:styleId="1023" w:customStyle="1">
    <w:name w:val="normal-h1"/>
    <w:pPr>
      <w:pBdr/>
      <w:spacing/>
      <w:ind/>
    </w:pPr>
    <w:rPr>
      <w:rFonts w:hint="default" w:ascii=".VnTime" w:hAnsi=".VnTime"/>
      <w:color w:val="0000ff"/>
      <w:sz w:val="24"/>
      <w:szCs w:val="24"/>
    </w:rPr>
  </w:style>
  <w:style w:type="paragraph" w:styleId="1024" w:customStyle="1">
    <w:name w:val="normal-p"/>
    <w:basedOn w:val="1003"/>
    <w:pPr>
      <w:pBdr/>
      <w:spacing/>
      <w:ind/>
      <w:jc w:val="both"/>
    </w:pPr>
    <w:rPr>
      <w:sz w:val="20"/>
      <w:szCs w:val="20"/>
    </w:rPr>
  </w:style>
  <w:style w:type="paragraph" w:styleId="1025">
    <w:name w:val="List Paragraph"/>
    <w:basedOn w:val="1003"/>
    <w:link w:val="1112"/>
    <w:uiPriority w:val="34"/>
    <w:qFormat/>
    <w:pPr>
      <w:pBdr/>
      <w:spacing/>
      <w:ind w:left="720"/>
    </w:pPr>
  </w:style>
  <w:style w:type="paragraph" w:styleId="1026">
    <w:name w:val="Normal (Web)"/>
    <w:basedOn w:val="1003"/>
    <w:uiPriority w:val="99"/>
    <w:pPr>
      <w:pBdr/>
      <w:spacing w:after="100" w:afterAutospacing="1" w:before="100" w:beforeAutospacing="1"/>
      <w:ind/>
    </w:pPr>
  </w:style>
  <w:style w:type="paragraph" w:styleId="1027">
    <w:name w:val="Body Text"/>
    <w:basedOn w:val="1003"/>
    <w:link w:val="1028"/>
    <w:pPr>
      <w:pBdr/>
      <w:spacing w:after="120"/>
      <w:ind/>
      <w:jc w:val="both"/>
    </w:pPr>
  </w:style>
  <w:style w:type="character" w:styleId="1028" w:customStyle="1">
    <w:name w:val="Body Text Char"/>
    <w:basedOn w:val="1008"/>
    <w:link w:val="1027"/>
    <w:pPr>
      <w:pBdr/>
      <w:spacing/>
      <w:ind/>
    </w:pPr>
    <w:rPr>
      <w:rFonts w:ascii="Times New Roman" w:hAnsi="Times New Roman" w:eastAsia="Times New Roman" w:cs="Times New Roman"/>
      <w:sz w:val="24"/>
      <w:szCs w:val="24"/>
    </w:rPr>
  </w:style>
  <w:style w:type="table" w:styleId="1029">
    <w:name w:val="Table Grid"/>
    <w:basedOn w:val="1009"/>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0"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1">
    <w:name w:val="annotation reference"/>
    <w:basedOn w:val="1008"/>
    <w:uiPriority w:val="99"/>
    <w:semiHidden/>
    <w:unhideWhenUsed/>
    <w:pPr>
      <w:pBdr/>
      <w:spacing/>
      <w:ind/>
    </w:pPr>
    <w:rPr>
      <w:sz w:val="16"/>
      <w:szCs w:val="16"/>
    </w:rPr>
  </w:style>
  <w:style w:type="paragraph" w:styleId="1032">
    <w:name w:val="annotation text"/>
    <w:basedOn w:val="1003"/>
    <w:link w:val="1033"/>
    <w:uiPriority w:val="99"/>
    <w:unhideWhenUsed/>
    <w:pPr>
      <w:pBdr/>
      <w:spacing/>
      <w:ind/>
    </w:pPr>
    <w:rPr>
      <w:sz w:val="20"/>
      <w:szCs w:val="20"/>
    </w:rPr>
  </w:style>
  <w:style w:type="character" w:styleId="1033" w:customStyle="1">
    <w:name w:val="Comment Text Char"/>
    <w:basedOn w:val="1008"/>
    <w:link w:val="1032"/>
    <w:uiPriority w:val="99"/>
    <w:pPr>
      <w:pBdr/>
      <w:spacing/>
      <w:ind/>
    </w:pPr>
    <w:rPr>
      <w:rFonts w:ascii="Times New Roman" w:hAnsi="Times New Roman" w:eastAsia="Times New Roman" w:cs="Times New Roman"/>
      <w:sz w:val="20"/>
      <w:szCs w:val="20"/>
    </w:rPr>
  </w:style>
  <w:style w:type="paragraph" w:styleId="1034">
    <w:name w:val="annotation subject"/>
    <w:basedOn w:val="1032"/>
    <w:next w:val="1032"/>
    <w:link w:val="1035"/>
    <w:uiPriority w:val="99"/>
    <w:semiHidden/>
    <w:unhideWhenUsed/>
    <w:pPr>
      <w:pBdr/>
      <w:spacing/>
      <w:ind/>
    </w:pPr>
    <w:rPr>
      <w:b/>
      <w:bCs/>
    </w:rPr>
  </w:style>
  <w:style w:type="character" w:styleId="1035" w:customStyle="1">
    <w:name w:val="Comment Subject Char"/>
    <w:basedOn w:val="1033"/>
    <w:link w:val="1034"/>
    <w:uiPriority w:val="99"/>
    <w:semiHidden/>
    <w:pPr>
      <w:pBdr/>
      <w:spacing/>
      <w:ind/>
    </w:pPr>
    <w:rPr>
      <w:rFonts w:ascii="Times New Roman" w:hAnsi="Times New Roman" w:eastAsia="Times New Roman" w:cs="Times New Roman"/>
      <w:b/>
      <w:bCs/>
      <w:sz w:val="20"/>
      <w:szCs w:val="20"/>
    </w:rPr>
  </w:style>
  <w:style w:type="paragraph" w:styleId="1036" w:customStyle="1">
    <w:name w:val="font5"/>
    <w:basedOn w:val="1003"/>
    <w:pPr>
      <w:pBdr/>
      <w:spacing w:after="100" w:afterAutospacing="1" w:before="100" w:beforeAutospacing="1"/>
      <w:ind/>
    </w:pPr>
    <w:rPr>
      <w:rFonts w:ascii="Tahoma" w:hAnsi="Tahoma" w:cs="Tahoma"/>
      <w:color w:val="000000"/>
      <w:sz w:val="18"/>
      <w:szCs w:val="18"/>
    </w:rPr>
  </w:style>
  <w:style w:type="paragraph" w:styleId="1037" w:customStyle="1">
    <w:name w:val="font6"/>
    <w:basedOn w:val="1003"/>
    <w:pPr>
      <w:pBdr/>
      <w:spacing w:after="100" w:afterAutospacing="1" w:before="100" w:beforeAutospacing="1"/>
      <w:ind/>
    </w:pPr>
    <w:rPr>
      <w:rFonts w:ascii="Tahoma" w:hAnsi="Tahoma" w:cs="Tahoma"/>
      <w:b/>
      <w:bCs/>
      <w:color w:val="000000"/>
      <w:sz w:val="18"/>
      <w:szCs w:val="18"/>
    </w:rPr>
  </w:style>
  <w:style w:type="paragraph" w:styleId="1038" w:customStyle="1">
    <w:name w:val="xl23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39" w:customStyle="1">
    <w:name w:val="xl234"/>
    <w:basedOn w:val="1003"/>
    <w:pPr>
      <w:pBdr/>
      <w:spacing w:after="100" w:afterAutospacing="1" w:before="100" w:beforeAutospacing="1"/>
      <w:ind/>
      <w:jc w:val="center"/>
    </w:pPr>
  </w:style>
  <w:style w:type="paragraph" w:styleId="1040" w:customStyle="1">
    <w:name w:val="xl235"/>
    <w:basedOn w:val="1003"/>
    <w:pPr>
      <w:pBdr/>
      <w:spacing w:after="100" w:afterAutospacing="1" w:before="100" w:beforeAutospacing="1"/>
      <w:ind/>
      <w:jc w:val="center"/>
    </w:pPr>
    <w:rPr>
      <w:b/>
      <w:bCs/>
    </w:rPr>
  </w:style>
  <w:style w:type="paragraph" w:styleId="1041" w:customStyle="1">
    <w:name w:val="xl236"/>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2" w:customStyle="1">
    <w:name w:val="xl23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3" w:customStyle="1">
    <w:name w:val="xl238"/>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4" w:customStyle="1">
    <w:name w:val="xl23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5" w:customStyle="1">
    <w:name w:val="xl240"/>
    <w:basedOn w:val="1003"/>
    <w:pPr>
      <w:pBdr/>
      <w:spacing w:after="100" w:afterAutospacing="1" w:before="100" w:beforeAutospacing="1"/>
      <w:ind/>
    </w:pPr>
  </w:style>
  <w:style w:type="paragraph" w:styleId="1046" w:customStyle="1">
    <w:name w:val="xl241"/>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42"/>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48" w:customStyle="1">
    <w:name w:val="xl243"/>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49" w:customStyle="1">
    <w:name w:val="xl244"/>
    <w:basedOn w:val="1003"/>
    <w:pPr>
      <w:pBdr/>
      <w:spacing w:after="100" w:afterAutospacing="1" w:before="100" w:beforeAutospacing="1"/>
      <w:ind/>
    </w:pPr>
    <w:rPr>
      <w:b/>
      <w:bCs/>
    </w:rPr>
  </w:style>
  <w:style w:type="paragraph" w:styleId="1050" w:customStyle="1">
    <w:name w:val="xl245"/>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1" w:customStyle="1">
    <w:name w:val="xl24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2" w:customStyle="1">
    <w:name w:val="xl247"/>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3" w:customStyle="1">
    <w:name w:val="xl24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4" w:customStyle="1">
    <w:name w:val="xl24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5" w:customStyle="1">
    <w:name w:val="xl25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6" w:customStyle="1">
    <w:name w:val="xl25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7" w:customStyle="1">
    <w:name w:val="xl25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8" w:customStyle="1">
    <w:name w:val="xl253"/>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9" w:customStyle="1">
    <w:name w:val="xl254"/>
    <w:basedOn w:val="1003"/>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0" w:customStyle="1">
    <w:name w:val="xl255"/>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1" w:customStyle="1">
    <w:name w:val="xl256"/>
    <w:basedOn w:val="1003"/>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2" w:customStyle="1">
    <w:name w:val="xl25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8"/>
    <w:basedOn w:val="1003"/>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4" w:customStyle="1">
    <w:name w:val="xl25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5" w:customStyle="1">
    <w:name w:val="xl260"/>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6" w:customStyle="1">
    <w:name w:val="xl261"/>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7" w:customStyle="1">
    <w:name w:val="xl262"/>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8" w:customStyle="1">
    <w:name w:val="xl263"/>
    <w:basedOn w:val="1003"/>
    <w:pPr>
      <w:pBdr/>
      <w:shd w:val="clear" w:color="000000" w:fill="ffffff"/>
      <w:spacing w:after="100" w:afterAutospacing="1" w:before="100" w:beforeAutospacing="1"/>
      <w:ind/>
    </w:pPr>
  </w:style>
  <w:style w:type="paragraph" w:styleId="1069" w:customStyle="1">
    <w:name w:val="xl264"/>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0" w:customStyle="1">
    <w:name w:val="xl265"/>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1" w:customStyle="1">
    <w:name w:val="xl26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2" w:customStyle="1">
    <w:name w:val="xl267"/>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3" w:customStyle="1">
    <w:name w:val="xl268"/>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4" w:customStyle="1">
    <w:name w:val="xl269"/>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5" w:customStyle="1">
    <w:name w:val="xl27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6" w:customStyle="1">
    <w:name w:val="xl271"/>
    <w:basedOn w:val="1003"/>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7" w:customStyle="1">
    <w:name w:val="xl27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73"/>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9" w:customStyle="1">
    <w:name w:val="xl274"/>
    <w:basedOn w:val="1003"/>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5"/>
    <w:basedOn w:val="1003"/>
    <w:pPr>
      <w:pBdr/>
      <w:spacing w:after="100" w:afterAutospacing="1" w:before="100" w:beforeAutospacing="1"/>
      <w:ind/>
    </w:pPr>
  </w:style>
  <w:style w:type="paragraph" w:styleId="1081" w:customStyle="1">
    <w:name w:val="xl27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2" w:customStyle="1">
    <w:name w:val="xl277"/>
    <w:basedOn w:val="1003"/>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78"/>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4" w:customStyle="1">
    <w:name w:val="xl279"/>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5" w:customStyle="1">
    <w:name w:val="xl280"/>
    <w:basedOn w:val="100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6" w:customStyle="1">
    <w:name w:val="xl281"/>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7" w:customStyle="1">
    <w:name w:val="xl282"/>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88" w:customStyle="1">
    <w:name w:val="xl283"/>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89" w:customStyle="1">
    <w:name w:val="xl284"/>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0" w:customStyle="1">
    <w:name w:val="xl285"/>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1" w:customStyle="1">
    <w:name w:val="xl286"/>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2" w:customStyle="1">
    <w:name w:val="xl287"/>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8"/>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4" w:customStyle="1">
    <w:name w:val="xl289"/>
    <w:basedOn w:val="1003"/>
    <w:pPr>
      <w:pBdr>
        <w:left w:val="single" w:color="000000" w:sz="4" w:space="0"/>
        <w:right w:val="single" w:color="000000" w:sz="4" w:space="0"/>
      </w:pBdr>
      <w:spacing w:after="100" w:afterAutospacing="1" w:before="100" w:beforeAutospacing="1"/>
      <w:ind/>
    </w:pPr>
    <w:rPr>
      <w:b/>
      <w:bCs/>
    </w:rPr>
  </w:style>
  <w:style w:type="paragraph" w:styleId="1095" w:customStyle="1">
    <w:name w:val="xl290"/>
    <w:basedOn w:val="1003"/>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6" w:customStyle="1">
    <w:name w:val="xl291"/>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7" w:customStyle="1">
    <w:name w:val="xl292"/>
    <w:basedOn w:val="1003"/>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93"/>
    <w:basedOn w:val="1003"/>
    <w:pPr>
      <w:pBdr>
        <w:left w:val="single" w:color="000000" w:sz="4" w:space="0"/>
        <w:bottom w:val="single" w:color="000000" w:sz="4" w:space="0"/>
        <w:right w:val="single" w:color="000000" w:sz="4" w:space="0"/>
      </w:pBdr>
      <w:spacing w:after="100" w:afterAutospacing="1" w:before="100" w:beforeAutospacing="1"/>
      <w:ind/>
    </w:pPr>
  </w:style>
  <w:style w:type="paragraph" w:styleId="1099" w:customStyle="1">
    <w:name w:val="xl294"/>
    <w:basedOn w:val="100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0">
    <w:name w:val="Title"/>
    <w:basedOn w:val="1003"/>
    <w:link w:val="1101"/>
    <w:qFormat/>
    <w:pPr>
      <w:pBdr/>
      <w:spacing/>
      <w:ind/>
      <w:jc w:val="center"/>
    </w:pPr>
    <w:rPr>
      <w:b/>
      <w:bCs/>
      <w:sz w:val="32"/>
      <w:szCs w:val="26"/>
    </w:rPr>
  </w:style>
  <w:style w:type="character" w:styleId="1101" w:customStyle="1">
    <w:name w:val="Title Char"/>
    <w:basedOn w:val="1008"/>
    <w:link w:val="1100"/>
    <w:pPr>
      <w:pBdr/>
      <w:spacing/>
      <w:ind/>
    </w:pPr>
    <w:rPr>
      <w:rFonts w:ascii="Times New Roman" w:hAnsi="Times New Roman" w:eastAsia="Times New Roman" w:cs="Times New Roman"/>
      <w:b/>
      <w:bCs/>
      <w:sz w:val="32"/>
      <w:szCs w:val="26"/>
    </w:rPr>
  </w:style>
  <w:style w:type="character" w:styleId="1102" w:customStyle="1">
    <w:name w:val="Unresolved Mention1"/>
    <w:basedOn w:val="1008"/>
    <w:uiPriority w:val="99"/>
    <w:semiHidden/>
    <w:unhideWhenUsed/>
    <w:pPr>
      <w:pBdr/>
      <w:spacing/>
      <w:ind/>
    </w:pPr>
    <w:rPr>
      <w:color w:val="605e5c"/>
      <w:shd w:val="clear" w:color="auto" w:fill="e1dfdd"/>
    </w:rPr>
  </w:style>
  <w:style w:type="character" w:styleId="1103" w:customStyle="1">
    <w:name w:val="Body text (3)_"/>
    <w:link w:val="1104"/>
    <w:pPr>
      <w:pBdr/>
      <w:spacing/>
      <w:ind/>
    </w:pPr>
    <w:rPr>
      <w:rFonts w:ascii="Times New Roman" w:hAnsi="Times New Roman" w:cs="Times New Roman"/>
      <w:i/>
      <w:iCs/>
      <w:spacing w:val="4"/>
      <w:shd w:val="clear" w:color="auto" w:fill="ffffff"/>
    </w:rPr>
  </w:style>
  <w:style w:type="paragraph" w:styleId="1104" w:customStyle="1">
    <w:name w:val="Body text (3)1"/>
    <w:basedOn w:val="1003"/>
    <w:link w:val="1103"/>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5" w:customStyle="1">
    <w:name w:val="t-j"/>
    <w:basedOn w:val="1003"/>
    <w:pPr>
      <w:pBdr/>
      <w:spacing w:after="100" w:afterAutospacing="1" w:before="100" w:beforeAutospacing="1"/>
      <w:ind/>
    </w:pPr>
  </w:style>
  <w:style w:type="character" w:styleId="1106" w:customStyle="1">
    <w:name w:val="Unresolved Mention2"/>
    <w:basedOn w:val="1008"/>
    <w:uiPriority w:val="99"/>
    <w:semiHidden/>
    <w:unhideWhenUsed/>
    <w:pPr>
      <w:pBdr/>
      <w:spacing/>
      <w:ind/>
    </w:pPr>
    <w:rPr>
      <w:color w:val="605e5c"/>
      <w:shd w:val="clear" w:color="auto" w:fill="e1dfdd"/>
    </w:rPr>
  </w:style>
  <w:style w:type="character" w:styleId="1107">
    <w:name w:val="FollowedHyperlink"/>
    <w:basedOn w:val="1008"/>
    <w:uiPriority w:val="99"/>
    <w:semiHidden/>
    <w:unhideWhenUsed/>
    <w:pPr>
      <w:pBdr/>
      <w:spacing/>
      <w:ind/>
    </w:pPr>
    <w:rPr>
      <w:color w:val="800080" w:themeColor="followedHyperlink"/>
      <w:u w:val="single"/>
    </w:rPr>
  </w:style>
  <w:style w:type="character" w:styleId="1108" w:customStyle="1">
    <w:name w:val="text"/>
    <w:basedOn w:val="1008"/>
    <w:pPr>
      <w:pBdr/>
      <w:spacing/>
      <w:ind/>
    </w:pPr>
  </w:style>
  <w:style w:type="character" w:styleId="1109" w:customStyle="1">
    <w:name w:val="card-send-time__sendtime"/>
    <w:basedOn w:val="1008"/>
    <w:pPr>
      <w:pBdr/>
      <w:spacing/>
      <w:ind/>
    </w:pPr>
  </w:style>
  <w:style w:type="character" w:styleId="1110" w:customStyle="1">
    <w:name w:val="Đề cập Chưa giải quyết1"/>
    <w:basedOn w:val="1008"/>
    <w:uiPriority w:val="99"/>
    <w:semiHidden/>
    <w:unhideWhenUsed/>
    <w:pPr>
      <w:pBdr/>
      <w:spacing/>
      <w:ind/>
    </w:pPr>
    <w:rPr>
      <w:color w:val="605e5c"/>
      <w:shd w:val="clear" w:color="auto" w:fill="e1dfdd"/>
    </w:rPr>
  </w:style>
  <w:style w:type="paragraph" w:styleId="1111" w:customStyle="1">
    <w:name w:val="nqtitle"/>
    <w:basedOn w:val="1003"/>
    <w:pPr>
      <w:pBdr/>
      <w:spacing w:after="100" w:afterAutospacing="1" w:before="100" w:beforeAutospacing="1"/>
      <w:ind/>
    </w:pPr>
    <w:rPr>
      <w:lang w:val="vi-VN" w:eastAsia="vi-VN"/>
    </w:rPr>
  </w:style>
  <w:style w:type="character" w:styleId="1112" w:customStyle="1">
    <w:name w:val="List Paragraph Char"/>
    <w:link w:val="1025"/>
    <w:uiPriority w:val="34"/>
    <w:qFormat/>
    <w:pPr>
      <w:pBdr/>
      <w:spacing/>
      <w:ind/>
    </w:pPr>
    <w:rPr>
      <w:rFonts w:ascii="Times New Roman" w:hAnsi="Times New Roman" w:eastAsia="Times New Roman" w:cs="Times New Roman"/>
      <w:sz w:val="24"/>
      <w:szCs w:val="24"/>
    </w:rPr>
  </w:style>
  <w:style w:type="character" w:styleId="1113" w:customStyle="1">
    <w:name w:val="Đề cập Chưa giải quyết2"/>
    <w:basedOn w:val="1008"/>
    <w:uiPriority w:val="99"/>
    <w:semiHidden/>
    <w:unhideWhenUsed/>
    <w:pPr>
      <w:pBdr/>
      <w:spacing/>
      <w:ind/>
    </w:pPr>
    <w:rPr>
      <w:color w:val="605e5c"/>
      <w:shd w:val="clear" w:color="auto" w:fill="e1dfdd"/>
    </w:rPr>
  </w:style>
  <w:style w:type="character" w:styleId="1114" w:customStyle="1">
    <w:name w:val="Unresolved Mention3"/>
    <w:basedOn w:val="1008"/>
    <w:uiPriority w:val="99"/>
    <w:semiHidden/>
    <w:unhideWhenUsed/>
    <w:pPr>
      <w:pBdr/>
      <w:spacing/>
      <w:ind/>
    </w:pPr>
    <w:rPr>
      <w:color w:val="605e5c"/>
      <w:shd w:val="clear" w:color="auto" w:fill="e1dfdd"/>
    </w:rPr>
  </w:style>
  <w:style w:type="character" w:styleId="1115" w:customStyle="1">
    <w:name w:val="copy"/>
    <w:basedOn w:val="1008"/>
    <w:pPr>
      <w:pBdr/>
      <w:spacing/>
      <w:ind/>
    </w:pPr>
  </w:style>
  <w:style w:type="paragraph" w:styleId="1116" w:customStyle="1">
    <w:name w:val="align-justify"/>
    <w:basedOn w:val="1003"/>
    <w:pPr>
      <w:pBdr/>
      <w:spacing w:after="100" w:afterAutospacing="1" w:before="100" w:beforeAutospacing="1"/>
      <w:ind/>
    </w:pPr>
  </w:style>
  <w:style w:type="character" w:styleId="1117" w:customStyle="1">
    <w:name w:val="btn"/>
    <w:basedOn w:val="1008"/>
    <w:pPr>
      <w:pBdr/>
      <w:spacing/>
      <w:ind/>
    </w:pPr>
  </w:style>
  <w:style w:type="character" w:styleId="1118" w:customStyle="1">
    <w:name w:val="hide_mobile"/>
    <w:basedOn w:val="1008"/>
    <w:pPr>
      <w:pBdr/>
      <w:spacing/>
      <w:ind/>
    </w:pPr>
  </w:style>
  <w:style w:type="character" w:styleId="1119">
    <w:name w:val="Emphasis"/>
    <w:basedOn w:val="1008"/>
    <w:uiPriority w:val="20"/>
    <w:qFormat/>
    <w:pPr>
      <w:pBdr/>
      <w:spacing/>
      <w:ind/>
    </w:pPr>
    <w:rPr>
      <w:i/>
      <w:iCs/>
    </w:rPr>
  </w:style>
  <w:style w:type="character" w:styleId="1120" w:customStyle="1">
    <w:name w:val="t1"/>
    <w:basedOn w:val="1008"/>
    <w:pPr>
      <w:pBdr/>
      <w:spacing/>
      <w:ind/>
    </w:pPr>
  </w:style>
  <w:style w:type="character" w:styleId="1121" w:customStyle="1">
    <w:name w:val="Unresolved Mention4"/>
    <w:basedOn w:val="1008"/>
    <w:uiPriority w:val="99"/>
    <w:semiHidden/>
    <w:unhideWhenUsed/>
    <w:pPr>
      <w:pBdr/>
      <w:spacing/>
      <w:ind/>
    </w:pPr>
    <w:rPr>
      <w:color w:val="605e5c"/>
      <w:shd w:val="clear" w:color="auto" w:fill="e1dfdd"/>
    </w:rPr>
  </w:style>
  <w:style w:type="character" w:styleId="1122">
    <w:name w:val="Unresolved Mention"/>
    <w:basedOn w:val="1008"/>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jpg"/><Relationship Id="rId39" Type="http://schemas.openxmlformats.org/officeDocument/2006/relationships/image" Target="media/image25.jpg"/><Relationship Id="rId40" Type="http://schemas.openxmlformats.org/officeDocument/2006/relationships/image" Target="media/image26.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285</cp:revision>
  <dcterms:created xsi:type="dcterms:W3CDTF">2025-09-15T09:58:00Z</dcterms:created>
  <dcterms:modified xsi:type="dcterms:W3CDTF">2026-06-08T02:19:58Z</dcterms:modified>
</cp:coreProperties>
</file>