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20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2067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275/2026/0512/VFI-CT.44.A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Ngọc Hoàng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111, tờ bản đồ số: 15, có địa chỉ: Thôn Phú Đôi, xã Đại Thắng, huyện Phú Xuyên (</w:t>
                            </w:r>
                            <w:r>
                              <w:rPr>
                                <w:i/>
                                <w:iCs/>
                                <w:color w:val="000000"/>
                              </w:rPr>
                              <w:t xml:space="preserve">nay là xã Phượng Dực</w:t>
                            </w:r>
                            <w:r>
                              <w:rPr>
                                <w:color w:val="000000"/>
                              </w:rPr>
                              <w:t xml:space="preserve">), thành phố Hà Nội</w:t>
                            </w:r>
                            <w:r>
                              <w:rPr>
                                <w:color w:val="000000"/>
                              </w:rPr>
                              <w:t xml:space="preserve"> theo Giấy chứng nhận quyền sử dụng đất, quy</w:t>
                            </w:r>
                            <w:r>
                              <w:rPr>
                                <w:color w:val="000000" w:themeColor="text1"/>
                              </w:rPr>
                              <w:t xml:space="preserve">ền sở hữu nhà ở và tài sản khác gắn liền với đất số: DO 950674, Số vào sổ cấp GCN: CN-01</w:t>
                            </w:r>
                            <w:r>
                              <w:rPr>
                                <w:color w:val="000000" w:themeColor="text1"/>
                              </w:rPr>
                              <w:t xml:space="preserve">8</w:t>
                            </w:r>
                            <w:r>
                              <w:rPr>
                                <w:color w:val="000000" w:themeColor="text1"/>
                              </w:rPr>
                              <w:t xml:space="preserve">87</w:t>
                            </w:r>
                            <w:r>
                              <w:rPr>
                                <w:color w:val="000000"/>
                              </w:rPr>
                              <w:t xml:space="preserve"> do Chi nhánh Văn phòng đăng ký đất đai Hà Nội huyện Phú Xuyên cấp ngày 26/4/2024; Chủ sử dụng đất là Ông Vũ Ngọc Hoàng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275/2026/0512/VFI-CT.44.A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Ngọc Hoàng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111, tờ bản đồ số: 15, có địa chỉ: Thôn Phú Đôi, xã Đại Thắng, huyện Phú Xuyên (</w:t>
                      </w:r>
                      <w:r>
                        <w:rPr>
                          <w:i/>
                          <w:iCs/>
                          <w:color w:val="000000"/>
                        </w:rPr>
                        <w:t xml:space="preserve">nay là xã Phượng Dực</w:t>
                      </w:r>
                      <w:r>
                        <w:rPr>
                          <w:color w:val="000000"/>
                        </w:rPr>
                        <w:t xml:space="preserve">), thành phố Hà Nội</w:t>
                      </w:r>
                      <w:r>
                        <w:rPr>
                          <w:color w:val="000000"/>
                        </w:rPr>
                        <w:t xml:space="preserve"> theo Giấy chứng nhận quyền sử dụng đất, quy</w:t>
                      </w:r>
                      <w:r>
                        <w:rPr>
                          <w:color w:val="000000" w:themeColor="text1"/>
                        </w:rPr>
                        <w:t xml:space="preserve">ền sở hữu nhà ở và tài sản khác gắn liền với đất số: DO 950674, Số vào sổ cấp GCN: CN-01</w:t>
                      </w:r>
                      <w:r>
                        <w:rPr>
                          <w:color w:val="000000" w:themeColor="text1"/>
                        </w:rPr>
                        <w:t xml:space="preserve">8</w:t>
                      </w:r>
                      <w:r>
                        <w:rPr>
                          <w:color w:val="000000" w:themeColor="text1"/>
                        </w:rPr>
                        <w:t xml:space="preserve">87</w:t>
                      </w:r>
                      <w:r>
                        <w:rPr>
                          <w:color w:val="000000"/>
                        </w:rPr>
                        <w:t xml:space="preserve"> do Chi nhánh Văn phòng đăng ký đất đai Hà Nội huyện Phú Xuyên cấp ngày 26/4/2024; Chủ sử dụng đất là Ông Vũ Ngọc Hoàng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1703"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762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764"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275/2026/0512/VFI-CT.44.A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01 tháng 4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Ngọc Hoàng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275/2026/0512/VFI-HĐTĐ.44.A</w:t>
      </w:r>
      <w:r>
        <w:rPr>
          <w:spacing w:val="-4"/>
          <w:lang w:val="vi-VN"/>
        </w:rPr>
        <w:t xml:space="preserve"> ký ngày </w:t>
      </w:r>
      <w:r>
        <w:rPr>
          <w:color w:val="000000" w:themeColor="text1"/>
          <w:spacing w:val="-4"/>
        </w:rPr>
        <w:t xml:space="preserve">01 tháng 4 năm 2026</w:t>
      </w:r>
      <w:r>
        <w:rPr>
          <w:spacing w:val="-4"/>
          <w:lang w:val="vi-VN"/>
        </w:rPr>
        <w:t xml:space="preserve"> </w:t>
      </w:r>
      <w:r>
        <w:rPr>
          <w:spacing w:val="-4"/>
          <w:lang w:val="vi-VN"/>
        </w:rPr>
        <w:t xml:space="preserve">giữa </w:t>
      </w:r>
      <w:r>
        <w:rPr>
          <w:color w:val="000000" w:themeColor="text1"/>
          <w:spacing w:val="-4"/>
        </w:rPr>
        <w:t xml:space="preserve">Ông Vũ Ngọc Hoàng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275/2026/0512/VFI-BC.44.A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01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VŨ NGỌC HOÀNG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001084</w:t>
            </w:r>
            <w:r>
              <w:rPr>
                <w:color w:val="000000" w:themeColor="text1"/>
                <w:highlight w:val="yellow"/>
                <w:lang w:val="vi-VN"/>
              </w:rPr>
              <w:t xml:space="preserve">0</w:t>
            </w:r>
            <w:r>
              <w:rPr>
                <w:color w:val="000000" w:themeColor="text1"/>
                <w:lang w:val="vi-VN"/>
              </w:rPr>
              <w:t xml:space="preserve">69202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Phú Đôi, xã Phượng Dực,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69"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111, tờ bản đồ số: 15, có địa chỉ: Thôn Phú Đôi, xã Đại Thắng, huyện Phú Xuyên (</w:t>
      </w:r>
      <w:r>
        <w:rPr>
          <w:i/>
          <w:iCs/>
          <w:color w:val="000000" w:themeColor="text1"/>
        </w:rPr>
        <w:t xml:space="preserve">nay là xã Phượng Dực)</w:t>
      </w:r>
      <w:r>
        <w:rPr>
          <w:color w:val="000000" w:themeColor="text1"/>
        </w:rPr>
        <w:t xml:space="preserve">, thành phố Hà Nội</w:t>
      </w:r>
      <w:r>
        <w:rPr>
          <w:color w:val="000000" w:themeColor="text1"/>
        </w:rPr>
        <w:t xml:space="preserve"> theo Giấy chứng nhận quyền sử dụng đất, quyền sở hữu nhà ở và tài sản khác gắn liền với đất số: DO 950674, Số vào sổ cấp GCN: </w:t>
      </w:r>
      <w:r>
        <w:rPr>
          <w:color w:val="000000" w:themeColor="text1"/>
          <w:highlight w:val="white"/>
        </w:rPr>
        <w:t xml:space="preserve">CN-01</w:t>
      </w:r>
      <w:r>
        <w:rPr>
          <w:color w:val="000000" w:themeColor="text1"/>
          <w:highlight w:val="white"/>
        </w:rPr>
        <w:t xml:space="preserve">8</w:t>
      </w:r>
      <w:r>
        <w:rPr>
          <w:color w:val="000000" w:themeColor="text1"/>
          <w:highlight w:val="white"/>
        </w:rPr>
        <w:t xml:space="preserve">87 do Chi </w:t>
      </w:r>
      <w:r>
        <w:rPr>
          <w:color w:val="000000" w:themeColor="text1"/>
        </w:rPr>
        <w:t xml:space="preserve">nhánh Văn phòng đăng ký đất đai Hà Nội huyện Phú Xuyên cấp ngày 26/4/2024; Chủ sử dụng đất là Ông Vũ Ngọc Hoàng</w:t>
      </w:r>
      <w:r>
        <w:rPr>
          <w:i/>
          <w:iCs/>
        </w:rPr>
        <w:t xml:space="preserve">.</w:t>
      </w:r>
      <w:r>
        <w:rPr>
          <w:b/>
          <w:bCs/>
        </w:rPr>
      </w:r>
      <w:r>
        <w:rPr>
          <w:b/>
          <w:bCs/>
        </w:rPr>
      </w:r>
    </w:p>
    <w:p>
      <w:pPr>
        <w:pBdr/>
        <w:spacing w:after="120" w:before="120" w:line="269"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69"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69"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69"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69"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69"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69"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69"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69"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69"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498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368"/>
        <w:gridCol w:w="1384"/>
        <w:gridCol w:w="1559"/>
        <w:gridCol w:w="2234"/>
      </w:tblGrid>
      <w:tr>
        <w:trPr>
          <w:trHeight w:val="20"/>
        </w:trPr>
        <w:tc>
          <w:tcPr>
            <w:shd w:val="clear" w:color="000000" w:fill="ffffff"/>
            <w:tcBorders/>
            <w:tcW w:w="952"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3368" w:type="dxa"/>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384" w:type="dxa"/>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559" w:type="dxa"/>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234" w:type="dxa"/>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76" w:lineRule="auto"/>
              <w:ind/>
              <w:jc w:val="center"/>
              <w:rPr>
                <w:b/>
                <w:bCs/>
              </w:rPr>
            </w:pPr>
            <w:r>
              <w:rPr>
                <w:b/>
                <w:bCs/>
              </w:rPr>
              <w:t xml:space="preserve"> </w:t>
            </w:r>
            <w:r>
              <w:rPr>
                <w:b/>
                <w:bCs/>
              </w:rPr>
            </w:r>
            <w:r>
              <w:rPr>
                <w:b/>
                <w:bCs/>
              </w:rPr>
            </w:r>
          </w:p>
        </w:tc>
        <w:tc>
          <w:tcPr>
            <w:gridSpan w:val="3"/>
            <w:shd w:val="clear" w:color="000000" w:fill="ffffff"/>
            <w:tcBorders/>
            <w:tcW w:w="6310" w:type="dxa"/>
            <w:vAlign w:val="center"/>
            <w:textDirection w:val="lrTb"/>
            <w:noWrap w:val="false"/>
          </w:tcPr>
          <w:p>
            <w:pPr>
              <w:pBdr/>
              <w:spacing w:after="40" w:before="40" w:line="264" w:lineRule="auto"/>
              <w:ind/>
              <w:jc w:val="both"/>
              <w:rPr>
                <w:b/>
                <w:bCs/>
              </w:rPr>
            </w:pPr>
            <w:r>
              <w:rPr>
                <w:b/>
                <w:bCs/>
                <w:color w:val="000000"/>
              </w:rPr>
              <w:t xml:space="preserve">Quyền sử dụng đất tại thửa đất số: 111, tờ bản đồ số: 15, có địa chỉ: Thôn Phú Đôi, xã Đại Thắng, huyện Phú Xuyên (</w:t>
            </w:r>
            <w:r>
              <w:rPr>
                <w:b/>
                <w:bCs/>
                <w:i/>
                <w:iCs/>
                <w:color w:val="000000"/>
              </w:rPr>
              <w:t xml:space="preserve">nay là xã Phượng Dực</w:t>
            </w:r>
            <w:r>
              <w:rPr>
                <w:b/>
                <w:bCs/>
                <w:color w:val="000000"/>
              </w:rPr>
              <w:t xml:space="preserve">), thành phố Hà Nội</w:t>
            </w:r>
            <w:r>
              <w:rPr>
                <w:b/>
                <w:bCs/>
                <w:color w:val="000000"/>
              </w:rPr>
              <w:t xml:space="preserve">  theo Giấy chứng nhận quyền sử dụng đất, quyền sở hữu nhà ở và tài sản khác gắ</w:t>
            </w:r>
            <w:r>
              <w:rPr>
                <w:b/>
                <w:bCs/>
                <w:color w:val="000000" w:themeColor="text1"/>
                <w:highlight w:val="white"/>
              </w:rPr>
              <w:t xml:space="preserve">n liền với đất số: DO 950674, Số vào sổ cấp GCN: CN-01</w:t>
            </w:r>
            <w:r>
              <w:rPr>
                <w:b/>
                <w:bCs/>
                <w:color w:val="000000" w:themeColor="text1"/>
                <w:highlight w:val="white"/>
              </w:rPr>
              <w:t xml:space="preserve">8</w:t>
            </w:r>
            <w:r>
              <w:rPr>
                <w:b/>
                <w:bCs/>
                <w:color w:val="000000" w:themeColor="text1"/>
                <w:highlight w:val="white"/>
              </w:rPr>
              <w:t xml:space="preserve">87 do Chi nhánh Văn phòng đăng ký đất đai Hà Nội huyện Phú</w:t>
            </w:r>
            <w:r>
              <w:rPr>
                <w:b/>
                <w:bCs/>
                <w:color w:val="000000"/>
              </w:rPr>
              <w:t xml:space="preserve"> Xuyên cấp ngày 26/4/2024; Chủ sử dụng đất là Ông Vũ Ngọc Hoàng</w:t>
            </w:r>
            <w:r>
              <w:rPr>
                <w:b/>
                <w:bCs/>
              </w:rPr>
              <w:t xml:space="preserve">.</w:t>
            </w:r>
            <w:r>
              <w:rPr>
                <w:b/>
                <w:bCs/>
              </w:rPr>
            </w:r>
            <w:r>
              <w:rPr>
                <w:b/>
                <w:bCs/>
              </w:rPr>
            </w:r>
          </w:p>
        </w:tc>
        <w:tc>
          <w:tcPr>
            <w:shd w:val="clear" w:color="000000" w:fill="ffffff"/>
            <w:tcBorders/>
            <w:tcW w:w="2234" w:type="dxa"/>
            <w:vAlign w:val="center"/>
            <w:textDirection w:val="lrTb"/>
            <w:noWrap w:val="false"/>
          </w:tcPr>
          <w:p>
            <w:pPr>
              <w:pBdr/>
              <w:spacing w:after="40" w:before="40" w:line="276" w:lineRule="auto"/>
              <w:ind/>
              <w:jc w:val="right"/>
              <w:rPr>
                <w:b/>
                <w:bCs/>
              </w:rPr>
            </w:pPr>
            <w:r>
              <w:rPr>
                <w:b/>
                <w:bCs/>
              </w:rPr>
              <w:t xml:space="preserve"> </w:t>
            </w:r>
            <w:r>
              <w:rPr>
                <w:b/>
                <w:bCs/>
              </w:rPr>
            </w:r>
            <w:r>
              <w:rPr>
                <w:b/>
                <w:bCs/>
              </w:rPr>
            </w:r>
          </w:p>
        </w:tc>
      </w:tr>
      <w:tr>
        <w:trPr>
          <w:trHeight w:val="463"/>
        </w:trPr>
        <w:tc>
          <w:tcPr>
            <w:shd w:val="clear" w:color="000000" w:fill="ffffff"/>
            <w:tcBorders/>
            <w:tcW w:w="952" w:type="dxa"/>
            <w:vAlign w:val="center"/>
            <w:textDirection w:val="lrTb"/>
            <w:noWrap w:val="false"/>
          </w:tcPr>
          <w:p>
            <w:pPr>
              <w:pBdr/>
              <w:spacing w:after="40" w:before="40" w:line="276" w:lineRule="auto"/>
              <w:ind/>
              <w:jc w:val="center"/>
              <w:rPr>
                <w:b w:val="0"/>
                <w:bCs w:val="0"/>
              </w:rPr>
            </w:pPr>
            <w:r>
              <w:rPr>
                <w:b w:val="0"/>
                <w:bCs w:val="0"/>
              </w:rPr>
              <w:t xml:space="preserve">01</w:t>
            </w:r>
            <w:r>
              <w:rPr>
                <w:b w:val="0"/>
                <w:bCs w:val="0"/>
              </w:rPr>
            </w:r>
            <w:r>
              <w:rPr>
                <w:b w:val="0"/>
                <w:bCs w:val="0"/>
              </w:rPr>
            </w:r>
          </w:p>
        </w:tc>
        <w:tc>
          <w:tcPr>
            <w:shd w:val="clear" w:color="000000" w:fill="ffffff"/>
            <w:tcBorders/>
            <w:tcW w:w="3368" w:type="dxa"/>
            <w:vAlign w:val="center"/>
            <w:textDirection w:val="lrTb"/>
            <w:noWrap w:val="false"/>
          </w:tcPr>
          <w:p>
            <w:pPr>
              <w:pBdr/>
              <w:spacing w:after="40" w:before="40" w:line="276" w:lineRule="auto"/>
              <w:ind/>
              <w:rPr>
                <w:b w:val="0"/>
                <w:bCs w:val="0"/>
              </w:rPr>
            </w:pPr>
            <w:r>
              <w:rPr>
                <w:b w:val="0"/>
                <w:bCs w:val="0"/>
              </w:rPr>
              <w:t xml:space="preserve">Đất ONT nằm ngoài HLGT.</w:t>
            </w:r>
            <w:r>
              <w:rPr>
                <w:b w:val="0"/>
                <w:bCs w:val="0"/>
              </w:rPr>
            </w:r>
            <w:r>
              <w:rPr>
                <w:b w:val="0"/>
                <w:bCs w:val="0"/>
              </w:rPr>
            </w:r>
          </w:p>
        </w:tc>
        <w:tc>
          <w:tcPr>
            <w:tcBorders/>
            <w:tcW w:w="1384" w:type="dxa"/>
            <w:vAlign w:val="center"/>
            <w:textDirection w:val="lrTb"/>
            <w:noWrap/>
          </w:tcPr>
          <w:p>
            <w:pPr>
              <w:pBdr/>
              <w:spacing w:after="40" w:before="40" w:line="276" w:lineRule="auto"/>
              <w:ind/>
              <w:jc w:val="center"/>
              <w:rPr>
                <w:color w:val="000000"/>
              </w:rPr>
            </w:pPr>
            <w:r>
              <w:rPr>
                <w:color w:val="000000" w:themeColor="text1"/>
              </w:rPr>
              <w:t xml:space="preserve">76,8</w:t>
            </w:r>
            <w:r>
              <w:rPr>
                <w:color w:val="000000"/>
              </w:rPr>
            </w:r>
            <w:r>
              <w:rPr>
                <w:color w:val="000000"/>
              </w:rPr>
            </w:r>
          </w:p>
        </w:tc>
        <w:tc>
          <w:tcPr>
            <w:shd w:val="clear" w:color="000000" w:fill="ffffff"/>
            <w:tcBorders/>
            <w:tcW w:w="1559" w:type="dxa"/>
            <w:vAlign w:val="center"/>
            <w:textDirection w:val="lrTb"/>
            <w:noWrap w:val="false"/>
          </w:tcPr>
          <w:p>
            <w:pPr>
              <w:pBdr/>
              <w:spacing w:after="40" w:before="40" w:line="276" w:lineRule="auto"/>
              <w:ind/>
              <w:jc w:val="center"/>
              <w:rPr/>
            </w:pPr>
            <w:r>
              <w:rPr>
                <w:color w:val="000000" w:themeColor="text1"/>
              </w:rPr>
              <w:t xml:space="preserve">70.000.000</w:t>
            </w:r>
            <w:r/>
          </w:p>
        </w:tc>
        <w:tc>
          <w:tcPr>
            <w:shd w:val="clear" w:color="000000" w:fill="ffffff"/>
            <w:tcBorders/>
            <w:tcW w:w="2234" w:type="dxa"/>
            <w:vAlign w:val="center"/>
            <w:textDirection w:val="lrTb"/>
            <w:noWrap w:val="false"/>
          </w:tcPr>
          <w:p>
            <w:pPr>
              <w:pBdr/>
              <w:spacing w:after="40" w:before="40" w:line="276" w:lineRule="auto"/>
              <w:ind/>
              <w:jc w:val="center"/>
              <w:rPr/>
            </w:pPr>
            <w:r>
              <w:rPr>
                <w:color w:val="000000" w:themeColor="text1"/>
              </w:rPr>
              <w:t xml:space="preserve">5.376.000.000</w:t>
            </w:r>
            <w:r/>
          </w:p>
        </w:tc>
      </w:tr>
      <w:tr>
        <w:trPr>
          <w:trHeight w:val="20"/>
        </w:trPr>
        <w:tc>
          <w:tcPr>
            <w:shd w:val="clear" w:color="000000" w:fill="ffffff"/>
            <w:tcBorders/>
            <w:tcW w:w="952" w:type="dxa"/>
            <w:vAlign w:val="center"/>
            <w:vMerge w:val="restart"/>
            <w:textDirection w:val="lrTb"/>
            <w:noWrap w:val="false"/>
          </w:tcPr>
          <w:p>
            <w:pPr>
              <w:pBdr/>
              <w:spacing w:after="40" w:before="40" w:line="276" w:lineRule="auto"/>
              <w:ind/>
              <w:jc w:val="center"/>
              <w:rPr>
                <w:b w:val="0"/>
                <w:bCs w:val="0"/>
              </w:rPr>
            </w:pPr>
            <w:r>
              <w:rPr>
                <w:b w:val="0"/>
                <w:bCs w:val="0"/>
              </w:rPr>
              <w:t xml:space="preserve">02</w:t>
            </w:r>
            <w:r>
              <w:rPr>
                <w:b w:val="0"/>
                <w:bCs w:val="0"/>
              </w:rPr>
            </w:r>
            <w:r>
              <w:rPr>
                <w:b w:val="0"/>
                <w:bCs w:val="0"/>
              </w:rPr>
            </w:r>
          </w:p>
        </w:tc>
        <w:tc>
          <w:tcPr>
            <w:shd w:val="clear" w:color="000000" w:fill="ffffff"/>
            <w:tcBorders/>
            <w:tcW w:w="3368" w:type="dxa"/>
            <w:vAlign w:val="center"/>
            <w:vMerge w:val="restart"/>
            <w:textDirection w:val="lrTb"/>
            <w:noWrap w:val="false"/>
          </w:tcPr>
          <w:p>
            <w:pPr>
              <w:pBdr/>
              <w:spacing w:after="40" w:before="40" w:line="276" w:lineRule="auto"/>
              <w:ind/>
              <w:rPr>
                <w:b w:val="0"/>
                <w:bCs w:val="0"/>
              </w:rPr>
            </w:pPr>
            <w:r>
              <w:rPr>
                <w:b w:val="0"/>
                <w:bCs w:val="0"/>
              </w:rPr>
              <w:t xml:space="preserve">Đất ONT nằm trong HLGT.</w:t>
            </w:r>
            <w:r>
              <w:rPr>
                <w:b w:val="0"/>
                <w:bCs w:val="0"/>
              </w:rPr>
            </w:r>
            <w:r>
              <w:rPr>
                <w:b w:val="0"/>
                <w:bCs w:val="0"/>
              </w:rPr>
            </w:r>
          </w:p>
        </w:tc>
        <w:tc>
          <w:tcPr>
            <w:tcBorders/>
            <w:tcW w:w="1384" w:type="dxa"/>
            <w:vAlign w:val="center"/>
            <w:vMerge w:val="restart"/>
            <w:textDirection w:val="lrTb"/>
            <w:noWrap/>
          </w:tcPr>
          <w:p>
            <w:pPr>
              <w:pBdr/>
              <w:spacing w:after="40" w:before="40" w:line="276" w:lineRule="auto"/>
              <w:ind/>
              <w:jc w:val="center"/>
              <w:rPr>
                <w:color w:val="000000" w:themeColor="text1"/>
              </w:rPr>
            </w:pPr>
            <w:r>
              <w:rPr>
                <w:color w:val="000000" w:themeColor="text1"/>
              </w:rPr>
            </w:r>
            <w:r>
              <w:rPr>
                <w:color w:val="000000" w:themeColor="text1"/>
              </w:rPr>
              <w:t xml:space="preserve">31,2</w:t>
            </w:r>
            <w:r>
              <w:rPr>
                <w:color w:val="000000" w:themeColor="text1"/>
              </w:rPr>
            </w:r>
            <w:r>
              <w:rPr>
                <w:color w:val="000000" w:themeColor="text1"/>
              </w:rPr>
            </w:r>
          </w:p>
        </w:tc>
        <w:tc>
          <w:tcPr>
            <w:shd w:val="clear" w:color="000000" w:fill="ffffff"/>
            <w:tcBorders/>
            <w:tcW w:w="1559" w:type="dxa"/>
            <w:vAlign w:val="center"/>
            <w:vMerge w:val="restart"/>
            <w:textDirection w:val="lrTb"/>
            <w:noWrap w:val="false"/>
          </w:tcPr>
          <w:p>
            <w:pPr>
              <w:pBdr/>
              <w:spacing w:after="40" w:before="40" w:line="276" w:lineRule="auto"/>
              <w:ind/>
              <w:jc w:val="center"/>
              <w:rPr>
                <w:color w:val="000000" w:themeColor="text1"/>
              </w:rPr>
            </w:pPr>
            <w:r>
              <w:rPr>
                <w:color w:val="000000" w:themeColor="text1"/>
              </w:rPr>
            </w:r>
            <w:r>
              <w:rPr>
                <w:color w:val="000000" w:themeColor="text1"/>
              </w:rPr>
              <w:t xml:space="preserve">5.023.000</w:t>
            </w:r>
            <w:r>
              <w:rPr>
                <w:color w:val="000000" w:themeColor="text1"/>
              </w:rPr>
            </w:r>
            <w:r>
              <w:rPr>
                <w:color w:val="000000" w:themeColor="text1"/>
              </w:rPr>
            </w:r>
          </w:p>
        </w:tc>
        <w:tc>
          <w:tcPr>
            <w:shd w:val="clear" w:color="000000" w:fill="ffffff"/>
            <w:tcBorders/>
            <w:tcW w:w="2234" w:type="dxa"/>
            <w:vAlign w:val="center"/>
            <w:vMerge w:val="restart"/>
            <w:textDirection w:val="lrTb"/>
            <w:noWrap w:val="false"/>
          </w:tcPr>
          <w:p>
            <w:pPr>
              <w:pBdr/>
              <w:spacing w:after="40" w:before="40" w:line="276" w:lineRule="auto"/>
              <w:ind/>
              <w:jc w:val="center"/>
              <w:rPr>
                <w:color w:val="000000" w:themeColor="text1"/>
              </w:rPr>
            </w:pPr>
            <w:r>
              <w:rPr>
                <w:color w:val="000000" w:themeColor="text1"/>
              </w:rPr>
            </w:r>
            <w:r>
              <w:rPr>
                <w:color w:val="000000" w:themeColor="text1"/>
              </w:rPr>
              <w:t xml:space="preserve">156.717.600</w:t>
            </w:r>
            <w:r>
              <w:rPr>
                <w:color w:val="000000" w:themeColor="text1"/>
              </w:rPr>
            </w:r>
            <w:r>
              <w:rPr>
                <w:color w:val="000000" w:themeColor="text1"/>
              </w:rPr>
            </w:r>
          </w:p>
        </w:tc>
      </w:tr>
      <w:tr>
        <w:trPr>
          <w:trHeight w:val="20"/>
        </w:trPr>
        <w:tc>
          <w:tcPr>
            <w:gridSpan w:val="4"/>
            <w:tcBorders/>
            <w:tcW w:w="7263"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2234" w:type="dxa"/>
            <w:vAlign w:val="center"/>
            <w:textDirection w:val="lrTb"/>
            <w:noWrap/>
          </w:tcPr>
          <w:p>
            <w:pPr>
              <w:pBdr/>
              <w:spacing w:after="40" w:before="40" w:line="276" w:lineRule="auto"/>
              <w:ind/>
              <w:jc w:val="center"/>
              <w:rPr>
                <w:b/>
                <w:bCs/>
                <w:color w:val="000000"/>
              </w:rPr>
            </w:pPr>
            <w:r>
              <w:rPr>
                <w:b/>
                <w:bCs/>
              </w:rPr>
              <w:t xml:space="preserve">5.532.717.600</w:t>
            </w:r>
            <w:r>
              <w:rPr>
                <w:b/>
                <w:bCs/>
                <w:color w:val="000000"/>
              </w:rPr>
            </w:r>
            <w:r>
              <w:rPr>
                <w:b/>
                <w:bCs/>
                <w:color w:val="000000"/>
              </w:rPr>
            </w:r>
          </w:p>
        </w:tc>
      </w:tr>
      <w:tr>
        <w:trPr>
          <w:trHeight w:val="20"/>
        </w:trPr>
        <w:tc>
          <w:tcPr>
            <w:gridSpan w:val="4"/>
            <w:tcBorders/>
            <w:tcW w:w="7263"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tcBorders/>
            <w:tcW w:w="2234" w:type="dxa"/>
            <w:vAlign w:val="center"/>
            <w:textDirection w:val="lrTb"/>
            <w:noWrap/>
          </w:tcPr>
          <w:p>
            <w:pPr>
              <w:pBdr/>
              <w:spacing w:after="40" w:before="40" w:line="276" w:lineRule="auto"/>
              <w:ind/>
              <w:jc w:val="center"/>
              <w:rPr>
                <w:b/>
                <w:bCs/>
                <w:color w:val="000000"/>
              </w:rPr>
            </w:pPr>
            <w:r>
              <w:rPr>
                <w:b/>
                <w:bCs/>
                <w:color w:val="000000"/>
              </w:rPr>
              <w:t xml:space="preserve">5.533.000.000</w:t>
            </w:r>
            <w:r>
              <w:rPr>
                <w:b/>
                <w:bCs/>
                <w:color w:val="000000"/>
              </w:rPr>
            </w:r>
            <w:r>
              <w:rPr>
                <w:b/>
                <w:bCs/>
                <w:color w:val="000000"/>
              </w:rPr>
            </w:r>
          </w:p>
        </w:tc>
      </w:tr>
      <w:tr>
        <w:trPr>
          <w:trHeight w:val="20"/>
        </w:trPr>
        <w:tc>
          <w:tcPr>
            <w:gridSpan w:val="5"/>
            <w:tcBorders/>
            <w:tcW w:w="9497" w:type="dxa"/>
            <w:vAlign w:val="center"/>
            <w:textDirection w:val="lrTb"/>
            <w:noWrap w:val="false"/>
          </w:tcPr>
          <w:p>
            <w:pPr>
              <w:pBdr/>
              <w:spacing w:after="40" w:before="40" w:line="276" w:lineRule="auto"/>
              <w:ind/>
              <w:jc w:val="center"/>
              <w:rPr>
                <w:b/>
                <w:bCs/>
                <w:i/>
                <w:iCs/>
                <w:color w:val="000000"/>
              </w:rPr>
            </w:pPr>
            <w:r>
              <w:rPr>
                <w:b/>
                <w:bCs/>
                <w:i/>
                <w:iCs/>
                <w:color w:val="000000"/>
              </w:rPr>
              <w:t xml:space="preserve">(Bằng chữ: </w:t>
            </w:r>
            <w:r>
              <w:rPr>
                <w:b/>
                <w:bCs/>
                <w:i/>
                <w:iCs/>
                <w:color w:val="000000"/>
              </w:rPr>
              <w:t xml:space="preserve">Năm tỷ, năm trăm ba mươi ba triệu đồng</w:t>
            </w:r>
            <w:r>
              <w:rPr>
                <w:b/>
                <w:bCs/>
                <w:i/>
                <w:iCs/>
                <w:color w:val="000000"/>
              </w:rPr>
              <w:t xml:space="preserve">./.)</w:t>
            </w:r>
            <w:r>
              <w:rPr>
                <w:b/>
                <w:bCs/>
                <w:i/>
                <w:iCs/>
                <w:color w:val="000000"/>
              </w:rPr>
            </w:r>
            <w:r>
              <w:rPr>
                <w:b/>
                <w:bCs/>
                <w:i/>
                <w:iCs/>
                <w:color w:val="000000"/>
              </w:rPr>
            </w:r>
          </w:p>
        </w:tc>
      </w:tr>
    </w:tbl>
    <w:p>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76" w:lineRule="auto"/>
        <w:ind/>
        <w:rPr/>
      </w:pPr>
      <w:r>
        <w:rPr>
          <w:b/>
          <w:bCs/>
          <w:lang w:val="vi-VN"/>
        </w:rPr>
        <w:t xml:space="preserve">11. Những điều khoản loại trừ và hạn chế của kết quả thẩm định giá:</w:t>
      </w:r>
      <w:r/>
    </w:p>
    <w:p>
      <w:pPr>
        <w:pBdr/>
        <w:spacing w:after="120" w:before="120" w:line="276"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995"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691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605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275/2026/0512/VFI-BC.44.A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01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6056"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275/2026/0512/VFI-CT.44.A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01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VŨ NGỌC HOÀNG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001084</w:t>
            </w:r>
            <w:r>
              <w:rPr>
                <w:color w:val="000000" w:themeColor="text1"/>
                <w:highlight w:val="yellow"/>
                <w:lang w:val="vi-VN"/>
              </w:rPr>
              <w:t xml:space="preserve">06</w:t>
            </w:r>
            <w:r>
              <w:rPr>
                <w:color w:val="000000" w:themeColor="text1"/>
                <w:lang w:val="vi-VN"/>
              </w:rPr>
              <w:t xml:space="preserve">9202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Phú Đôi, xã Phượng Dực, thanh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111, tờ bản đồ số: 15, có địa chỉ: Thôn Phú Đôi, xã Đại Thắng, huyện Phú Xuyên (</w:t>
            </w:r>
            <w:r>
              <w:rPr>
                <w:i/>
                <w:iCs/>
                <w:color w:val="000000"/>
              </w:rPr>
              <w:t xml:space="preserve">nay là xã Phượng Dực</w:t>
            </w:r>
            <w:r>
              <w:rPr>
                <w:color w:val="000000"/>
              </w:rPr>
              <w:t xml:space="preserve">), thành phố Hà Nội</w:t>
            </w:r>
            <w:r>
              <w:rPr>
                <w:color w:val="000000"/>
              </w:rPr>
              <w:t xml:space="preserve"> theo Giấy chứng nhận quyền sử dụng đất, quyền sở hữu nhà ở và tài sản khác gắn liền với đất số: DO 950674, Số vào sổ cấp GCN: C</w:t>
            </w:r>
            <w:r>
              <w:rPr>
                <w:color w:val="000000" w:themeColor="text1"/>
              </w:rPr>
              <w:t xml:space="preserve">N-01</w:t>
            </w:r>
            <w:r>
              <w:rPr>
                <w:color w:val="000000" w:themeColor="text1"/>
              </w:rPr>
              <w:t xml:space="preserve">8</w:t>
            </w:r>
            <w:r>
              <w:rPr>
                <w:color w:val="000000" w:themeColor="text1"/>
              </w:rPr>
              <w:t xml:space="preserve">87 do Chi </w:t>
            </w:r>
            <w:r>
              <w:rPr>
                <w:color w:val="000000"/>
              </w:rPr>
              <w:t xml:space="preserve">nhánh Văn phòng đăng ký đất đai Hà Nội huyện Phú Xuyên cấp ngày 26/4/2024; Chủ sử dụng đất là Ông Vũ Ngọc Hoàng</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Phú Đôi, xã Phượng Dực,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20.7777948, 105.874761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jc w:val="both"/>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 đất số: DO 950674, Số vào sổ cấp GCN: CN-01</w:t>
      </w:r>
      <w:r>
        <w:rPr>
          <w:color w:val="ff0000"/>
        </w:rPr>
        <w:t xml:space="preserve">8</w:t>
      </w:r>
      <w:r>
        <w:rPr>
          <w:color w:val="000000"/>
        </w:rPr>
        <w:t xml:space="preserve">87 do Chi nhánh Văn phòng đăng ký đất đai Hà Nội huyện Phú Xuyên cấp ngày 26/4/2024; Chủ sử dụng đất là Ông Vũ Ngọc Hoàng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275/2026/0512/VFI-HĐTĐ.44.A ngày 01/4/2026 giữa Ông Vũ Ngọc Hoàng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before="0" w:line="360" w:lineRule="atLeast"/>
        <w:ind w:right="0" w:firstLine="283" w:left="0"/>
        <w:jc w:val="both"/>
        <w:rPr>
          <w:rFonts w:ascii="Times New Roman" w:hAnsi="Times New Roman" w:cs="Times New Roman"/>
        </w:rPr>
      </w:pPr>
      <w:r>
        <w:rPr>
          <w:rFonts w:ascii="Times New Roman" w:hAnsi="Times New Roman" w:eastAsia="Times New Roman" w:cs="Times New Roman"/>
          <w:color w:val="0a0a0a"/>
          <w:sz w:val="24"/>
        </w:rPr>
        <w:t xml:space="preserve">Bất động sản (BĐS) Phú Xuyên, Hà Nội đang chuyển mình thành đô thị vệ tinh – logistics – công nghiệp phía Nam, nổi bật với quỹ đất rộng, giá hợp lý và hạ tầng kết nối mạnh mẽ (cao tốc Pháp Vân-Cầu Giẽ, quốc lộ 1A). Trọng tâm đầu tư bao gồm đất nền ven làng</w:t>
      </w:r>
      <w:r>
        <w:rPr>
          <w:rFonts w:ascii="Times New Roman" w:hAnsi="Times New Roman" w:eastAsia="Times New Roman" w:cs="Times New Roman"/>
          <w:color w:val="0a0a0a"/>
          <w:sz w:val="24"/>
        </w:rPr>
        <w:t xml:space="preserve"> nghề, khu đô thị mới, và khu công nghiệp (cảng Phú Xuyên, trục Đỗ Xá-Quan Sơn).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Tổng quan thị trường BĐS Phú Xuyên (Cập nhật 2026):</w:t>
      </w:r>
      <w:r>
        <w:rPr>
          <w:rFonts w:ascii="Times New Roman" w:hAnsi="Times New Roman" w:cs="Times New Roman"/>
        </w:rPr>
      </w:r>
      <w:r>
        <w:rPr>
          <w:rFonts w:ascii="Times New Roman" w:hAnsi="Times New Roman" w:cs="Times New Roman"/>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Vị trí chiến lược:</w:t>
      </w:r>
      <w:r>
        <w:rPr>
          <w:rFonts w:ascii="Times New Roman" w:hAnsi="Times New Roman" w:eastAsia="Times New Roman" w:cs="Times New Roman"/>
          <w:color w:val="0a0a0a"/>
          <w:sz w:val="24"/>
        </w:rPr>
        <w:t xml:space="preserve"> Là cửa ngõ phía Nam Hà Nội, giáp các huyện Thanh Oai, Thường Tín, Ứng Hòa (Hà Nội) và Duy Tiên (Hà Nam).</w:t>
      </w:r>
      <w:r>
        <w:rPr>
          <w:rFonts w:ascii="Times New Roman" w:hAnsi="Times New Roman" w:cs="Times New Roman"/>
        </w:rPr>
      </w:r>
      <w:r>
        <w:rPr>
          <w:rFonts w:ascii="Times New Roman" w:hAnsi="Times New Roman" w:cs="Times New Roman"/>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Tiềm năng phát triển:</w:t>
      </w:r>
      <w:r>
        <w:rPr>
          <w:rFonts w:ascii="Times New Roman" w:hAnsi="Times New Roman" w:eastAsia="Times New Roman" w:cs="Times New Roman"/>
          <w:color w:val="0a0a0a"/>
          <w:sz w:val="24"/>
        </w:rPr>
        <w:t xml:space="preserve"> Đang chuyển mình từ nông nghiệp sang công nghiệp và đô thị hóa. Các khu công nghiệp, cụm công nghiệp (như </w:t>
      </w:r>
      <w:hyperlink r:id="rId17" w:tooltip="https://www.google.com/search?q=C%E1%BB%A5m+c%C3%B4ng+nghi%E1%BB%87p+l%C3%A0ng+ngh%E1%BB%81+%C4%90%E1%BA%A1i+Th%E1%BA%AFng%2C+Ph%C6%B0%E1%BB%A3ng+D%E1%BB%B1c&amp;oq=t%E1%BB%95ng+quan+B%C4%90S+Ph%C3%9A+XUY%C3%8AN&amp;gs_lcrp=EgZjaHJvbWUyBggAEEUYOTIHCAEQIRigATIHCAIQIRigATIHCAMQIRigAdIBCDY4MTNqMGo3qAIAsAIA&amp;sourceid=chrome&amp;ie=UTF-8&amp;mstk=AUtExfBs__KgWH80Iuz4Iox8-M6cslEfUJ40mJit9kN7R8xbpi59iusSunxlMV7oEdqD_df3my8S0kw9xvq9ATTi-eBvEsn4iNrtFFwjSVnRpsdR2qi8OP31fIQDn93AE2yRpnM&amp;csui=3&amp;ved=2ahUKEwjkw5n9ns6TAxWEr1YBHW98C6sQgK4QegQIAxAC" w:history="1">
        <w:r>
          <w:rPr>
            <w:rStyle w:val="1021"/>
            <w:rFonts w:ascii="Times New Roman" w:hAnsi="Times New Roman" w:eastAsia="Times New Roman" w:cs="Times New Roman"/>
            <w:color w:val="0a0a0a"/>
            <w:sz w:val="24"/>
            <w:u w:val="single"/>
          </w:rPr>
          <w:t xml:space="preserve">Cụm công nghiệp làng nghề Đại Thắng, Phượng Dực</w:t>
        </w:r>
      </w:hyperlink>
      <w:r>
        <w:rPr>
          <w:rFonts w:ascii="Times New Roman" w:hAnsi="Times New Roman" w:eastAsia="Times New Roman" w:cs="Times New Roman"/>
          <w:color w:val="0a0a0a"/>
          <w:sz w:val="24"/>
        </w:rPr>
        <w:t xml:space="preserve">) đang thu hút đầu tư, tạo nhu cầu nhà ở và dịch vụ cao.</w:t>
      </w:r>
      <w:r>
        <w:rPr>
          <w:rFonts w:ascii="Times New Roman" w:hAnsi="Times New Roman" w:cs="Times New Roman"/>
        </w:rPr>
      </w:r>
      <w:r>
        <w:rPr>
          <w:rFonts w:ascii="Times New Roman" w:hAnsi="Times New Roman" w:cs="Times New Roman"/>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Hạ tầng giao thông:</w:t>
      </w:r>
      <w:r>
        <w:rPr>
          <w:rFonts w:ascii="Times New Roman" w:hAnsi="Times New Roman" w:eastAsia="Times New Roman" w:cs="Times New Roman"/>
          <w:color w:val="0a0a0a"/>
          <w:sz w:val="24"/>
        </w:rPr>
        <w:t xml:space="preserve"> Phát triển đồng bộ với quốc lộ 1A, </w:t>
      </w:r>
      <w:hyperlink r:id="rId18" w:tooltip="https://www.google.com/search?q=%C4%91%C6%B0%E1%BB%9Dng+cao+t%E1%BB%91c+Ph%C3%A1p+V%C3%A2n+-+C%E1%BA%A7u+Gi%E1%BA%BD&amp;oq=t%E1%BB%95ng+quan+B%C4%90S+Ph%C3%9A+XUY%C3%8AN&amp;gs_lcrp=EgZjaHJvbWUyBggAEEUYOTIHCAEQIRigATIHCAIQIRigATIHCAMQIRigAdIBCDY4MTNqMGo3qAIAsAIA&amp;sourceid=chrome&amp;ie=UTF-8&amp;mstk=AUtExfBs__KgWH80Iuz4Iox8-M6cslEfUJ40mJit9kN7R8xbpi59iusSunxlMV7oEdqD_df3my8S0kw9xvq9ATTi-eBvEsn4iNrtFFwjSVnRpsdR2qi8OP31fIQDn93AE2yRpnM&amp;csui=3&amp;ved=2ahUKEwjkw5n9ns6TAxWEr1YBHW98C6sQgK4QegQIAxAE" w:history="1">
        <w:r>
          <w:rPr>
            <w:rStyle w:val="1021"/>
            <w:rFonts w:ascii="Times New Roman" w:hAnsi="Times New Roman" w:eastAsia="Times New Roman" w:cs="Times New Roman"/>
            <w:color w:val="0a0a0a"/>
            <w:sz w:val="24"/>
            <w:u w:val="single"/>
          </w:rPr>
          <w:t xml:space="preserve">đường cao tốc Pháp Vân - Cầu Giẽ</w:t>
        </w:r>
      </w:hyperlink>
      <w:r>
        <w:rPr>
          <w:rFonts w:ascii="Times New Roman" w:hAnsi="Times New Roman" w:eastAsia="Times New Roman" w:cs="Times New Roman"/>
          <w:color w:val="0a0a0a"/>
          <w:sz w:val="24"/>
        </w:rPr>
        <w:t xml:space="preserve">, </w:t>
      </w:r>
      <w:hyperlink r:id="rId19" w:tooltip="https://www.google.com/search?q=Qu%E1%BB%91c+l%E1%BB%99+1A+c%C5%A9&amp;oq=t%E1%BB%95ng+quan+B%C4%90S+Ph%C3%9A+XUY%C3%8AN&amp;gs_lcrp=EgZjaHJvbWUyBggAEEUYOTIHCAEQIRigATIHCAIQIRigATIHCAMQIRigAdIBCDY4MTNqMGo3qAIAsAIA&amp;sourceid=chrome&amp;ie=UTF-8&amp;mstk=AUtExfBs__KgWH80Iuz4Iox8-M6cslEfUJ40mJit9kN7R8xbpi59iusSunxlMV7oEdqD_df3my8S0kw9xvq9ATTi-eBvEsn4iNrtFFwjSVnRpsdR2qi8OP31fIQDn93AE2yRpnM&amp;csui=3&amp;ved=2ahUKEwjkw5n9ns6TAxWEr1YBHW98C6sQgK4QegQIAxAF" w:history="1">
        <w:r>
          <w:rPr>
            <w:rStyle w:val="1021"/>
            <w:rFonts w:ascii="Times New Roman" w:hAnsi="Times New Roman" w:eastAsia="Times New Roman" w:cs="Times New Roman"/>
            <w:color w:val="0a0a0a"/>
            <w:sz w:val="24"/>
            <w:u w:val="single"/>
          </w:rPr>
          <w:t xml:space="preserve">Quốc lộ 1A cũ</w:t>
        </w:r>
      </w:hyperlink>
      <w:r>
        <w:rPr>
          <w:rFonts w:ascii="Times New Roman" w:hAnsi="Times New Roman" w:eastAsia="Times New Roman" w:cs="Times New Roman"/>
          <w:color w:val="0a0a0a"/>
          <w:sz w:val="24"/>
        </w:rPr>
        <w:t xml:space="preserve">, và các dự án đường trục chính, thúc đẩy kết nối nhanh chóng với trung tâm Hà Nội.</w:t>
      </w:r>
      <w:r>
        <w:rPr>
          <w:rFonts w:ascii="Times New Roman" w:hAnsi="Times New Roman" w:cs="Times New Roman"/>
        </w:rPr>
      </w:r>
      <w:r>
        <w:rPr>
          <w:rFonts w:ascii="Times New Roman" w:hAnsi="Times New Roman" w:cs="Times New Roman"/>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Loại hình BĐS phổ biến:</w:t>
      </w:r>
      <w:r>
        <w:rPr>
          <w:rFonts w:ascii="Times New Roman" w:hAnsi="Times New Roman" w:cs="Times New Roman"/>
        </w:rPr>
      </w:r>
      <w:r>
        <w:rPr>
          <w:rFonts w:ascii="Times New Roman" w:hAnsi="Times New Roman" w:cs="Times New Roman"/>
        </w:rPr>
      </w:r>
    </w:p>
    <w:p>
      <w:pPr>
        <w:pStyle w:val="1031"/>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Đất nền/Đất thổ cư:</w:t>
      </w:r>
      <w:r>
        <w:rPr>
          <w:rFonts w:ascii="Times New Roman" w:hAnsi="Times New Roman" w:eastAsia="Times New Roman" w:cs="Times New Roman"/>
          <w:color w:val="0a0a0a"/>
          <w:sz w:val="24"/>
        </w:rPr>
        <w:t xml:space="preserve"> Khu vực xã, ven làng nghề truyền thống (nổi tiếng với đồ gỗ, giày da).</w:t>
      </w:r>
      <w:r>
        <w:rPr>
          <w:rFonts w:ascii="Times New Roman" w:hAnsi="Times New Roman" w:cs="Times New Roman"/>
        </w:rPr>
      </w:r>
      <w:r>
        <w:rPr>
          <w:rFonts w:ascii="Times New Roman" w:hAnsi="Times New Roman" w:cs="Times New Roman"/>
        </w:rPr>
      </w:r>
    </w:p>
    <w:p>
      <w:pPr>
        <w:pStyle w:val="1031"/>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Nhà ở/Biệt thự:</w:t>
      </w:r>
      <w:r>
        <w:rPr>
          <w:rFonts w:ascii="Times New Roman" w:hAnsi="Times New Roman" w:eastAsia="Times New Roman" w:cs="Times New Roman"/>
          <w:color w:val="0a0a0a"/>
          <w:sz w:val="24"/>
        </w:rPr>
        <w:t xml:space="preserve"> Khu đô thị mới.</w:t>
      </w:r>
      <w:r>
        <w:rPr>
          <w:rFonts w:ascii="Times New Roman" w:hAnsi="Times New Roman" w:cs="Times New Roman"/>
        </w:rPr>
      </w:r>
      <w:r>
        <w:rPr>
          <w:rFonts w:ascii="Times New Roman" w:hAnsi="Times New Roman" w:cs="Times New Roman"/>
        </w:rPr>
      </w:r>
    </w:p>
    <w:p>
      <w:pPr>
        <w:pStyle w:val="1031"/>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BĐS Công nghiệp/Kho bãi:</w:t>
      </w:r>
      <w:r>
        <w:rPr>
          <w:rFonts w:ascii="Times New Roman" w:hAnsi="Times New Roman" w:eastAsia="Times New Roman" w:cs="Times New Roman"/>
          <w:color w:val="0a0a0a"/>
          <w:sz w:val="24"/>
        </w:rPr>
        <w:t xml:space="preserve"> Khu công nghiệp cảng Phú Xuyên.</w:t>
      </w:r>
      <w:r>
        <w:rPr>
          <w:rFonts w:ascii="Times New Roman" w:hAnsi="Times New Roman" w:cs="Times New Roman"/>
        </w:rPr>
      </w:r>
      <w:r>
        <w:rPr>
          <w:rFonts w:ascii="Times New Roman" w:hAnsi="Times New Roman" w:cs="Times New Roman"/>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Phân khúc giá:</w:t>
      </w:r>
      <w:r>
        <w:rPr>
          <w:rFonts w:ascii="Times New Roman" w:hAnsi="Times New Roman" w:eastAsia="Times New Roman" w:cs="Times New Roman"/>
          <w:color w:val="0a0a0a"/>
          <w:sz w:val="24"/>
        </w:rPr>
        <w:t xml:space="preserve"> Được đánh giá là khá mềm và tiềm năng tăng giá cao, phù hợp cho nhà đầu tư dài hạn và người mua ở thực.</w:t>
      </w:r>
      <w:r>
        <w:rPr>
          <w:rFonts w:ascii="Times New Roman" w:hAnsi="Times New Roman" w:cs="Times New Roman"/>
        </w:rPr>
      </w:r>
      <w:r>
        <w:rPr>
          <w:rFonts w:ascii="Times New Roman" w:hAnsi="Times New Roman" w:cs="Times New Roman"/>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2222"/>
        <w:gridCol w:w="1953"/>
        <w:gridCol w:w="2259"/>
        <w:gridCol w:w="2694"/>
      </w:tblGrid>
      <w:tr>
        <w:trPr>
          <w:trHeight w:val="151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Tên tài sản</w:t>
            </w:r>
            <w:r>
              <w:rPr>
                <w:b/>
                <w:bCs/>
              </w:rPr>
            </w:r>
            <w:r>
              <w:rPr>
                <w:b/>
                <w:bCs/>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both"/>
              <w:rPr>
                <w:b/>
                <w:bCs/>
              </w:rPr>
            </w:pPr>
            <w:r>
              <w:rPr>
                <w:b/>
                <w:bCs/>
                <w:color w:val="000000"/>
              </w:rPr>
              <w:t xml:space="preserve">Quyền sử dụng đất tại thửa đất số: 111, tờ bản đồ số: 15, có địa chỉ: Thôn Phú Đôi, xã Đại Thắng, huyện Phú Xuyên (</w:t>
            </w:r>
            <w:r>
              <w:rPr>
                <w:b/>
                <w:bCs/>
                <w:i/>
                <w:iCs/>
                <w:color w:val="000000"/>
              </w:rPr>
              <w:t xml:space="preserve">nay là xã Phượng Dực</w:t>
            </w:r>
            <w:r>
              <w:rPr>
                <w:b/>
                <w:bCs/>
                <w:color w:val="000000"/>
              </w:rPr>
              <w:t xml:space="preserve">), thành phố Hà Nội</w:t>
            </w:r>
            <w:r>
              <w:rPr>
                <w:b/>
                <w:bCs/>
                <w:color w:val="000000"/>
              </w:rPr>
              <w:t xml:space="preserve"> theo Giấy chứng nhận quyền sử dụng đất, quyền sở hữu nhà ở và tài sản khác gắn liền với đất số: DO 950674, Số vào sổ cấp GCN: C</w:t>
            </w:r>
            <w:r>
              <w:rPr>
                <w:b/>
                <w:bCs/>
                <w:color w:val="auto"/>
                <w:highlight w:val="white"/>
              </w:rPr>
              <w:t xml:space="preserve">N-01</w:t>
            </w:r>
            <w:r>
              <w:rPr>
                <w:b/>
                <w:bCs/>
                <w:color w:val="auto"/>
                <w:highlight w:val="white"/>
              </w:rPr>
              <w:t xml:space="preserve">8</w:t>
            </w:r>
            <w:r>
              <w:rPr>
                <w:b/>
                <w:bCs/>
                <w:color w:val="auto"/>
                <w:highlight w:val="white"/>
              </w:rPr>
              <w:t xml:space="preserve">8</w:t>
            </w:r>
            <w:r>
              <w:rPr>
                <w:b/>
                <w:bCs/>
                <w:color w:val="000000"/>
              </w:rPr>
              <w:t xml:space="preserve">7 do Chi nhánh Văn phòng đăng ký đất đai Hà Nội huyện Phú Xuyên cấp ngày 26/4/2024; Chủ sử dụng đất là Ông Vũ Ngọc Hoàng</w:t>
            </w:r>
            <w:r>
              <w:rPr>
                <w:b/>
                <w:bCs/>
                <w:i/>
                <w:iCs/>
              </w:rPr>
              <w:t xml:space="preserve">.</w:t>
            </w:r>
            <w:r>
              <w:rPr>
                <w:b/>
                <w:bCs/>
              </w:rPr>
            </w:r>
            <w:r>
              <w:rPr>
                <w:b/>
                <w:bCs/>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111</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15</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Thôn Phú Đôi, xã Đại Thắng, huyện Phú Xuyên (</w:t>
            </w:r>
            <w:r>
              <w:rPr>
                <w:rFonts w:ascii="Times New Roman" w:hAnsi="Times New Roman" w:eastAsia="Times New Roman" w:cs="Times New Roman"/>
                <w:i/>
                <w:iCs/>
                <w:color w:val="000000"/>
                <w:sz w:val="24"/>
              </w:rPr>
              <w:t xml:space="preserve">nay là xã Phượng Dực</w:t>
            </w:r>
            <w:r>
              <w:rPr>
                <w:rFonts w:ascii="Times New Roman" w:hAnsi="Times New Roman" w:eastAsia="Times New Roman" w:cs="Times New Roman"/>
                <w:color w:val="000000"/>
                <w:sz w:val="24"/>
              </w:rPr>
              <w:t xml:space="preserve">), thành phố Hà Nội.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108,0</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sz w:val="24"/>
                <w:szCs w:val="24"/>
              </w:rPr>
            </w:pPr>
            <w:r>
              <w:rPr>
                <w:rFonts w:ascii="Times New Roman" w:hAnsi="Times New Roman" w:eastAsia="Times New Roman" w:cs="Times New Roman"/>
                <w:color w:val="000000"/>
                <w:sz w:val="24"/>
                <w:szCs w:val="24"/>
              </w:rPr>
              <w:t xml:space="preserve">Đất ở tại nông thôn</w:t>
            </w:r>
            <w:r>
              <w:rPr>
                <w:sz w:val="24"/>
                <w:szCs w:val="24"/>
              </w:rPr>
            </w:r>
            <w:r>
              <w:rPr>
                <w:sz w:val="24"/>
                <w:szCs w:val="24"/>
              </w:rP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sz w:val="24"/>
                <w:szCs w:val="24"/>
              </w:rPr>
            </w:pPr>
            <w:r>
              <w:rPr>
                <w:rFonts w:ascii="Times New Roman" w:hAnsi="Times New Roman" w:eastAsia="Times New Roman" w:cs="Times New Roman"/>
                <w:color w:val="000000"/>
                <w:sz w:val="24"/>
                <w:szCs w:val="24"/>
              </w:rPr>
              <w:t xml:space="preserve">Thời hạn sử dụng:</w:t>
            </w:r>
            <w:r>
              <w:rPr>
                <w:sz w:val="24"/>
                <w:szCs w:val="24"/>
              </w:rPr>
            </w:r>
            <w:r>
              <w:rPr>
                <w:sz w:val="24"/>
                <w:szCs w:val="24"/>
              </w:rP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sz w:val="24"/>
                <w:szCs w:val="24"/>
              </w:rPr>
            </w:pPr>
            <w:r>
              <w:rPr>
                <w:rFonts w:ascii="Times New Roman" w:hAnsi="Times New Roman" w:eastAsia="Times New Roman" w:cs="Times New Roman"/>
                <w:color w:val="000000"/>
                <w:sz w:val="24"/>
                <w:szCs w:val="24"/>
              </w:rPr>
              <w:t xml:space="preserve">Lâu dài</w:t>
            </w:r>
            <w:r>
              <w:rPr>
                <w:sz w:val="24"/>
                <w:szCs w:val="24"/>
              </w:rPr>
            </w:r>
            <w:r>
              <w:rPr>
                <w:sz w:val="24"/>
                <w:szCs w:val="24"/>
              </w:rP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6" w:type="dxa"/>
            <w:vAlign w:val="center"/>
            <w:textDirection w:val="lrTb"/>
            <w:noWrap w:val="false"/>
          </w:tcPr>
          <w:p>
            <w:pPr>
              <w:pBdr/>
              <w:spacing w:after="0" w:before="0" w:line="240" w:lineRule="auto"/>
              <w:ind w:right="57" w:firstLine="0" w:left="142"/>
              <w:jc w:val="both"/>
              <w:rPr>
                <w:sz w:val="24"/>
                <w:szCs w:val="24"/>
              </w:rPr>
            </w:pPr>
            <w:r>
              <w:rPr>
                <w:rFonts w:ascii="Times New Roman" w:hAnsi="Times New Roman" w:eastAsia="Times New Roman" w:cs="Times New Roman"/>
                <w:color w:val="000000"/>
                <w:sz w:val="24"/>
                <w:szCs w:val="24"/>
              </w:rPr>
              <w:t xml:space="preserve">Được tặng cho đất được Nhà nước giao đất có thu tiền sử dụng đất: 72m</w:t>
            </w:r>
            <w:r>
              <w:rPr>
                <w:rFonts w:ascii="Times New Roman" w:hAnsi="Times New Roman" w:eastAsia="Times New Roman" w:cs="Times New Roman"/>
                <w:color w:val="000000"/>
                <w:sz w:val="24"/>
                <w:szCs w:val="24"/>
                <w:vertAlign w:val="superscript"/>
              </w:rPr>
              <w:t xml:space="preserve">2</w:t>
            </w:r>
            <w:r>
              <w:rPr>
                <w:rFonts w:ascii="Times New Roman" w:hAnsi="Times New Roman" w:eastAsia="Times New Roman" w:cs="Times New Roman"/>
                <w:color w:val="000000"/>
                <w:sz w:val="24"/>
                <w:szCs w:val="24"/>
              </w:rPr>
              <w:t xml:space="preserve">; Nhà nước giao đất có thu tiền sử dụng đất: 36,0m</w:t>
            </w:r>
            <w:r>
              <w:rPr>
                <w:rFonts w:ascii="Times New Roman" w:hAnsi="Times New Roman" w:eastAsia="Times New Roman" w:cs="Times New Roman"/>
                <w:color w:val="000000"/>
                <w:sz w:val="24"/>
                <w:szCs w:val="24"/>
                <w:vertAlign w:val="superscript"/>
              </w:rPr>
              <w:t xml:space="preserve">2</w:t>
            </w:r>
            <w:r>
              <w:rPr>
                <w:rFonts w:ascii="Times New Roman" w:hAnsi="Times New Roman" w:eastAsia="Times New Roman" w:cs="Times New Roman"/>
                <w:color w:val="000000"/>
                <w:sz w:val="24"/>
                <w:szCs w:val="24"/>
              </w:rPr>
              <w:t xml:space="preserve"> (Đất trúng đấu giá).</w:t>
            </w:r>
            <w:r>
              <w:rPr>
                <w:sz w:val="24"/>
                <w:szCs w:val="24"/>
              </w:rPr>
            </w:r>
            <w:r>
              <w:rPr>
                <w:sz w:val="24"/>
                <w:szCs w:val="24"/>
              </w:rPr>
            </w:r>
          </w:p>
        </w:tc>
      </w:tr>
      <w:tr>
        <w:trPr>
          <w:trHeight w:val="38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Ghi chú:</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b/>
                <w:i/>
                <w:iCs/>
                <w:color w:val="000000"/>
                <w:sz w:val="24"/>
              </w:rPr>
              <w:t xml:space="preserve">-</w:t>
            </w:r>
            <w:r>
              <w:rPr>
                <w:bCs/>
                <w:i/>
              </w:rPr>
            </w:r>
            <w:r>
              <w:rPr>
                <w:bCs/>
                <w:i/>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bCs/>
                <w:i/>
              </w:rPr>
            </w:pPr>
            <w:r>
              <w:rPr>
                <w:rFonts w:ascii="Times New Roman" w:hAnsi="Times New Roman" w:eastAsia="Times New Roman" w:cs="Times New Roman"/>
                <w:i/>
                <w:iCs/>
                <w:color w:val="000000"/>
                <w:sz w:val="24"/>
              </w:rPr>
              <w:t xml:space="preserve">Số tờ, số thửa được xác định theo bản đồ dự án đo đạc tổng thể.</w:t>
            </w:r>
            <w:r>
              <w:rPr>
                <w:bCs/>
                <w:i/>
              </w:rPr>
            </w:r>
            <w:r>
              <w:rPr>
                <w:bCs/>
                <w:i/>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b/>
                <w:i/>
                <w:iCs/>
                <w:color w:val="000000"/>
                <w:sz w:val="24"/>
              </w:rPr>
              <w:t xml:space="preserve">-</w:t>
            </w:r>
            <w:r>
              <w:rPr>
                <w:bCs/>
                <w:i/>
              </w:rPr>
            </w:r>
            <w:r>
              <w:rPr>
                <w:bCs/>
                <w:i/>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bCs/>
                <w:i/>
              </w:rPr>
            </w:pPr>
            <w:r>
              <w:rPr>
                <w:rFonts w:ascii="Times New Roman" w:hAnsi="Times New Roman" w:eastAsia="Times New Roman" w:cs="Times New Roman"/>
                <w:i/>
                <w:iCs/>
                <w:color w:val="000000"/>
                <w:sz w:val="24"/>
              </w:rPr>
              <w:t xml:space="preserve">Giấy chứng nhận này được cấp đổi từ Giấy chứng nhận số AD 037473 do UBND huyện Phú Xuyên cấp ngày 15/02/2006 tại thửa đất số 466, tờ bản đồ số 03.</w:t>
            </w:r>
            <w:r>
              <w:rPr>
                <w:bCs/>
                <w:i/>
              </w:rPr>
            </w:r>
            <w:r>
              <w:rPr>
                <w:bCs/>
                <w:i/>
              </w:rP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b/>
                <w:i/>
                <w:iCs/>
                <w:color w:val="000000"/>
                <w:sz w:val="24"/>
              </w:rPr>
              <w:t xml:space="preserve">-</w:t>
            </w:r>
            <w:r>
              <w:rPr>
                <w:bCs/>
                <w:i/>
              </w:rPr>
            </w:r>
            <w:r>
              <w:rPr>
                <w:bCs/>
                <w:i/>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bCs/>
                <w:i/>
              </w:rPr>
            </w:pPr>
            <w:r>
              <w:rPr>
                <w:rFonts w:ascii="Times New Roman" w:hAnsi="Times New Roman" w:eastAsia="Times New Roman" w:cs="Times New Roman"/>
                <w:i/>
                <w:iCs/>
                <w:color w:val="000000"/>
                <w:sz w:val="24"/>
              </w:rPr>
              <w:t xml:space="preserve">Thửa đất có 31,2 m² nằm trong hành lang bảo vệ an toàn Đường liên xã.</w:t>
            </w:r>
            <w:r>
              <w:rPr>
                <w:bCs/>
                <w:i/>
              </w:rPr>
            </w:r>
            <w:r>
              <w:rPr>
                <w:bCs/>
                <w:i/>
              </w:rP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b/>
                <w:i/>
                <w:iCs/>
                <w:color w:val="000000"/>
                <w:sz w:val="24"/>
              </w:rPr>
              <w:t xml:space="preserve">-</w:t>
            </w:r>
            <w:r>
              <w:rPr>
                <w:bCs/>
                <w:i/>
              </w:rPr>
            </w:r>
            <w:r>
              <w:rPr>
                <w:bCs/>
                <w:i/>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bCs/>
                <w:i/>
              </w:rPr>
            </w:pPr>
            <w:r>
              <w:rPr>
                <w:rFonts w:ascii="Times New Roman" w:hAnsi="Times New Roman" w:eastAsia="Times New Roman" w:cs="Times New Roman"/>
                <w:i/>
                <w:iCs/>
                <w:color w:val="000000"/>
                <w:sz w:val="24"/>
              </w:rPr>
              <w:t xml:space="preserve">Xây dựng phải đảm bảo quy hoạch các công trình công cộng.</w:t>
            </w:r>
            <w:r>
              <w:rPr>
                <w:bCs/>
                <w:i/>
              </w:rPr>
            </w:r>
            <w:r>
              <w:rPr>
                <w:bCs/>
                <w:i/>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Theo thông tin quy hoạch trên GCN QSDĐ số: DO 950674, Thửa đất có 31,2m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nằm trong HLGT.</w:t>
            </w:r>
            <w:r/>
          </w:p>
        </w:tc>
      </w:tr>
      <w:tr>
        <w:trPr>
          <w:trHeight w:val="37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Vị trí; Giao thông:</w:t>
            </w:r>
            <w:r/>
          </w:p>
        </w:tc>
      </w:tr>
      <w:tr>
        <w:trPr>
          <w:trHeight w:val="364"/>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Thôn Phú Đôi, xã Phượng Dực, thành phố Hà Nội.</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Đường Liên xã Phú Đôi</w:t>
            </w:r>
            <w:r/>
          </w:p>
        </w:tc>
        <w:tc>
          <w:tcPr>
            <w:tcBorders>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01 mặt tiền</w:t>
            </w:r>
            <w:r/>
          </w:p>
        </w:tc>
      </w:tr>
      <w:tr>
        <w:trPr>
          <w:trHeight w:val="1183"/>
        </w:trPr>
        <w:tc>
          <w:tcPr>
            <w:tcBorders>
              <w:left w:val="single" w:color="000000" w:sz="6" w:space="0"/>
              <w:bottom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8,5m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8,5m</w:t>
            </w:r>
            <w:r/>
          </w:p>
        </w:tc>
      </w:tr>
      <w:tr>
        <w:trPr>
          <w:trHeight w:val="694"/>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Tiếp giáp đường Liên xã Phú Đôi.</w:t>
            </w:r>
            <w:r/>
          </w:p>
        </w:tc>
      </w:tr>
      <w:tr>
        <w:trPr>
          <w:trHeight w:val="694"/>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 Hướng Nam: tiếp giáp đường giao thông;</w:t>
              <w:br/>
              <w:t xml:space="preserve">+ Các hường còn lại: tiếp giáp thửa đất khác.</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40" w:lineRule="auto"/>
              <w:ind w:right="57" w:firstLine="0" w:left="142"/>
              <w:rPr/>
            </w:pPr>
            <w:r>
              <w:rPr>
                <w:rFonts w:ascii="Times New Roman" w:hAnsi="Times New Roman" w:eastAsia="Times New Roman" w:cs="Times New Roman"/>
                <w:color w:val="000000"/>
                <w:sz w:val="24"/>
              </w:rPr>
              <w:t xml:space="preserve">Vị trí trên bản đồ vệ tin</w:t>
            </w:r>
            <w:r>
              <w:rPr>
                <w:rFonts w:ascii="Times New Roman" w:hAnsi="Times New Roman" w:eastAsia="Times New Roman" w:cs="Times New Roman"/>
                <w:color w:val="000000"/>
                <w:sz w:val="24"/>
              </w:rPr>
              <w:t xml:space="preserve">h</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20.777847, 105.874750</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mc:AlternateContent>
                <mc:Choice Requires="wpg">
                  <w:drawing>
                    <wp:inline xmlns:wp="http://schemas.openxmlformats.org/drawingml/2006/wordprocessingDrawing" distT="0" distB="0" distL="0" distR="0">
                      <wp:extent cx="5723082" cy="261956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31045" name=""/>
                              <pic:cNvPicPr>
                                <a:picLocks noChangeAspect="1"/>
                              </pic:cNvPicPr>
                              <pic:nvPr/>
                            </pic:nvPicPr>
                            <pic:blipFill rotWithShape="1">
                              <a:blip r:embed="rId20"/>
                              <a:stretch/>
                            </pic:blipFill>
                            <pic:spPr bwMode="auto">
                              <a:xfrm flipH="0" flipV="0">
                                <a:off x="0" y="0"/>
                                <a:ext cx="5723082" cy="26195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0.64pt;height:206.26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76,8</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31,2</w:t>
            </w:r>
            <w:r/>
          </w:p>
        </w:tc>
      </w:tr>
      <w:tr>
        <w:trPr>
          <w:trHeight w:val="58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5,4</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20,0</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5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Tương đối đông</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Ổn định</w:t>
            </w: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Khá</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 Tài sản gắn liền với đất:</w:t>
            </w:r>
            <w:r/>
          </w:p>
        </w:tc>
      </w:tr>
      <w:tr>
        <w:trPr>
          <w:trHeight w:val="881"/>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both"/>
              <w:rPr>
                <w:color w:val="000000" w:themeColor="text1"/>
              </w:rPr>
            </w:pPr>
            <w:r>
              <w:rPr>
                <w:rFonts w:ascii="Times New Roman" w:hAnsi="Times New Roman" w:eastAsia="Times New Roman" w:cs="Times New Roman"/>
                <w:color w:val="000000" w:themeColor="text1"/>
                <w:sz w:val="24"/>
              </w:rPr>
              <w:t xml:space="preserve">Tại thời điểm khảo sát, dưới dự hướng dẫn của chủ tài sản, trên đất có Công trình xây dựng:</w:t>
              <w:br/>
              <w:t xml:space="preserve"> Nhà 02 tầng + 01 tum, diện tích xây dựng khoảng 77m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tổng diện tích sàn khoảng 192,5m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Công trình chưa được công nhận trên GCN QSDĐ số: DO 950674.</w:t>
            </w:r>
            <w:r>
              <w:rPr>
                <w:color w:val="000000" w:themeColor="text1"/>
              </w:rPr>
            </w:r>
            <w:r>
              <w:rPr>
                <w:color w:val="000000" w:themeColor="text1"/>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themeColor="text1"/>
          <w:sz w:val="24"/>
        </w:rPr>
        <w:t xml:space="preserve">Tại thời điểm khảo sát, dưới dự hướng dẫn của chủ tài sản, trên đất có Công trình xây dựng:</w:t>
        <w:br/>
        <w:t xml:space="preserve"> Nhà 02 tầng + 01 tum, diện tích xây dựng khoảng 77m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tổng diện tích sàn khoảng 192,</w:t>
      </w:r>
      <w:r>
        <w:rPr>
          <w:rFonts w:ascii="Times New Roman" w:hAnsi="Times New Roman" w:eastAsia="Times New Roman" w:cs="Times New Roman"/>
          <w:color w:val="000000" w:themeColor="text1"/>
          <w:sz w:val="24"/>
          <w:vertAlign w:val="superscript"/>
        </w:rPr>
        <w:t xml:space="preserve">5m2</w:t>
      </w:r>
      <w:r>
        <w:rPr>
          <w:rFonts w:ascii="Times New Roman" w:hAnsi="Times New Roman" w:eastAsia="Times New Roman" w:cs="Times New Roman"/>
          <w:color w:val="000000" w:themeColor="text1"/>
          <w:sz w:val="24"/>
        </w:rPr>
        <w:t xml:space="preserve">. Công trình chưa được công nhận trên GCN QSDĐ số: DO 950674</w:t>
      </w:r>
      <w:r>
        <w:rPr>
          <w:color w:val="000000" w:themeColor="text1"/>
        </w:rPr>
        <w:t xml:space="preserve">. Đồng thời, Tổ thẩm định cũng không nhận được bất kỳ giấy tờ pháp lý nào liên quan đến Công trình xây dựng trên. Theo đề nghị của Khách hàng/Ngân hàng, Tổ thẩm định không</w:t>
      </w:r>
      <w:r>
        <w:rPr>
          <w:rFonts w:ascii="Times New Roman" w:hAnsi="Times New Roman" w:eastAsia="Times New Roman" w:cs="Times New Roman"/>
          <w:color w:val="000000"/>
          <w:sz w:val="24"/>
        </w:rPr>
        <w:t xml:space="preserve"> xác định giá trị công trình nhưng vẫn coi đó là phần không thể tách rời của tài sản thẩm định.</w:t>
      </w:r>
      <w:r>
        <w:rPr>
          <w:rFonts w:ascii="Times New Roman" w:hAnsi="Times New Roman" w:eastAsia="Times New Roman" w:cs="Times New Roman"/>
          <w:sz w:val="24"/>
        </w:rPr>
      </w: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HLGT:</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32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Phú Đôi, xã Phượng Dực,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429, Xã Phượng Dực,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Phú Đôi, xã Phượng Dực,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Phú Đôi, xã Phượng Dực, Thành phố Hà Nội</w:t>
            </w:r>
            <w:r>
              <w:rPr>
                <w:sz w:val="22"/>
                <w:szCs w:val="22"/>
              </w:rPr>
            </w:r>
            <w:r>
              <w:rPr>
                <w:sz w:val="22"/>
                <w:szCs w:val="22"/>
              </w:rPr>
            </w:r>
          </w:p>
        </w:tc>
      </w:tr>
      <w:tr>
        <w:trPr>
          <w:trHeight w:val="55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0833.330977</w:t>
            </w:r>
            <w:r>
              <w:rPr>
                <w:sz w:val="22"/>
                <w:szCs w:val="22"/>
              </w:rPr>
              <w:t xml:space="preserve"> </w:t>
            </w:r>
            <w:r>
              <w:rPr>
                <w:sz w:val="22"/>
                <w:szCs w:val="22"/>
              </w:rPr>
              <w:br/>
              <w:t xml:space="preserve">(</w:t>
            </w:r>
            <w:r>
              <w:rPr>
                <w:sz w:val="22"/>
                <w:szCs w:val="22"/>
              </w:rPr>
              <w:t xml:space="preserve">Đặng Song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0362.221284</w:t>
            </w:r>
            <w:r>
              <w:rPr>
                <w:sz w:val="22"/>
                <w:szCs w:val="22"/>
              </w:rPr>
              <w:br/>
            </w:r>
            <w:r>
              <w:rPr>
                <w:sz w:val="22"/>
                <w:szCs w:val="22"/>
              </w:rPr>
              <w:t xml:space="preserve">(</w:t>
            </w:r>
            <w:r>
              <w:rPr>
                <w:sz w:val="22"/>
                <w:szCs w:val="22"/>
              </w:rPr>
              <w:t xml:space="preserve">Tuấn Nguyễn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0931.005567</w:t>
            </w:r>
            <w:r>
              <w:rPr>
                <w:sz w:val="22"/>
                <w:szCs w:val="22"/>
              </w:rPr>
              <w:br/>
            </w:r>
            <w:r>
              <w:rPr>
                <w:sz w:val="22"/>
                <w:szCs w:val="22"/>
              </w:rPr>
              <w:t xml:space="preserve">(</w:t>
            </w:r>
            <w:r>
              <w:rPr>
                <w:sz w:val="22"/>
                <w:szCs w:val="22"/>
              </w:rPr>
              <w:t xml:space="preserve">Bùi Quốc Trường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p>
            <w:pPr>
              <w:pBdr/>
              <w:spacing/>
              <w:ind/>
              <w:jc w:val="left"/>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Phượng Dực, Thành phố Hà Nội, tiếp giáp đường Liên Xã</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Phượng Dực, Thành phố Hà Nội, tiếp giáp đường 429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Tài sản tại: Xã Phượng Dực, Thành phố Hà Nội</w:t>
            </w:r>
            <w:r>
              <w:rPr>
                <w:color w:val="000000" w:themeColor="text1"/>
                <w:sz w:val="22"/>
                <w:szCs w:val="22"/>
              </w:rPr>
              <w:t xml:space="preserve">, tiếp giáp đường nội khu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ài sản tại: </w:t>
            </w:r>
            <w:r>
              <w:rPr>
                <w:color w:val="000000" w:themeColor="text1"/>
                <w:sz w:val="22"/>
                <w:szCs w:val="22"/>
              </w:rPr>
              <w:t xml:space="preserve">Tài sản tại: Xã Phượng Dực, Thành phố Hà Nội</w:t>
            </w:r>
            <w:r>
              <w:rPr>
                <w:color w:val="000000" w:themeColor="text1"/>
                <w:sz w:val="22"/>
                <w:szCs w:val="22"/>
              </w:rPr>
              <w:t xml:space="preserve">, tiếp giáp đường nội khu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8.034.000.000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6.266.520.000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7.207.200.000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5.760.000.000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6.266.520.000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7.207.200.000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90.000.000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50.700.000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52.916.300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5.760.000.000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6.266.520.000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7.207.200.000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50.700.000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52.916.300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52.916.300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Phượng Dực, Thành phố Hà Nội, tiếp giáp đường Liên Xã</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Phượng Dực, Thành phố Hà Nội, tiếp giáp đường 429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Tài sản tại: Xã Phượng Dực, Thành phố Hà Nội</w:t>
            </w:r>
            <w:r>
              <w:rPr>
                <w:color w:val="000000" w:themeColor="text1"/>
                <w:sz w:val="22"/>
                <w:szCs w:val="22"/>
              </w:rPr>
              <w:t xml:space="preserve">, tiếp giáp đường nội khu</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ài sản tại: </w:t>
            </w:r>
            <w:r>
              <w:rPr>
                <w:color w:val="000000" w:themeColor="text1"/>
                <w:sz w:val="22"/>
                <w:szCs w:val="22"/>
              </w:rPr>
              <w:t xml:space="preserve">Tài sản tại: Xã Phượng Dực, Thành phố Hà Nội</w:t>
            </w:r>
            <w:r>
              <w:rPr>
                <w:color w:val="000000" w:themeColor="text1"/>
                <w:sz w:val="22"/>
                <w:szCs w:val="22"/>
              </w:rPr>
              <w:t xml:space="preserve">, tiếp giáp đường nội khu</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2.645.815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53.235.000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55.562.115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3.704.141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56.784.000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59.266.256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-1.587.489</w:t>
            </w:r>
            <w:r>
              <w:rPr>
                <w:color w:val="000000"/>
                <w:sz w:val="22"/>
                <w:szCs w:val="22"/>
              </w:rPr>
            </w:r>
            <w:r>
              <w:rPr>
                <w:color w:val="000000"/>
                <w:sz w:val="22"/>
                <w:szCs w:val="22"/>
              </w:rPr>
            </w:r>
          </w:p>
        </w:tc>
      </w:tr>
      <w:tr>
        <w:trPr>
          <w:trHeight w:val="568"/>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55.263.000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57.678.767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136,2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4.233.304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59.319.000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61.912.071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1.058.326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60.333.000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62.970.397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1.587.489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61.854.000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64.557.886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61.854.000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64.557.886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61.854.000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64.557.886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4.233.304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65.910.000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68.791.190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77.400.000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65.910.000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68.791.190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70.700.397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32.400.000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18.252.000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19.049.868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12.600.000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15.210.000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15.874.890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-6,78</w:t>
      </w:r>
      <w:r>
        <w:t xml:space="preserve">% đến</w:t>
      </w:r>
      <w:r>
        <w:t xml:space="preserve"> </w:t>
      </w:r>
      <w:r>
        <w:t xml:space="preserve"> </w:t>
      </w:r>
      <w:r>
        <w:t xml:space="preserve">9,48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77.400.000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25.805.160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65.910.000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21.967.803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68.791.190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22.928.104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70.701.067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70.000.000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W w:w="498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3368"/>
        <w:gridCol w:w="1384"/>
        <w:gridCol w:w="1559"/>
        <w:gridCol w:w="2234"/>
      </w:tblGrid>
      <w:tr>
        <w:trPr>
          <w:trHeight w:val="20"/>
        </w:trPr>
        <w:tc>
          <w:tcPr>
            <w:shd w:val="clear" w:color="000000" w:fill="ffffff"/>
            <w:tcBorders/>
            <w:tcW w:w="952"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3368" w:type="dxa"/>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384" w:type="dxa"/>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559" w:type="dxa"/>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234" w:type="dxa"/>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76" w:lineRule="auto"/>
              <w:ind/>
              <w:jc w:val="center"/>
              <w:rPr>
                <w:b/>
                <w:bCs/>
              </w:rPr>
            </w:pPr>
            <w:r>
              <w:rPr>
                <w:b/>
                <w:bCs/>
              </w:rPr>
              <w:t xml:space="preserve"> </w:t>
            </w:r>
            <w:r>
              <w:rPr>
                <w:b/>
                <w:bCs/>
              </w:rPr>
            </w:r>
            <w:r>
              <w:rPr>
                <w:b/>
                <w:bCs/>
              </w:rPr>
            </w:r>
          </w:p>
        </w:tc>
        <w:tc>
          <w:tcPr>
            <w:gridSpan w:val="3"/>
            <w:shd w:val="clear" w:color="000000" w:fill="ffffff"/>
            <w:tcBorders/>
            <w:tcW w:w="6310" w:type="dxa"/>
            <w:vAlign w:val="center"/>
            <w:textDirection w:val="lrTb"/>
            <w:noWrap w:val="false"/>
          </w:tcPr>
          <w:p>
            <w:pPr>
              <w:pBdr/>
              <w:spacing w:after="40" w:before="40" w:line="276" w:lineRule="auto"/>
              <w:ind/>
              <w:jc w:val="both"/>
              <w:rPr>
                <w:b/>
                <w:bCs/>
              </w:rPr>
            </w:pPr>
            <w:r>
              <w:rPr>
                <w:b/>
                <w:bCs/>
                <w:color w:val="000000"/>
              </w:rPr>
              <w:t xml:space="preserve">Quyền sử dụng đất tại thửa đất số: 111, tờ bản đồ số: 15, có địa chỉ: Thôn Phú Đôi, xã Đại Thắng, huyện Phú Xuyên (</w:t>
            </w:r>
            <w:r>
              <w:rPr>
                <w:b/>
                <w:bCs/>
                <w:i/>
                <w:iCs/>
                <w:color w:val="000000"/>
              </w:rPr>
              <w:t xml:space="preserve">nay là xã Phượng Dực</w:t>
            </w:r>
            <w:r>
              <w:rPr>
                <w:b/>
                <w:bCs/>
                <w:color w:val="000000"/>
              </w:rPr>
              <w:t xml:space="preserve">), thành phố Hà Nội</w:t>
            </w:r>
            <w:r>
              <w:rPr>
                <w:b/>
                <w:bCs/>
                <w:color w:val="000000"/>
              </w:rPr>
              <w:t xml:space="preserve">  theo Giấy chứng nhận quyền sử dụng đất, quyền sở hữu nhà ở và tài sản khác gắn liền với đất số: DO 950674, Số vào sổ cấp GCN: CN-01887 do Chi nhánh Văn phòng đăng ký đất đai Hà Nội huyện Phú Xuyên cấp ngày 26/4/2024; Chủ sử dụng đất là Ông Vũ Ngọc Hoàng</w:t>
            </w:r>
            <w:r>
              <w:rPr>
                <w:b/>
                <w:bCs/>
              </w:rPr>
              <w:t xml:space="preserve">.</w:t>
            </w:r>
            <w:r>
              <w:rPr>
                <w:b/>
                <w:bCs/>
              </w:rPr>
            </w:r>
            <w:r>
              <w:rPr>
                <w:b/>
                <w:bCs/>
              </w:rPr>
            </w:r>
          </w:p>
        </w:tc>
        <w:tc>
          <w:tcPr>
            <w:shd w:val="clear" w:color="000000" w:fill="ffffff"/>
            <w:tcBorders/>
            <w:tcW w:w="2234" w:type="dxa"/>
            <w:vAlign w:val="center"/>
            <w:textDirection w:val="lrTb"/>
            <w:noWrap w:val="false"/>
          </w:tcPr>
          <w:p>
            <w:pPr>
              <w:pBdr/>
              <w:spacing w:after="40" w:before="40" w:line="276" w:lineRule="auto"/>
              <w:ind/>
              <w:jc w:val="right"/>
              <w:rPr>
                <w:b/>
                <w:bCs/>
              </w:rPr>
            </w:pPr>
            <w:r>
              <w:rPr>
                <w:b/>
                <w:bCs/>
              </w:rPr>
              <w:t xml:space="preserve"> </w:t>
            </w:r>
            <w:r>
              <w:rPr>
                <w:b/>
                <w:bCs/>
              </w:rPr>
            </w:r>
            <w:r>
              <w:rPr>
                <w:b/>
                <w:bCs/>
              </w:rPr>
            </w:r>
          </w:p>
        </w:tc>
      </w:tr>
      <w:tr>
        <w:trPr>
          <w:trHeight w:val="463"/>
        </w:trPr>
        <w:tc>
          <w:tcPr>
            <w:shd w:val="clear" w:color="000000" w:fill="ffffff"/>
            <w:tcBorders/>
            <w:tcW w:w="952" w:type="dxa"/>
            <w:vAlign w:val="center"/>
            <w:textDirection w:val="lrTb"/>
            <w:noWrap w:val="false"/>
          </w:tcPr>
          <w:p>
            <w:pPr>
              <w:pBdr/>
              <w:spacing w:after="40" w:before="40" w:line="276" w:lineRule="auto"/>
              <w:ind/>
              <w:jc w:val="center"/>
              <w:rPr>
                <w:b w:val="0"/>
                <w:bCs w:val="0"/>
              </w:rPr>
            </w:pPr>
            <w:r>
              <w:rPr>
                <w:b w:val="0"/>
                <w:bCs w:val="0"/>
              </w:rPr>
              <w:t xml:space="preserve">01</w:t>
            </w:r>
            <w:r>
              <w:rPr>
                <w:b w:val="0"/>
                <w:bCs w:val="0"/>
              </w:rPr>
            </w:r>
            <w:r>
              <w:rPr>
                <w:b w:val="0"/>
                <w:bCs w:val="0"/>
              </w:rPr>
            </w:r>
          </w:p>
        </w:tc>
        <w:tc>
          <w:tcPr>
            <w:shd w:val="clear" w:color="000000" w:fill="ffffff"/>
            <w:tcBorders/>
            <w:tcW w:w="3368" w:type="dxa"/>
            <w:vAlign w:val="center"/>
            <w:textDirection w:val="lrTb"/>
            <w:noWrap w:val="false"/>
          </w:tcPr>
          <w:p>
            <w:pPr>
              <w:pBdr/>
              <w:spacing w:after="40" w:before="40" w:line="276" w:lineRule="auto"/>
              <w:ind/>
              <w:rPr>
                <w:b w:val="0"/>
                <w:bCs w:val="0"/>
              </w:rPr>
            </w:pPr>
            <w:r>
              <w:rPr>
                <w:b w:val="0"/>
                <w:bCs w:val="0"/>
              </w:rPr>
              <w:t xml:space="preserve">Đất ONT nằm ngoài HLGT.</w:t>
            </w:r>
            <w:r>
              <w:rPr>
                <w:b w:val="0"/>
                <w:bCs w:val="0"/>
              </w:rPr>
            </w:r>
            <w:r>
              <w:rPr>
                <w:b w:val="0"/>
                <w:bCs w:val="0"/>
              </w:rPr>
            </w:r>
          </w:p>
        </w:tc>
        <w:tc>
          <w:tcPr>
            <w:tcBorders/>
            <w:tcW w:w="1384" w:type="dxa"/>
            <w:vAlign w:val="center"/>
            <w:textDirection w:val="lrTb"/>
            <w:noWrap/>
          </w:tcPr>
          <w:p>
            <w:pPr>
              <w:pBdr/>
              <w:spacing w:after="40" w:before="40" w:line="276" w:lineRule="auto"/>
              <w:ind/>
              <w:jc w:val="center"/>
              <w:rPr>
                <w:color w:val="000000"/>
              </w:rPr>
            </w:pPr>
            <w:r>
              <w:rPr>
                <w:color w:val="000000" w:themeColor="text1"/>
              </w:rPr>
              <w:t xml:space="preserve">76,8</w:t>
            </w:r>
            <w:r>
              <w:rPr>
                <w:color w:val="000000"/>
              </w:rPr>
            </w:r>
            <w:r>
              <w:rPr>
                <w:color w:val="000000"/>
              </w:rPr>
            </w:r>
          </w:p>
        </w:tc>
        <w:tc>
          <w:tcPr>
            <w:shd w:val="clear" w:color="000000" w:fill="ffffff"/>
            <w:tcBorders/>
            <w:tcW w:w="1559" w:type="dxa"/>
            <w:vAlign w:val="center"/>
            <w:textDirection w:val="lrTb"/>
            <w:noWrap w:val="false"/>
          </w:tcPr>
          <w:p>
            <w:pPr>
              <w:pBdr/>
              <w:spacing w:after="40" w:before="40" w:line="276" w:lineRule="auto"/>
              <w:ind/>
              <w:jc w:val="center"/>
              <w:rPr/>
            </w:pPr>
            <w:r>
              <w:rPr>
                <w:color w:val="000000" w:themeColor="text1"/>
              </w:rPr>
              <w:t xml:space="preserve">70.000.000</w:t>
            </w:r>
            <w:r/>
          </w:p>
        </w:tc>
        <w:tc>
          <w:tcPr>
            <w:shd w:val="clear" w:color="000000" w:fill="ffffff"/>
            <w:tcBorders/>
            <w:tcW w:w="2234" w:type="dxa"/>
            <w:vAlign w:val="center"/>
            <w:textDirection w:val="lrTb"/>
            <w:noWrap w:val="false"/>
          </w:tcPr>
          <w:p>
            <w:pPr>
              <w:pBdr/>
              <w:spacing w:after="40" w:before="40" w:line="276" w:lineRule="auto"/>
              <w:ind/>
              <w:jc w:val="center"/>
              <w:rPr/>
            </w:pPr>
            <w:r>
              <w:rPr>
                <w:color w:val="000000" w:themeColor="text1"/>
              </w:rPr>
              <w:t xml:space="preserve">5.376.000.000</w:t>
            </w:r>
            <w:r/>
          </w:p>
        </w:tc>
      </w:tr>
      <w:tr>
        <w:trPr>
          <w:trHeight w:val="20"/>
        </w:trPr>
        <w:tc>
          <w:tcPr>
            <w:shd w:val="clear" w:color="000000" w:fill="ffffff"/>
            <w:tcBorders/>
            <w:tcW w:w="952" w:type="dxa"/>
            <w:vAlign w:val="center"/>
            <w:vMerge w:val="restart"/>
            <w:textDirection w:val="lrTb"/>
            <w:noWrap w:val="false"/>
          </w:tcPr>
          <w:p>
            <w:pPr>
              <w:pBdr/>
              <w:spacing w:after="40" w:before="40" w:line="276" w:lineRule="auto"/>
              <w:ind/>
              <w:jc w:val="center"/>
              <w:rPr>
                <w:b w:val="0"/>
                <w:bCs w:val="0"/>
              </w:rPr>
            </w:pPr>
            <w:r>
              <w:rPr>
                <w:b w:val="0"/>
                <w:bCs w:val="0"/>
              </w:rPr>
              <w:t xml:space="preserve">02</w:t>
            </w:r>
            <w:r>
              <w:rPr>
                <w:b w:val="0"/>
                <w:bCs w:val="0"/>
              </w:rPr>
            </w:r>
            <w:r>
              <w:rPr>
                <w:b w:val="0"/>
                <w:bCs w:val="0"/>
              </w:rPr>
            </w:r>
          </w:p>
        </w:tc>
        <w:tc>
          <w:tcPr>
            <w:shd w:val="clear" w:color="000000" w:fill="ffffff"/>
            <w:tcBorders/>
            <w:tcW w:w="3368" w:type="dxa"/>
            <w:vAlign w:val="center"/>
            <w:vMerge w:val="restart"/>
            <w:textDirection w:val="lrTb"/>
            <w:noWrap w:val="false"/>
          </w:tcPr>
          <w:p>
            <w:pPr>
              <w:pBdr/>
              <w:spacing w:after="40" w:before="40" w:line="276" w:lineRule="auto"/>
              <w:ind/>
              <w:rPr>
                <w:b w:val="0"/>
                <w:bCs w:val="0"/>
              </w:rPr>
            </w:pPr>
            <w:r>
              <w:rPr>
                <w:b w:val="0"/>
                <w:bCs w:val="0"/>
              </w:rPr>
              <w:t xml:space="preserve">Đất ONT nằm trong HLGT.</w:t>
            </w:r>
            <w:r>
              <w:rPr>
                <w:b w:val="0"/>
                <w:bCs w:val="0"/>
              </w:rPr>
            </w:r>
            <w:r>
              <w:rPr>
                <w:b w:val="0"/>
                <w:bCs w:val="0"/>
              </w:rPr>
            </w:r>
          </w:p>
        </w:tc>
        <w:tc>
          <w:tcPr>
            <w:tcBorders/>
            <w:tcW w:w="1384" w:type="dxa"/>
            <w:vAlign w:val="center"/>
            <w:vMerge w:val="restart"/>
            <w:textDirection w:val="lrTb"/>
            <w:noWrap/>
          </w:tcPr>
          <w:p>
            <w:pPr>
              <w:pBdr/>
              <w:spacing w:after="40" w:before="40" w:line="276" w:lineRule="auto"/>
              <w:ind/>
              <w:jc w:val="center"/>
              <w:rPr>
                <w:color w:val="000000" w:themeColor="text1"/>
              </w:rPr>
            </w:pPr>
            <w:r>
              <w:rPr>
                <w:color w:val="000000" w:themeColor="text1"/>
              </w:rPr>
            </w:r>
            <w:r>
              <w:rPr>
                <w:color w:val="000000" w:themeColor="text1"/>
              </w:rPr>
              <w:t xml:space="preserve">31,2</w:t>
            </w:r>
            <w:r>
              <w:rPr>
                <w:color w:val="000000" w:themeColor="text1"/>
              </w:rPr>
            </w:r>
            <w:r>
              <w:rPr>
                <w:color w:val="000000" w:themeColor="text1"/>
              </w:rPr>
            </w:r>
          </w:p>
        </w:tc>
        <w:tc>
          <w:tcPr>
            <w:shd w:val="clear" w:color="000000" w:fill="ffffff"/>
            <w:tcBorders/>
            <w:tcW w:w="1559" w:type="dxa"/>
            <w:vAlign w:val="center"/>
            <w:vMerge w:val="restart"/>
            <w:textDirection w:val="lrTb"/>
            <w:noWrap w:val="false"/>
          </w:tcPr>
          <w:p>
            <w:pPr>
              <w:pBdr/>
              <w:spacing w:after="40" w:before="40" w:line="276" w:lineRule="auto"/>
              <w:ind/>
              <w:jc w:val="center"/>
              <w:rPr>
                <w:color w:val="000000" w:themeColor="text1"/>
              </w:rPr>
            </w:pPr>
            <w:r>
              <w:rPr>
                <w:color w:val="000000" w:themeColor="text1"/>
              </w:rPr>
            </w:r>
            <w:r>
              <w:rPr>
                <w:color w:val="000000" w:themeColor="text1"/>
              </w:rPr>
              <w:t xml:space="preserve">5.023.000</w:t>
            </w:r>
            <w:r>
              <w:rPr>
                <w:color w:val="000000" w:themeColor="text1"/>
              </w:rPr>
            </w:r>
            <w:r>
              <w:rPr>
                <w:color w:val="000000" w:themeColor="text1"/>
              </w:rPr>
            </w:r>
          </w:p>
        </w:tc>
        <w:tc>
          <w:tcPr>
            <w:shd w:val="clear" w:color="000000" w:fill="ffffff"/>
            <w:tcBorders/>
            <w:tcW w:w="2234" w:type="dxa"/>
            <w:vAlign w:val="center"/>
            <w:vMerge w:val="restart"/>
            <w:textDirection w:val="lrTb"/>
            <w:noWrap w:val="false"/>
          </w:tcPr>
          <w:p>
            <w:pPr>
              <w:pBdr/>
              <w:spacing w:after="40" w:before="40" w:line="276" w:lineRule="auto"/>
              <w:ind/>
              <w:jc w:val="center"/>
              <w:rPr>
                <w:color w:val="000000" w:themeColor="text1"/>
              </w:rPr>
            </w:pPr>
            <w:r>
              <w:rPr>
                <w:color w:val="000000" w:themeColor="text1"/>
              </w:rPr>
            </w:r>
            <w:r>
              <w:rPr>
                <w:color w:val="000000" w:themeColor="text1"/>
              </w:rPr>
              <w:t xml:space="preserve">156.717.600</w:t>
            </w:r>
            <w:r>
              <w:rPr>
                <w:color w:val="000000" w:themeColor="text1"/>
              </w:rPr>
            </w:r>
            <w:r>
              <w:rPr>
                <w:color w:val="000000" w:themeColor="text1"/>
              </w:rPr>
            </w:r>
          </w:p>
        </w:tc>
      </w:tr>
      <w:tr>
        <w:trPr>
          <w:trHeight w:val="20"/>
        </w:trPr>
        <w:tc>
          <w:tcPr>
            <w:gridSpan w:val="4"/>
            <w:tcBorders/>
            <w:tcW w:w="7263"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2234" w:type="dxa"/>
            <w:vAlign w:val="center"/>
            <w:textDirection w:val="lrTb"/>
            <w:noWrap/>
          </w:tcPr>
          <w:p>
            <w:pPr>
              <w:pBdr/>
              <w:spacing w:after="40" w:before="40" w:line="276" w:lineRule="auto"/>
              <w:ind/>
              <w:jc w:val="center"/>
              <w:rPr>
                <w:b/>
                <w:bCs/>
                <w:color w:val="000000"/>
              </w:rPr>
            </w:pPr>
            <w:r>
              <w:rPr>
                <w:b/>
                <w:bCs/>
              </w:rPr>
              <w:t xml:space="preserve">5.532.717.600</w:t>
            </w:r>
            <w:r>
              <w:rPr>
                <w:b/>
                <w:bCs/>
                <w:color w:val="000000"/>
              </w:rPr>
            </w:r>
            <w:r>
              <w:rPr>
                <w:b/>
                <w:bCs/>
                <w:color w:val="000000"/>
              </w:rPr>
            </w:r>
          </w:p>
        </w:tc>
      </w:tr>
      <w:tr>
        <w:trPr>
          <w:trHeight w:val="20"/>
        </w:trPr>
        <w:tc>
          <w:tcPr>
            <w:gridSpan w:val="4"/>
            <w:tcBorders/>
            <w:tcW w:w="7263"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tcBorders/>
            <w:tcW w:w="2234" w:type="dxa"/>
            <w:vAlign w:val="center"/>
            <w:textDirection w:val="lrTb"/>
            <w:noWrap/>
          </w:tcPr>
          <w:p>
            <w:pPr>
              <w:pBdr/>
              <w:spacing w:after="40" w:before="40" w:line="276" w:lineRule="auto"/>
              <w:ind/>
              <w:jc w:val="center"/>
              <w:rPr>
                <w:b/>
                <w:bCs/>
                <w:color w:val="000000"/>
              </w:rPr>
            </w:pPr>
            <w:r>
              <w:rPr>
                <w:b/>
                <w:bCs/>
                <w:color w:val="000000"/>
              </w:rPr>
              <w:t xml:space="preserve">5.533.000.000</w:t>
            </w:r>
            <w:r>
              <w:rPr>
                <w:b/>
                <w:bCs/>
                <w:color w:val="000000"/>
              </w:rPr>
            </w:r>
            <w:r>
              <w:rPr>
                <w:b/>
                <w:bCs/>
                <w:color w:val="000000"/>
              </w:rPr>
            </w:r>
          </w:p>
        </w:tc>
      </w:tr>
      <w:tr>
        <w:trPr>
          <w:trHeight w:val="20"/>
        </w:trPr>
        <w:tc>
          <w:tcPr>
            <w:gridSpan w:val="5"/>
            <w:tcBorders/>
            <w:tcW w:w="9497" w:type="dxa"/>
            <w:vAlign w:val="center"/>
            <w:textDirection w:val="lrTb"/>
            <w:noWrap w:val="false"/>
          </w:tcPr>
          <w:p>
            <w:pPr>
              <w:pBdr/>
              <w:spacing w:after="40" w:before="40" w:line="276" w:lineRule="auto"/>
              <w:ind/>
              <w:jc w:val="center"/>
              <w:rPr>
                <w:b/>
                <w:bCs/>
                <w:i/>
                <w:iCs/>
                <w:color w:val="000000"/>
              </w:rPr>
            </w:pPr>
            <w:r>
              <w:rPr>
                <w:b/>
                <w:bCs/>
                <w:i/>
                <w:iCs/>
                <w:color w:val="000000"/>
              </w:rPr>
              <w:t xml:space="preserve">(Bằng chữ: </w:t>
            </w:r>
            <w:r>
              <w:rPr>
                <w:b/>
                <w:bCs/>
                <w:i/>
                <w:iCs/>
                <w:color w:val="000000"/>
              </w:rPr>
              <w:t xml:space="preserve">Năm tỷ, năm trăm ba mươi ba triệu đồng</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329"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329"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329"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329"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329"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329"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329"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329"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329"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329"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329"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329"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329"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329"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329"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329"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329"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329"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329"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32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329" w:lineRule="auto"/>
        <w:ind/>
        <w:jc w:val="both"/>
        <w:rPr>
          <w:rFonts w:ascii="Times New Roman" w:hAnsi="Times New Roman" w:eastAsia="Times New Roman" w:cs="Times New Roman"/>
          <w:sz w:val="24"/>
        </w:rPr>
      </w:pPr>
      <w:r>
        <w:rPr>
          <w:rFonts w:ascii="Times New Roman" w:hAnsi="Times New Roman" w:eastAsia="Times New Roman" w:cs="Times New Roman"/>
          <w:color w:val="000000" w:themeColor="text1"/>
          <w:sz w:val="24"/>
        </w:rPr>
        <w:t xml:space="preserve">Tại thời điểm khảo sát, dưới dự hướng dẫn của chủ tài sản, trên đất có Công trình xây dựng:</w:t>
        <w:br/>
        <w:t xml:space="preserve"> Nhà 02 tầng + 01 tum, diện tích xây dựng khoảng 77m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tổng diện tích sàn khoảng 192,5m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Công trình chưa được công nhận trên GCN QSDĐ số: DO 950674</w:t>
      </w:r>
      <w:r>
        <w:rPr>
          <w:color w:val="000000" w:themeColor="text1"/>
        </w:rPr>
        <w:t xml:space="preserve">. Đồng thời, Tổ thẩm định cũng không nhận được bất kỳ giấy tờ pháp lý nào liên quan đến Công trình xây dựng trên. Theo đề nghị của Khách hàng/Ngân hàng, Tổ thẩm định không</w:t>
      </w:r>
      <w:r>
        <w:rPr>
          <w:rFonts w:ascii="Times New Roman" w:hAnsi="Times New Roman" w:eastAsia="Times New Roman" w:cs="Times New Roman"/>
          <w:color w:val="000000"/>
          <w:sz w:val="24"/>
        </w:rPr>
        <w:t xml:space="preserve"> xác định giá trị công trình nhưng vẫn coi đó là phần không thể tách rời của tài sản thẩm định.</w:t>
      </w:r>
      <w:r>
        <w:rPr>
          <w:rFonts w:ascii="Times New Roman" w:hAnsi="Times New Roman" w:eastAsia="Times New Roman" w:cs="Times New Roman"/>
          <w:sz w:val="24"/>
        </w:rPr>
      </w:r>
      <w:r>
        <w:rPr>
          <w:rFonts w:ascii="Times New Roman" w:hAnsi="Times New Roman" w:eastAsia="Times New Roman" w:cs="Times New Roman"/>
          <w:sz w:val="24"/>
        </w:rPr>
      </w:r>
    </w:p>
    <w:p>
      <w:pPr>
        <w:pStyle w:val="1031"/>
        <w:numPr>
          <w:ilvl w:val="0"/>
          <w:numId w:val="3"/>
        </w:numPr>
        <w:pBdr/>
        <w:tabs>
          <w:tab w:val="left" w:leader="none" w:pos="993"/>
        </w:tabs>
        <w:spacing w:after="120" w:before="120" w:line="32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329"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329"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2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329"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329"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275/2026/0512/VFI-CT.44.A</w:t>
      </w:r>
      <w:r>
        <w:rPr>
          <w:color w:val="ff0000"/>
          <w:lang w:val="vi-VN"/>
        </w:rPr>
        <w:t xml:space="preserve"> </w:t>
      </w:r>
      <w:r>
        <w:rPr>
          <w:color w:val="000000" w:themeColor="text1"/>
        </w:rPr>
        <w:t xml:space="preserve">ngày 01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275/2026/0512/VFI-BC.44.A</w:t>
      </w:r>
      <w:r>
        <w:rPr>
          <w:i/>
          <w:lang w:val="pt-BR"/>
        </w:rPr>
        <w:t xml:space="preserve"> ngày 0</w:t>
      </w:r>
      <w:r>
        <w:rPr>
          <w:i/>
          <w:lang w:val="pt-BR"/>
        </w:rPr>
        <w:t xml:space="preserve">1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13"/>
        <w:gridCol w:w="5512"/>
      </w:tblGrid>
      <w:tr>
        <w:trPr/>
        <w:tc>
          <w:tcPr>
            <w:tcBorders/>
            <w:tcW w:w="4013"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404951" cy="32066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98041" name=""/>
                              <pic:cNvPicPr>
                                <a:picLocks noChangeAspect="1"/>
                              </pic:cNvPicPr>
                              <pic:nvPr/>
                            </pic:nvPicPr>
                            <pic:blipFill rotWithShape="1">
                              <a:blip r:embed="rId21"/>
                              <a:stretch/>
                            </pic:blipFill>
                            <pic:spPr bwMode="auto">
                              <a:xfrm flipH="0" flipV="0">
                                <a:off x="0" y="0"/>
                                <a:ext cx="2404951" cy="32066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9.37pt;height:252.49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5512"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407562" cy="321008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83140" name=""/>
                              <pic:cNvPicPr>
                                <a:picLocks noChangeAspect="1"/>
                              </pic:cNvPicPr>
                              <pic:nvPr/>
                            </pic:nvPicPr>
                            <pic:blipFill rotWithShape="1">
                              <a:blip r:embed="rId22"/>
                              <a:stretch/>
                            </pic:blipFill>
                            <pic:spPr bwMode="auto">
                              <a:xfrm flipH="0" flipV="0">
                                <a:off x="0" y="0"/>
                                <a:ext cx="2407561" cy="32100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9.57pt;height:252.76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013"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3504" cy="364467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2180" name=""/>
                              <pic:cNvPicPr>
                                <a:picLocks noChangeAspect="1"/>
                              </pic:cNvPicPr>
                              <pic:nvPr/>
                            </pic:nvPicPr>
                            <pic:blipFill rotWithShape="1">
                              <a:blip r:embed="rId23"/>
                              <a:stretch/>
                            </pic:blipFill>
                            <pic:spPr bwMode="auto">
                              <a:xfrm flipH="0" flipV="0">
                                <a:off x="0" y="0"/>
                                <a:ext cx="2733504" cy="36446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24pt;height:286.9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5512"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812428" cy="286527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43808" name=""/>
                              <pic:cNvPicPr>
                                <a:picLocks noChangeAspect="1"/>
                              </pic:cNvPicPr>
                              <pic:nvPr/>
                            </pic:nvPicPr>
                            <pic:blipFill rotWithShape="1">
                              <a:blip r:embed="rId24"/>
                              <a:stretch/>
                            </pic:blipFill>
                            <pic:spPr bwMode="auto">
                              <a:xfrm flipH="0" flipV="0">
                                <a:off x="0" y="0"/>
                                <a:ext cx="3812428" cy="28652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00.19pt;height:225.6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bl>
    <w:p>
      <w:pPr>
        <w:pBdr/>
        <w:spacing/>
        <w:ind/>
        <w:rPr/>
      </w:pPr>
      <w:r/>
      <w:r/>
    </w:p>
    <w:p>
      <w:pPr>
        <w:pBdr/>
        <w:shd w:val="nil" w:color="auto"/>
        <w:spacing/>
        <w:ind/>
        <w:rPr/>
      </w:pPr>
      <w:r>
        <w:rPr>
          <w:highlight w:val="none"/>
        </w:rPr>
        <w:br w:type="page" w:clear="all"/>
      </w:r>
      <w:r>
        <w:rPr>
          <w:highlight w:val="none"/>
        </w:rPr>
      </w:r>
      <w:r/>
    </w:p>
    <w:p>
      <w:pPr>
        <w:pBdr/>
        <w:spacing w:after="200" w:line="276" w:lineRule="auto"/>
        <w:ind/>
        <w:rPr/>
      </w:pPr>
      <w:r>
        <mc:AlternateContent>
          <mc:Choice Requires="wpg">
            <w:drawing>
              <wp:inline xmlns:wp="http://schemas.openxmlformats.org/drawingml/2006/wordprocessingDrawing" distT="0" distB="0" distL="0" distR="0">
                <wp:extent cx="6048375" cy="423386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64229" name=""/>
                        <pic:cNvPicPr>
                          <a:picLocks noChangeAspect="1"/>
                        </pic:cNvPicPr>
                        <pic:nvPr/>
                      </pic:nvPicPr>
                      <pic:blipFill rotWithShape="1">
                        <a:blip r:embed="rId25"/>
                        <a:stretch/>
                      </pic:blipFill>
                      <pic:spPr bwMode="auto">
                        <a:xfrm>
                          <a:off x="0" y="0"/>
                          <a:ext cx="6048374" cy="42338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333.37pt;mso-wrap-distance-left:0.00pt;mso-wrap-distance-top:0.00pt;mso-wrap-distance-right:0.00pt;mso-wrap-distance-bottom:0.00pt;z-index:1;" stroked="false">
                <v:imagedata r:id="rId25" o:title=""/>
                <o:lock v:ext="edit" rotation="t"/>
              </v:shape>
            </w:pict>
          </mc:Fallback>
        </mc:AlternateContent>
      </w:r>
      <w:r>
        <w:rPr>
          <w:highlight w:val="none"/>
        </w:rPr>
      </w:r>
      <w:r/>
    </w:p>
    <w:p>
      <w:pPr>
        <w:pBdr/>
        <w:spacing w:after="200" w:line="276" w:lineRule="auto"/>
        <w:ind/>
        <w:rPr>
          <w:highlight w:val="none"/>
        </w:rPr>
      </w:pPr>
      <w:r>
        <mc:AlternateContent>
          <mc:Choice Requires="wpg">
            <w:drawing>
              <wp:inline xmlns:wp="http://schemas.openxmlformats.org/drawingml/2006/wordprocessingDrawing" distT="0" distB="0" distL="0" distR="0">
                <wp:extent cx="6048375" cy="425830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36823" name=""/>
                        <pic:cNvPicPr>
                          <a:picLocks noChangeAspect="1"/>
                        </pic:cNvPicPr>
                        <pic:nvPr/>
                      </pic:nvPicPr>
                      <pic:blipFill rotWithShape="1">
                        <a:blip r:embed="rId26"/>
                        <a:stretch/>
                      </pic:blipFill>
                      <pic:spPr bwMode="auto">
                        <a:xfrm>
                          <a:off x="0" y="0"/>
                          <a:ext cx="6048374" cy="42583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335.30pt;mso-wrap-distance-left:0.00pt;mso-wrap-distance-top:0.00pt;mso-wrap-distance-right:0.00pt;mso-wrap-distance-bottom:0.00pt;z-index:1;" stroked="false">
                <v:imagedata r:id="rId26" o:title=""/>
                <o:lock v:ext="edit" rotation="t"/>
              </v:shape>
            </w:pict>
          </mc:Fallback>
        </mc:AlternateContent>
      </w:r>
      <w:r>
        <w:br w:type="page" w:clear="all"/>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275/2026/0512/VFI-BC.44.A</w:t>
      </w:r>
      <w:r>
        <w:rPr>
          <w:i/>
          <w:lang w:val="pt-BR"/>
        </w:rPr>
        <w:t xml:space="preserve"> </w:t>
      </w:r>
      <w:r>
        <w:rPr>
          <w:i/>
          <w:lang w:val="pt-BR"/>
        </w:rPr>
        <w:t xml:space="preserve">ngày 01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0833.330977</w:t>
            </w:r>
            <w:r>
              <w:rPr>
                <w:sz w:val="22"/>
                <w:szCs w:val="22"/>
              </w:rPr>
              <w:t xml:space="preserve"> </w:t>
            </w:r>
            <w:r>
              <w:rPr>
                <w:sz w:val="22"/>
                <w:szCs w:val="22"/>
              </w:rPr>
              <w:br/>
              <w:t xml:space="preserve">(Đặng Song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Phượng Dực, Thành phố Hà Nội, đường Tiếp giáp đường 429, cách QL1A khoảng 5Km, độ rộng đường trước mặt tài sản 7m, mặt tiền 3,5m, Tiếp giáp đường 429, cách QL1A khoảng 5Km, 20.794618721732913, 105.83968707103232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1353695" cy="301231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97936" name=""/>
                              <pic:cNvPicPr>
                                <a:picLocks noChangeAspect="1"/>
                              </pic:cNvPicPr>
                              <pic:nvPr/>
                            </pic:nvPicPr>
                            <pic:blipFill rotWithShape="1">
                              <a:blip r:embed="rId27"/>
                              <a:stretch/>
                            </pic:blipFill>
                            <pic:spPr bwMode="auto">
                              <a:xfrm flipH="0" flipV="0">
                                <a:off x="0" y="0"/>
                                <a:ext cx="1353694" cy="30123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06.59pt;height:237.19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0362.221284</w:t>
            </w:r>
            <w:r>
              <w:rPr>
                <w:sz w:val="22"/>
                <w:szCs w:val="22"/>
              </w:rPr>
              <w:t xml:space="preserve"> </w:t>
            </w:r>
            <w:r>
              <w:rPr>
                <w:sz w:val="22"/>
                <w:szCs w:val="22"/>
              </w:rPr>
              <w:br/>
              <w:t xml:space="preserve">(Tuấn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8.034.000.000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6.266.520.000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(123,6m²)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Thôn Phú Đôi, xã Phượng Dực, Thành phố Hà Nội, khoảng cách ra đường chính cách đường liên thôn 150m, độ rộng đường trước mặt tài sản 10m, mặt tiền 4,9m, 20.777483972592645, 105.87901653855735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Khu phân lô</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0150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4015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67.8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7046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7704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9.4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94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7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0931.005567</w:t>
            </w:r>
            <w:r>
              <w:rPr>
                <w:sz w:val="22"/>
                <w:szCs w:val="22"/>
              </w:rPr>
              <w:t xml:space="preserve"> </w:t>
            </w:r>
            <w:r>
              <w:rPr>
                <w:sz w:val="22"/>
                <w:szCs w:val="22"/>
              </w:rPr>
              <w:br/>
              <w:t xml:space="preserve">(Bùi Quốc Trường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7.207.200.000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(136,2m²)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Thôn Phú Đôi, xã Phượng Dực, Thành phố Hà Nội, khoảng cách ra đường chính cách đường liên thôn 150m, độ rộng đường trước mặt tài sản 10m, mặt tiền 4,9m, 20.777483972592645, 105.87901653855735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Khu phân lô</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4861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44861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0.2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876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78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3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3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rPr>
      </w:pPr>
      <w:r>
        <w:rPr>
          <w:b/>
          <w:bCs/>
          <w:iCs/>
          <w:lang w:val="pt-BR"/>
        </w:rPr>
        <w:t xml:space="preserve">BIÊN BẢN KHẢO SÁT</w:t>
      </w:r>
      <w:r>
        <w:rPr>
          <w:b/>
          <w:bCs/>
          <w:iCs/>
          <w:highlight w:val="none"/>
        </w:rPr>
      </w:r>
      <w:r>
        <w:rPr>
          <w:b/>
          <w:bCs/>
          <w:iCs/>
          <w:highlight w:val="none"/>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96026"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5"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A72DE3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465E00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7465E00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www.google.com/search?q=C%E1%BB%A5m+c%C3%B4ng+nghi%E1%BB%87p+l%C3%A0ng+ngh%E1%BB%81+%C4%90%E1%BA%A1i+Th%E1%BA%AFng%2C+Ph%C6%B0%E1%BB%A3ng+D%E1%BB%B1c&amp;oq=t%E1%BB%95ng+quan+B%C4%90S+Ph%C3%9A+XUY%C3%8AN&amp;gs_lcrp=EgZjaHJvbWUyBggAEEUYOTIHCAEQIRigATIHCAIQIRigATIHCAMQIRigAdIBCDY4MTNqMGo3qAIAsAIA&amp;sourceid=chrome&amp;ie=UTF-8&amp;mstk=AUtExfBs__KgWH80Iuz4Iox8-M6cslEfUJ40mJit9kN7R8xbpi59iusSunxlMV7oEdqD_df3my8S0kw9xvq9ATTi-eBvEsn4iNrtFFwjSVnRpsdR2qi8OP31fIQDn93AE2yRpnM&amp;csui=3&amp;ved=2ahUKEwjkw5n9ns6TAxWEr1YBHW98C6sQgK4QegQIAxAC" TargetMode="External"/><Relationship Id="rId18" Type="http://schemas.openxmlformats.org/officeDocument/2006/relationships/hyperlink" Target="https://www.google.com/search?q=%C4%91%C6%B0%E1%BB%9Dng+cao+t%E1%BB%91c+Ph%C3%A1p+V%C3%A2n+-+C%E1%BA%A7u+Gi%E1%BA%BD&amp;oq=t%E1%BB%95ng+quan+B%C4%90S+Ph%C3%9A+XUY%C3%8AN&amp;gs_lcrp=EgZjaHJvbWUyBggAEEUYOTIHCAEQIRigATIHCAIQIRigATIHCAMQIRigAdIBCDY4MTNqMGo3qAIAsAIA&amp;sourceid=chrome&amp;ie=UTF-8&amp;mstk=AUtExfBs__KgWH80Iuz4Iox8-M6cslEfUJ40mJit9kN7R8xbpi59iusSunxlMV7oEdqD_df3my8S0kw9xvq9ATTi-eBvEsn4iNrtFFwjSVnRpsdR2qi8OP31fIQDn93AE2yRpnM&amp;csui=3&amp;ved=2ahUKEwjkw5n9ns6TAxWEr1YBHW98C6sQgK4QegQIAxAE" TargetMode="External"/><Relationship Id="rId19" Type="http://schemas.openxmlformats.org/officeDocument/2006/relationships/hyperlink" Target="https://www.google.com/search?q=Qu%E1%BB%91c+l%E1%BB%99+1A+c%C5%A9&amp;oq=t%E1%BB%95ng+quan+B%C4%90S+Ph%C3%9A+XUY%C3%8AN&amp;gs_lcrp=EgZjaHJvbWUyBggAEEUYOTIHCAEQIRigATIHCAIQIRigATIHCAMQIRigAdIBCDY4MTNqMGo3qAIAsAIA&amp;sourceid=chrome&amp;ie=UTF-8&amp;mstk=AUtExfBs__KgWH80Iuz4Iox8-M6cslEfUJ40mJit9kN7R8xbpi59iusSunxlMV7oEdqD_df3my8S0kw9xvq9ATTi-eBvEsn4iNrtFFwjSVnRpsdR2qi8OP31fIQDn93AE2yRpnM&amp;csui=3&amp;ved=2ahUKEwjkw5n9ns6TAxWEr1YBHW98C6sQgK4QegQIAxAF" TargetMode="External"/><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image" Target="media/image17.png"/><Relationship Id="rId35"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282</cp:revision>
  <dcterms:created xsi:type="dcterms:W3CDTF">2025-09-15T09:58:00Z</dcterms:created>
  <dcterms:modified xsi:type="dcterms:W3CDTF">2026-04-08T02:29:23Z</dcterms:modified>
</cp:coreProperties>
</file>