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349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349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275/2026/0468/VFI-CT.44.A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Thương mại và Đầu tư phát triển công nghệ Hiệp Thành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22, tờ bản đồ số: 69, có địa chỉ: Thôn Thái Lai, xã Minh Trí, huyện Sóc Sơn (nay là xã Kim Anh), thành phố Hà Nội theo Giấy ch</w:t>
                            </w:r>
                            <w:r>
                              <w:rPr>
                                <w:color w:val="000000"/>
                              </w:rPr>
                              <w:t xml:space="preserve">ứng nhận quyền sử dụng đất, quyền sở hữu nhà ở và tài sản khác gắn liền với đất  số: DI 846839, Số vào sổ cấp GCN: CS-SS27601 do Sở tài nguyên và Môi trường thành phố Hà Nội cấp ngày 13/01/2023; chủ sử dụng đất là Ông Phạm Văn Đức và Bà Trần Thị Thanh Liễu</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8.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275/2026/0468/VFI-CT.44.A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Thương mại và Đầu tư phát triển công nghệ Hiệp Thành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22, tờ bản đồ số: 69, có địa chỉ: Thôn Thái Lai, xã Minh Trí, huyện Sóc Sơn (nay là xã Kim Anh), thành phố Hà Nội theo Giấy ch</w:t>
                      </w:r>
                      <w:r>
                        <w:rPr>
                          <w:color w:val="000000"/>
                        </w:rPr>
                        <w:t xml:space="preserve">ứng nhận quyền sử dụng đất, quyền sở hữu nhà ở và tài sản khác gắn liền với đất  số: DI 846839, Số vào sổ cấp GCN: CS-SS27601 do Sở tài nguyên và Môi trường thành phố Hà Nội cấp ngày 13/01/2023; chủ sử dụng đất là Ông Phạm Văn Đức và Bà Trần Thị Thanh Liễu</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4-23</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 + Pháp lý</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24-25</w:t>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26-32</w:t>
            </w:r>
            <w:r>
              <w:rPr>
                <w:b/>
                <w:bCs/>
              </w:rPr>
            </w:r>
            <w:r>
              <w:rPr>
                <w:b/>
                <w:bCs/>
              </w:rPr>
            </w:r>
          </w:p>
        </w:tc>
      </w:tr>
    </w:tbl>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w:t>
            </w:r>
            <w:r>
              <w:rPr>
                <w:rStyle w:val="1033"/>
                <w:rFonts w:ascii="Times New Roman" w:hAnsi="Times New Roman"/>
                <w:color w:val="000000" w:themeColor="text1"/>
                <w:lang w:val="pt-BR"/>
              </w:rPr>
              <w:t xml:space="preserve">: </w:t>
            </w:r>
            <w:r>
              <w:rPr>
                <w:rStyle w:val="1033"/>
                <w:rFonts w:ascii="Times New Roman" w:hAnsi="Times New Roman"/>
                <w:color w:val="000000" w:themeColor="text1"/>
                <w:lang w:val="pt-BR"/>
              </w:rPr>
              <w:t xml:space="preserve">275/2026/0468/VFI-CT.44.A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w:t>
            </w:r>
            <w:r>
              <w:rPr>
                <w:rStyle w:val="1033"/>
                <w:rFonts w:ascii="Times New Roman" w:hAnsi="Times New Roman"/>
                <w:i/>
                <w:color w:val="auto"/>
              </w:rPr>
              <w:t xml:space="preserve">Hà</w:t>
            </w:r>
            <w:r>
              <w:rPr>
                <w:rStyle w:val="1033"/>
                <w:rFonts w:ascii="Times New Roman" w:hAnsi="Times New Roman"/>
                <w:i/>
                <w:color w:val="auto"/>
              </w:rPr>
              <w:t xml:space="preserve"> </w:t>
            </w:r>
            <w:r>
              <w:rPr>
                <w:rStyle w:val="1033"/>
                <w:rFonts w:ascii="Times New Roman" w:hAnsi="Times New Roman"/>
                <w:i/>
                <w:color w:val="auto"/>
              </w:rPr>
              <w:t xml:space="preserve">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25 tháng 3 năm 2026</w:t>
            </w:r>
            <w:r>
              <w:rPr>
                <w:color w:val="000000" w:themeColor="text1"/>
                <w:sz w:val="24"/>
                <w:szCs w:val="24"/>
                <w:lang w:val="vi-VN"/>
              </w:rPr>
            </w:r>
            <w:r>
              <w:rPr>
                <w:color w:val="000000" w:themeColor="text1"/>
                <w:sz w:val="24"/>
                <w:szCs w:val="24"/>
                <w:lang w:val="vi-VN"/>
              </w:rPr>
            </w:r>
          </w:p>
        </w:tc>
      </w:tr>
    </w:tbl>
    <w:p>
      <w:pPr>
        <w:pStyle w:val="1034"/>
        <w:pBdr/>
        <w:spacing w:after="120" w:before="200" w:line="288" w:lineRule="auto"/>
        <w:ind/>
        <w:jc w:val="center"/>
        <w:rPr>
          <w:rStyle w:val="1033"/>
          <w:rFonts w:ascii="Times New Roman" w:hAnsi="Times New Roman"/>
          <w:b/>
          <w:bCs/>
          <w:color w:val="auto"/>
          <w:sz w:val="30"/>
          <w:szCs w:val="30"/>
          <w:lang w:val="vi-VN"/>
        </w:rPr>
      </w:pP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Thương mại và Đầu tư phát triển công nghệ Hiệp Thành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275/2026/0468/VFI-HĐTĐ.44.A</w:t>
      </w:r>
      <w:r>
        <w:rPr>
          <w:spacing w:val="-4"/>
          <w:lang w:val="vi-VN"/>
        </w:rPr>
        <w:t xml:space="preserve"> ký ngày </w:t>
      </w:r>
      <w:r>
        <w:rPr>
          <w:color w:val="000000" w:themeColor="text1"/>
          <w:spacing w:val="-4"/>
        </w:rPr>
        <w:t xml:space="preserve">5 tháng 3 năm 2026</w:t>
      </w:r>
      <w:r>
        <w:rPr>
          <w:spacing w:val="-4"/>
          <w:lang w:val="vi-VN"/>
        </w:rPr>
        <w:t xml:space="preserve"> </w:t>
      </w:r>
      <w:r>
        <w:rPr>
          <w:spacing w:val="-4"/>
          <w:lang w:val="vi-VN"/>
        </w:rPr>
        <w:t xml:space="preserve">giữa </w:t>
      </w:r>
      <w:r>
        <w:rPr>
          <w:color w:val="000000" w:themeColor="text1"/>
          <w:spacing w:val="-4"/>
        </w:rPr>
        <w:t xml:space="preserve">Công ty TNHH Thương mại và Đầu tư phát triển công nghệ Hiệp Thành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275/2026/0468/VFI-BC.44.A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25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CÔNG TY TNHH THƯƠNG MẠI VÀ ĐẦU TƯ PHÁT TRIỂN CÔNG NGHỆ HIỆP THÀNH</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MST/CMTND/CCCD:</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pacing w:val="-2"/>
                <w:sz w:val="24"/>
                <w:highlight w:val="white"/>
              </w:rPr>
              <w:t xml:space="preserve">0101150001</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pacing w:val="-2"/>
                <w:sz w:val="24"/>
              </w:rPr>
              <w:t xml:space="preserve">Số 25, phố Tống Duy Tân, Phường Hoàn Kiếm, TP Hà Nội, Việt Nam</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Người đại diện</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Ông Nguyễn Quang Thành   Chức Vụ: Giám đốc</w:t>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22, tờ bản đồ số: 69, có địa chỉ: Thôn Thái Lai, xã Minh Trí, huyện Sóc Sơn (nay là xã Kim Anh), thành phố Hà Nội theo Giấy ch</w:t>
      </w:r>
      <w:r>
        <w:rPr>
          <w:color w:val="000000" w:themeColor="text1"/>
        </w:rPr>
        <w:t xml:space="preserve">ứng nhận quyền sử dụng đất, quyền sở hữu nhà ở và tài sản khác gắn liền với đất  số: DI 846839, Số vào sổ cấp GCN: CS-SS27601 do Sở tài nguyên và Môi trường thành phố Hà Nội cấp ngày 13/01/2023; chủ sử dụng đất là Ông Phạm Văn Đức và Bà Trần Thị Thanh Liễu</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03/2026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22, tờ bản đồ số: 69, có địa chỉ: Thôn Thái Lai, xã Minh Trí, huyện Sóc Sơn (nay là xã Kim Anh), thành phố Hà Nội theo Giấy ch</w:t>
            </w:r>
            <w:r>
              <w:rPr>
                <w:color w:val="000000"/>
              </w:rPr>
              <w:t xml:space="preserve">ứng nhận quyền sử dụng đất, quyền sở hữu nhà ở và tài sản khác gắn liền với đất  số: DI 846839, Số vào sổ cấp GCN: CS-SS27601 do Sở tài nguyên và Môi trường thành phố Hà Nội cấp ngày 13/01/2023; chủ sử dụng đất là Ông Phạm Văn Đức và Bà Trần Thị Thanh Liễu</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289,9</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25.000.000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7.247.500.000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t xml:space="preserve">7.247.500.000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Bảy tỷ hai trăm bốn mươi bảy triệu năm trăm nghìn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w:t>
            </w:r>
            <w:r>
              <w:rPr>
                <w:rStyle w:val="1033"/>
                <w:rFonts w:ascii="Times New Roman" w:hAnsi="Times New Roman"/>
                <w:color w:val="000000" w:themeColor="text1"/>
                <w:lang w:val="pt-BR"/>
              </w:rPr>
              <w:t xml:space="preserve">: </w:t>
            </w:r>
            <w:r>
              <w:rPr>
                <w:rStyle w:val="1033"/>
                <w:rFonts w:ascii="Times New Roman" w:hAnsi="Times New Roman"/>
                <w:color w:val="000000" w:themeColor="text1"/>
                <w:lang w:val="pt-BR"/>
              </w:rPr>
              <w:t xml:space="preserve">275/2026/0468/VFI-BC.44.A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w:t>
            </w:r>
            <w:r>
              <w:rPr>
                <w:rStyle w:val="1033"/>
                <w:rFonts w:ascii="Times New Roman" w:hAnsi="Times New Roman"/>
                <w:i/>
                <w:color w:val="auto"/>
              </w:rPr>
              <w:t xml:space="preserve">Hà</w:t>
            </w:r>
            <w:r>
              <w:rPr>
                <w:rStyle w:val="1033"/>
                <w:rFonts w:ascii="Times New Roman" w:hAnsi="Times New Roman"/>
                <w:i/>
                <w:color w:val="auto"/>
              </w:rPr>
              <w:t xml:space="preserve"> </w:t>
            </w:r>
            <w:r>
              <w:rPr>
                <w:rStyle w:val="1033"/>
                <w:rFonts w:ascii="Times New Roman" w:hAnsi="Times New Roman"/>
                <w:i/>
                <w:color w:val="auto"/>
              </w:rPr>
              <w:t xml:space="preserve">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25 tháng 3 năm 2026</w:t>
            </w:r>
            <w:r>
              <w:rPr>
                <w:color w:val="000000" w:themeColor="text1"/>
                <w:sz w:val="24"/>
                <w:szCs w:val="24"/>
                <w:lang w:val="vi-VN"/>
              </w:rPr>
            </w:r>
            <w:r>
              <w:rPr>
                <w:color w:val="000000" w:themeColor="text1"/>
                <w:sz w:val="24"/>
                <w:szCs w:val="24"/>
                <w:lang w:val="vi-VN"/>
              </w:rPr>
            </w:r>
          </w:p>
        </w:tc>
      </w:tr>
    </w:tbl>
    <w:p>
      <w:pPr>
        <w:pStyle w:val="103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275/2026/0468/VFI-CT.44.A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25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CÔNG TY TNHH THƯƠNG MẠI VÀ ĐẦU TƯ PHÁT TRIỂN CÔNG NGHỆ HIỆP THÀNH</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MST/CMTND/CCCD:</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pacing w:val="-2"/>
                <w:sz w:val="24"/>
                <w:highlight w:val="white"/>
              </w:rPr>
              <w:t xml:space="preserve">0101150001</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pacing w:val="-2"/>
                <w:sz w:val="24"/>
              </w:rPr>
              <w:t xml:space="preserve">Số 25, phố Tống Duy Tân, Phường Hoàn Kiếm, TP Hà Nội, Việt Nam</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Người đại diện</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Ông Nguyễn Quang Thành   Chức Vụ: Giám đốc</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22, tờ bản đồ số: 69, có địa chỉ: Thôn Thái Lai, xã Minh Trí, huyện Sóc Sơn (nay là xã Kim Anh), thành phố Hà Nội theo Giấy ch</w:t>
            </w:r>
            <w:r>
              <w:rPr>
                <w:bCs/>
                <w:color w:val="000000" w:themeColor="text1"/>
                <w:lang w:val="pt-BR"/>
              </w:rPr>
              <w:t xml:space="preserve">ứng nhận quyền sử dụng đất, quyền sở hữu nhà ở và tài sản khác gắn liền với đất  số: DI 846839, Số vào sổ cấp GCN: CS-SS27601 do Sở tài nguyên và Môi trường thành phố Hà Nội cấp ngày 13/01/2023; chủ sử dụng đất là Ông Phạm Văn Đức và Bà Trần Thị Thanh Liễu</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Kim Anh,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21.28975, 105.75327777778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3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3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w:t>
      </w:r>
      <w:r>
        <w:rPr>
          <w:bCs/>
          <w:color w:val="000000" w:themeColor="text1"/>
          <w:lang w:val="pt-BR"/>
        </w:rPr>
        <w:t xml:space="preserve">ứng nhận quyền sử dụng đất, quyền sở hữu nhà ở và tài sản khác gắn liền với đất  số: DI 846839, Số vào sổ cấp GCN: CS-SS27601 do Sở tài nguyên và Môi trường thành phố Hà Nội cấp ngày 13/01/2023; chủ sử dụng đất là Ông Phạm Văn Đức và Bà Trần Thị Thanh Liễu</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275/2026/0468/VFI-HĐTĐ.44.A ngày 05/03/2026 giữa Công ty TNHH Thương mại và Đầu tư phát triển công nghệ Hiệp Thành với Công ty Cổ phần Thẩm định và Đầu tư Tài chính Hoa Sen.</w:t>
      </w:r>
      <w:r>
        <w:rPr>
          <w:b/>
          <w:lang w:val="pt-BR"/>
        </w:rPr>
      </w:r>
      <w:r>
        <w:rPr>
          <w:b/>
          <w:lang w:val="pt-BR"/>
        </w:rPr>
      </w:r>
    </w:p>
    <w:p>
      <w:pPr>
        <w:pStyle w:val="103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w:t>
      </w:r>
      <w:r>
        <w:rPr>
          <w:b/>
          <w:bCs/>
          <w:lang w:val="pt-BR"/>
        </w:rPr>
        <w:t xml:space="preserve"> THỊ TRƯỜ</w:t>
      </w:r>
      <w:r>
        <w:rPr>
          <w:b/>
          <w:bCs/>
          <w:lang w:val="pt-BR"/>
        </w:rPr>
        <w:t xml:space="preserve">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hd w:val="clear" w:color="ffffff" w:fill="ffffff"/>
        <w:spacing w:before="0" w:line="360" w:lineRule="atLeast"/>
        <w:ind w:right="0" w:firstLine="0" w:left="0"/>
        <w:rPr>
          <w:rFonts w:ascii="Times New Roman" w:hAnsi="Times New Roman" w:cs="Times New Roman"/>
          <w:szCs w:val="24"/>
        </w:rPr>
      </w:pPr>
      <w:r>
        <w:rPr>
          <w:lang w:val="pt-BR"/>
        </w:rPr>
        <w:tab/>
      </w:r>
      <w:r>
        <w:rPr>
          <w:rFonts w:ascii="Times New Roman" w:hAnsi="Times New Roman" w:eastAsia="Times New Roman" w:cs="Times New Roman"/>
          <w:b/>
          <w:color w:val="001d35"/>
          <w:sz w:val="24"/>
          <w:szCs w:val="24"/>
        </w:rPr>
        <w:t xml:space="preserve">Bất động sản Sóc Sơn đang trở thành điểm nóng vùng ven Hà Nội nhờ quy hoạch đô thị vệ tinh, hạ tầng kết nối mạnh (sân bay Nội Bài, các tuyến cao tốc) và quỹ đất rộng</w:t>
      </w:r>
      <w:r>
        <w:rPr>
          <w:rFonts w:ascii="Times New Roman" w:hAnsi="Times New Roman" w:eastAsia="Times New Roman" w:cs="Times New Roman"/>
          <w:color w:val="0a0a0a"/>
          <w:sz w:val="24"/>
          <w:szCs w:val="24"/>
        </w:rPr>
        <w:t xml:space="preserve">. Thị trường nổi bật với đất nền, biệt thự nghỉ dưỡng/homestay và các dự án công nghiệp, du lịch sinh thái, thu hút dòng vốn đầu tư dài hạn. </w:t>
      </w:r>
      <w:r>
        <w:rPr>
          <w:rFonts w:ascii="Times New Roman" w:hAnsi="Times New Roman" w:cs="Times New Roman"/>
          <w:szCs w:val="24"/>
        </w:rPr>
      </w:r>
      <w:r>
        <w:rPr>
          <w:rFonts w:ascii="Times New Roman" w:hAnsi="Times New Roman" w:cs="Times New Roman"/>
          <w:szCs w:val="24"/>
        </w:rP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0" w:left="0"/>
        <w:rPr>
          <w:rFonts w:ascii="Times New Roman" w:hAnsi="Times New Roman" w:cs="Times New Roman"/>
          <w:szCs w:val="24"/>
        </w:rPr>
      </w:pPr>
      <w:r>
        <w:rPr>
          <w:rFonts w:ascii="Times New Roman" w:hAnsi="Times New Roman" w:eastAsia="Times New Roman" w:cs="Times New Roman"/>
          <w:b/>
          <w:color w:val="0a0a0a"/>
          <w:sz w:val="24"/>
          <w:szCs w:val="24"/>
        </w:rPr>
        <w:t xml:space="preserve">1. Tổng quan vị trí và tiềm năng</w:t>
      </w:r>
      <w:r>
        <w:rPr>
          <w:rFonts w:ascii="Times New Roman" w:hAnsi="Times New Roman" w:eastAsia="Times New Roman" w:cs="Times New Roman"/>
          <w:color w:val="0a0a0a"/>
          <w:sz w:val="24"/>
          <w:szCs w:val="24"/>
        </w:rPr>
        <w:t xml:space="preserve"> </w:t>
      </w:r>
      <w:r>
        <w:rPr>
          <w:rFonts w:ascii="Times New Roman" w:hAnsi="Times New Roman" w:cs="Times New Roman"/>
          <w:szCs w:val="24"/>
        </w:rPr>
      </w:r>
      <w:r>
        <w:rPr>
          <w:rFonts w:ascii="Times New Roman" w:hAnsi="Times New Roman" w:cs="Times New Roman"/>
          <w:szCs w:val="24"/>
        </w:rPr>
      </w:r>
    </w:p>
    <w:p>
      <w:pPr>
        <w:pStyle w:val="1035"/>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szCs w:val="24"/>
        </w:rPr>
      </w:pPr>
      <w:r>
        <w:rPr>
          <w:rFonts w:ascii="Times New Roman" w:hAnsi="Times New Roman" w:eastAsia="Times New Roman" w:cs="Times New Roman"/>
          <w:b/>
          <w:color w:val="0a0a0a"/>
          <w:sz w:val="24"/>
          <w:szCs w:val="24"/>
        </w:rPr>
        <w:t xml:space="preserve">Vị trí:</w:t>
      </w:r>
      <w:r>
        <w:rPr>
          <w:rFonts w:ascii="Times New Roman" w:hAnsi="Times New Roman" w:eastAsia="Times New Roman" w:cs="Times New Roman"/>
          <w:color w:val="0a0a0a"/>
          <w:sz w:val="24"/>
          <w:szCs w:val="24"/>
        </w:rPr>
        <w:t xml:space="preserve"> Phía Bắc Hà Nội, cách trung tâm ~30km, là cửa ngõ giao thương quan trọng.</w:t>
      </w:r>
      <w:r>
        <w:rPr>
          <w:rFonts w:ascii="Times New Roman" w:hAnsi="Times New Roman" w:cs="Times New Roman"/>
          <w:szCs w:val="24"/>
        </w:rPr>
      </w:r>
      <w:r>
        <w:rPr>
          <w:rFonts w:ascii="Times New Roman" w:hAnsi="Times New Roman" w:cs="Times New Roman"/>
          <w:szCs w:val="24"/>
        </w:rPr>
      </w:r>
    </w:p>
    <w:p>
      <w:pPr>
        <w:pStyle w:val="1035"/>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szCs w:val="24"/>
        </w:rPr>
      </w:pPr>
      <w:r>
        <w:rPr>
          <w:rFonts w:ascii="Times New Roman" w:hAnsi="Times New Roman" w:eastAsia="Times New Roman" w:cs="Times New Roman"/>
          <w:b/>
          <w:color w:val="0a0a0a"/>
          <w:sz w:val="24"/>
          <w:szCs w:val="24"/>
        </w:rPr>
        <w:t xml:space="preserve">Đô thị vệ tinh:</w:t>
      </w:r>
      <w:r>
        <w:rPr>
          <w:rFonts w:ascii="Times New Roman" w:hAnsi="Times New Roman" w:eastAsia="Times New Roman" w:cs="Times New Roman"/>
          <w:color w:val="0a0a0a"/>
          <w:sz w:val="24"/>
          <w:szCs w:val="24"/>
        </w:rPr>
        <w:t xml:space="preserve"> Được định hướng trở thành đô thị vệ tinh về thương mại, dịch vụ, công nghiệp, du lịch sinh thái và nông nghiệp chất lượng cao.</w:t>
      </w:r>
      <w:r>
        <w:rPr>
          <w:rFonts w:ascii="Times New Roman" w:hAnsi="Times New Roman" w:cs="Times New Roman"/>
          <w:szCs w:val="24"/>
        </w:rPr>
      </w:r>
      <w:r>
        <w:rPr>
          <w:rFonts w:ascii="Times New Roman" w:hAnsi="Times New Roman" w:cs="Times New Roman"/>
          <w:szCs w:val="24"/>
        </w:rPr>
      </w:r>
    </w:p>
    <w:p>
      <w:pPr>
        <w:pStyle w:val="1035"/>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szCs w:val="24"/>
        </w:rPr>
      </w:pPr>
      <w:r>
        <w:rPr>
          <w:rFonts w:ascii="Times New Roman" w:hAnsi="Times New Roman" w:eastAsia="Times New Roman" w:cs="Times New Roman"/>
          <w:b/>
          <w:color w:val="0a0a0a"/>
          <w:sz w:val="24"/>
          <w:szCs w:val="24"/>
        </w:rPr>
        <w:t xml:space="preserve">Hạ tầng:</w:t>
      </w:r>
      <w:r>
        <w:rPr>
          <w:rFonts w:ascii="Times New Roman" w:hAnsi="Times New Roman" w:eastAsia="Times New Roman" w:cs="Times New Roman"/>
          <w:color w:val="0a0a0a"/>
          <w:sz w:val="24"/>
          <w:szCs w:val="24"/>
        </w:rPr>
        <w:t xml:space="preserve"> Nằm gần sân bay Quốc tế Nội Bài, kết nối qua cao tốc Hà Nội - Lào Cai, cao tốc Hà Nội - Thái Nguyên, quốc lộ 3. </w:t>
      </w:r>
      <w:r>
        <w:rPr>
          <w:rFonts w:ascii="Times New Roman" w:hAnsi="Times New Roman" w:cs="Times New Roman"/>
          <w:szCs w:val="24"/>
        </w:rPr>
      </w:r>
      <w:r>
        <w:rPr>
          <w:rFonts w:ascii="Times New Roman" w:hAnsi="Times New Roman" w:cs="Times New Roman"/>
          <w:szCs w:val="24"/>
        </w:rP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0" w:left="0"/>
        <w:rPr>
          <w:rFonts w:ascii="Times New Roman" w:hAnsi="Times New Roman" w:cs="Times New Roman"/>
          <w:szCs w:val="24"/>
        </w:rPr>
      </w:pPr>
      <w:r>
        <w:rPr>
          <w:rFonts w:ascii="Times New Roman" w:hAnsi="Times New Roman" w:eastAsia="Times New Roman" w:cs="Times New Roman"/>
          <w:b/>
          <w:color w:val="0a0a0a"/>
          <w:sz w:val="24"/>
          <w:szCs w:val="24"/>
        </w:rPr>
        <w:t xml:space="preserve">2. Các loại hình BĐS phổ biến</w:t>
      </w:r>
      <w:r>
        <w:rPr>
          <w:rFonts w:ascii="Times New Roman" w:hAnsi="Times New Roman" w:cs="Times New Roman"/>
          <w:szCs w:val="24"/>
        </w:rPr>
      </w:r>
      <w:r>
        <w:rPr>
          <w:rFonts w:ascii="Times New Roman" w:hAnsi="Times New Roman" w:cs="Times New Roman"/>
          <w:szCs w:val="24"/>
        </w:rPr>
      </w:r>
    </w:p>
    <w:p>
      <w:pPr>
        <w:pStyle w:val="1035"/>
        <w:numPr>
          <w:ilvl w:val="0"/>
          <w:numId w:val="40"/>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szCs w:val="24"/>
        </w:rPr>
      </w:pPr>
      <w:r>
        <w:rPr>
          <w:rFonts w:ascii="Times New Roman" w:hAnsi="Times New Roman" w:eastAsia="Times New Roman" w:cs="Times New Roman"/>
          <w:b/>
          <w:color w:val="0a0a0a"/>
          <w:sz w:val="24"/>
          <w:szCs w:val="24"/>
        </w:rPr>
        <w:t xml:space="preserve">Đất nền ven đô/đất dân:</w:t>
      </w:r>
      <w:r>
        <w:rPr>
          <w:rFonts w:ascii="Times New Roman" w:hAnsi="Times New Roman" w:eastAsia="Times New Roman" w:cs="Times New Roman"/>
          <w:color w:val="0a0a0a"/>
          <w:sz w:val="24"/>
          <w:szCs w:val="24"/>
        </w:rPr>
        <w:t xml:space="preserve"> Tập trung nhiều tại các xã gần khu công nghiệp, đô thị mới (Sóc Sơn, Nội Bài, Kim Anh, Đa Phúc, Trung Giã).</w:t>
      </w:r>
      <w:r>
        <w:rPr>
          <w:rFonts w:ascii="Times New Roman" w:hAnsi="Times New Roman" w:cs="Times New Roman"/>
          <w:szCs w:val="24"/>
        </w:rPr>
      </w:r>
      <w:r>
        <w:rPr>
          <w:rFonts w:ascii="Times New Roman" w:hAnsi="Times New Roman" w:cs="Times New Roman"/>
          <w:szCs w:val="24"/>
        </w:rPr>
      </w:r>
    </w:p>
    <w:p>
      <w:pPr>
        <w:pStyle w:val="1035"/>
        <w:numPr>
          <w:ilvl w:val="0"/>
          <w:numId w:val="40"/>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szCs w:val="24"/>
        </w:rPr>
      </w:pPr>
      <w:r>
        <w:rPr>
          <w:rFonts w:ascii="Times New Roman" w:hAnsi="Times New Roman" w:eastAsia="Times New Roman" w:cs="Times New Roman"/>
          <w:b/>
          <w:color w:val="0a0a0a"/>
          <w:sz w:val="24"/>
          <w:szCs w:val="24"/>
        </w:rPr>
        <w:t xml:space="preserve">BĐS nghỉ dưỡng/Homestay:</w:t>
      </w:r>
      <w:r>
        <w:rPr>
          <w:rFonts w:ascii="Times New Roman" w:hAnsi="Times New Roman" w:eastAsia="Times New Roman" w:cs="Times New Roman"/>
          <w:color w:val="0a0a0a"/>
          <w:sz w:val="24"/>
          <w:szCs w:val="24"/>
        </w:rPr>
        <w:t xml:space="preserve"> Phát triển mạnh ở khu vực bán sơn địa, đồi gò, ven hồ như hồ Đồng Quan, núi Hàm Lợn, Việt Phủ Thành Chương.</w:t>
      </w:r>
      <w:r>
        <w:rPr>
          <w:rFonts w:ascii="Times New Roman" w:hAnsi="Times New Roman" w:cs="Times New Roman"/>
          <w:szCs w:val="24"/>
        </w:rPr>
      </w:r>
      <w:r>
        <w:rPr>
          <w:rFonts w:ascii="Times New Roman" w:hAnsi="Times New Roman" w:cs="Times New Roman"/>
          <w:szCs w:val="24"/>
        </w:rPr>
      </w:r>
    </w:p>
    <w:p>
      <w:pPr>
        <w:pStyle w:val="1035"/>
        <w:numPr>
          <w:ilvl w:val="0"/>
          <w:numId w:val="40"/>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szCs w:val="24"/>
        </w:rPr>
      </w:pPr>
      <w:r>
        <w:rPr>
          <w:rFonts w:ascii="Times New Roman" w:hAnsi="Times New Roman" w:eastAsia="Times New Roman" w:cs="Times New Roman"/>
          <w:b/>
          <w:color w:val="0a0a0a"/>
          <w:sz w:val="24"/>
          <w:szCs w:val="24"/>
        </w:rPr>
        <w:t xml:space="preserve">Đất công nghiệp/kho bãi:</w:t>
      </w:r>
      <w:r>
        <w:rPr>
          <w:rFonts w:ascii="Times New Roman" w:hAnsi="Times New Roman" w:eastAsia="Times New Roman" w:cs="Times New Roman"/>
          <w:color w:val="0a0a0a"/>
          <w:sz w:val="24"/>
          <w:szCs w:val="24"/>
        </w:rPr>
        <w:t xml:space="preserve"> Dọc các trục đường lớn và gần Nội Bài. </w:t>
      </w:r>
      <w:r>
        <w:rPr>
          <w:rFonts w:ascii="Times New Roman" w:hAnsi="Times New Roman" w:cs="Times New Roman"/>
          <w:szCs w:val="24"/>
        </w:rPr>
      </w:r>
      <w:r>
        <w:rPr>
          <w:rFonts w:ascii="Times New Roman" w:hAnsi="Times New Roman" w:cs="Times New Roman"/>
          <w:szCs w:val="24"/>
        </w:rP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0" w:left="0"/>
        <w:rPr>
          <w:rFonts w:ascii="Times New Roman" w:hAnsi="Times New Roman" w:cs="Times New Roman"/>
          <w:szCs w:val="24"/>
        </w:rPr>
      </w:pPr>
      <w:r>
        <w:rPr>
          <w:rFonts w:ascii="Times New Roman" w:hAnsi="Times New Roman" w:eastAsia="Times New Roman" w:cs="Times New Roman"/>
          <w:b/>
          <w:color w:val="0a0a0a"/>
          <w:sz w:val="24"/>
          <w:szCs w:val="24"/>
        </w:rPr>
        <w:t xml:space="preserve">3. Tiềm năng và cơ hội đầu tư</w:t>
      </w:r>
      <w:r>
        <w:rPr>
          <w:rFonts w:ascii="Times New Roman" w:hAnsi="Times New Roman" w:cs="Times New Roman"/>
          <w:szCs w:val="24"/>
        </w:rPr>
      </w:r>
      <w:r>
        <w:rPr>
          <w:rFonts w:ascii="Times New Roman" w:hAnsi="Times New Roman" w:cs="Times New Roman"/>
          <w:szCs w:val="24"/>
        </w:rPr>
      </w:r>
    </w:p>
    <w:p>
      <w:pPr>
        <w:pStyle w:val="1035"/>
        <w:numPr>
          <w:ilvl w:val="0"/>
          <w:numId w:val="41"/>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szCs w:val="24"/>
        </w:rPr>
      </w:pPr>
      <w:r>
        <w:rPr>
          <w:rFonts w:ascii="Times New Roman" w:hAnsi="Times New Roman" w:eastAsia="Times New Roman" w:cs="Times New Roman"/>
          <w:b/>
          <w:color w:val="0a0a0a"/>
          <w:sz w:val="24"/>
          <w:szCs w:val="24"/>
        </w:rPr>
        <w:t xml:space="preserve">Quỹ đất lớn, giá hợp lý:</w:t>
      </w:r>
      <w:r>
        <w:rPr>
          <w:rFonts w:ascii="Times New Roman" w:hAnsi="Times New Roman" w:eastAsia="Times New Roman" w:cs="Times New Roman"/>
          <w:color w:val="0a0a0a"/>
          <w:sz w:val="24"/>
          <w:szCs w:val="24"/>
        </w:rPr>
        <w:t xml:space="preserve"> Diện tích lớn, mật độ dân cư thấp, dư địa tăng giá cao so với các khu vực khác.</w:t>
      </w:r>
      <w:r>
        <w:rPr>
          <w:rFonts w:ascii="Times New Roman" w:hAnsi="Times New Roman" w:cs="Times New Roman"/>
          <w:szCs w:val="24"/>
        </w:rPr>
      </w:r>
      <w:r>
        <w:rPr>
          <w:rFonts w:ascii="Times New Roman" w:hAnsi="Times New Roman" w:cs="Times New Roman"/>
          <w:szCs w:val="24"/>
        </w:rPr>
      </w:r>
    </w:p>
    <w:p>
      <w:pPr>
        <w:pStyle w:val="1035"/>
        <w:numPr>
          <w:ilvl w:val="0"/>
          <w:numId w:val="41"/>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szCs w:val="24"/>
        </w:rPr>
      </w:pPr>
      <w:r>
        <w:rPr>
          <w:rFonts w:ascii="Times New Roman" w:hAnsi="Times New Roman" w:eastAsia="Times New Roman" w:cs="Times New Roman"/>
          <w:b/>
          <w:color w:val="0a0a0a"/>
          <w:sz w:val="24"/>
          <w:szCs w:val="24"/>
        </w:rPr>
        <w:t xml:space="preserve">Hạ tầng phát triển:</w:t>
      </w:r>
      <w:r>
        <w:rPr>
          <w:rFonts w:ascii="Times New Roman" w:hAnsi="Times New Roman" w:eastAsia="Times New Roman" w:cs="Times New Roman"/>
          <w:color w:val="0a0a0a"/>
          <w:sz w:val="24"/>
          <w:szCs w:val="24"/>
        </w:rPr>
        <w:t xml:space="preserve"> Các dự án nâng cấp hạ tầng liên tục, quy hoạch sáp nhập/chia tách xã mới để phát triển tập trung.</w:t>
      </w:r>
      <w:r>
        <w:rPr>
          <w:rFonts w:ascii="Times New Roman" w:hAnsi="Times New Roman" w:cs="Times New Roman"/>
          <w:szCs w:val="24"/>
        </w:rPr>
      </w:r>
      <w:r>
        <w:rPr>
          <w:rFonts w:ascii="Times New Roman" w:hAnsi="Times New Roman" w:cs="Times New Roman"/>
          <w:szCs w:val="24"/>
        </w:rPr>
      </w:r>
    </w:p>
    <w:p>
      <w:pPr>
        <w:pStyle w:val="1035"/>
        <w:numPr>
          <w:ilvl w:val="0"/>
          <w:numId w:val="41"/>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szCs w:val="24"/>
        </w:rPr>
      </w:pPr>
      <w:r>
        <w:rPr>
          <w:rFonts w:ascii="Times New Roman" w:hAnsi="Times New Roman" w:eastAsia="Times New Roman" w:cs="Times New Roman"/>
          <w:b/>
          <w:color w:val="0a0a0a"/>
          <w:sz w:val="24"/>
          <w:szCs w:val="24"/>
        </w:rPr>
        <w:t xml:space="preserve">Du lịch sinh thái:</w:t>
      </w:r>
      <w:r>
        <w:rPr>
          <w:rFonts w:ascii="Times New Roman" w:hAnsi="Times New Roman" w:eastAsia="Times New Roman" w:cs="Times New Roman"/>
          <w:color w:val="0a0a0a"/>
          <w:sz w:val="24"/>
          <w:szCs w:val="24"/>
        </w:rPr>
        <w:t xml:space="preserve"> Là vùng đất có nhiều địa điểm tâm linh, nghỉ dưỡng nổi tiếng (Đền Sóc, Chùa Non Nước). </w:t>
      </w:r>
      <w:r>
        <w:rPr>
          <w:rFonts w:ascii="Times New Roman" w:hAnsi="Times New Roman" w:cs="Times New Roman"/>
          <w:szCs w:val="24"/>
        </w:rPr>
      </w:r>
      <w:r>
        <w:rPr>
          <w:rFonts w:ascii="Times New Roman" w:hAnsi="Times New Roman" w:cs="Times New Roman"/>
          <w:szCs w:val="24"/>
        </w:rP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0" w:left="0"/>
        <w:rPr>
          <w:rFonts w:ascii="Times New Roman" w:hAnsi="Times New Roman" w:cs="Times New Roman"/>
          <w:szCs w:val="24"/>
        </w:rPr>
      </w:pPr>
      <w:r>
        <w:rPr>
          <w:rFonts w:ascii="Times New Roman" w:hAnsi="Times New Roman" w:eastAsia="Times New Roman" w:cs="Times New Roman"/>
          <w:b/>
          <w:color w:val="0a0a0a"/>
          <w:sz w:val="24"/>
          <w:szCs w:val="24"/>
        </w:rPr>
        <w:t xml:space="preserve">4. Lưu ý khi đầu tư</w:t>
      </w:r>
      <w:r>
        <w:rPr>
          <w:rFonts w:ascii="Times New Roman" w:hAnsi="Times New Roman" w:cs="Times New Roman"/>
          <w:szCs w:val="24"/>
        </w:rPr>
      </w:r>
      <w:r>
        <w:rPr>
          <w:rFonts w:ascii="Times New Roman" w:hAnsi="Times New Roman" w:cs="Times New Roman"/>
          <w:szCs w:val="24"/>
        </w:rPr>
      </w:r>
    </w:p>
    <w:p>
      <w:pPr>
        <w:pStyle w:val="1035"/>
        <w:numPr>
          <w:ilvl w:val="0"/>
          <w:numId w:val="42"/>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szCs w:val="24"/>
        </w:rPr>
      </w:pPr>
      <w:r>
        <w:rPr>
          <w:rFonts w:ascii="Times New Roman" w:hAnsi="Times New Roman" w:eastAsia="Times New Roman" w:cs="Times New Roman"/>
          <w:b/>
          <w:color w:val="0a0a0a"/>
          <w:sz w:val="24"/>
          <w:szCs w:val="24"/>
          <w:highlight w:val="none"/>
        </w:rPr>
        <w:t xml:space="preserve">Quy hoạch:</w:t>
      </w:r>
      <w:r>
        <w:rPr>
          <w:rFonts w:ascii="Times New Roman" w:hAnsi="Times New Roman" w:eastAsia="Times New Roman" w:cs="Times New Roman"/>
          <w:color w:val="0a0a0a"/>
          <w:sz w:val="24"/>
          <w:szCs w:val="24"/>
          <w:highlight w:val="none"/>
        </w:rPr>
        <w:t xml:space="preserve"> Cần kiểm tra kỹ quy hoạch đất ở, đất nông nghiệp hay rừng đặc dụng.</w:t>
      </w:r>
      <w:r>
        <w:rPr>
          <w:rFonts w:ascii="Times New Roman" w:hAnsi="Times New Roman" w:cs="Times New Roman"/>
          <w:szCs w:val="24"/>
        </w:rPr>
      </w:r>
      <w:r>
        <w:rPr>
          <w:rFonts w:ascii="Times New Roman" w:hAnsi="Times New Roman" w:cs="Times New Roman"/>
          <w:szCs w:val="24"/>
        </w:rPr>
      </w:r>
    </w:p>
    <w:p>
      <w:pPr>
        <w:pStyle w:val="1035"/>
        <w:numPr>
          <w:ilvl w:val="0"/>
          <w:numId w:val="42"/>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szCs w:val="24"/>
        </w:rPr>
      </w:pPr>
      <w:r>
        <w:rPr>
          <w:rFonts w:ascii="Times New Roman" w:hAnsi="Times New Roman" w:eastAsia="Times New Roman" w:cs="Times New Roman"/>
          <w:b/>
          <w:color w:val="0a0a0a"/>
          <w:sz w:val="24"/>
          <w:szCs w:val="24"/>
          <w:highlight w:val="none"/>
        </w:rPr>
        <w:t xml:space="preserve">Pháp lý:</w:t>
      </w:r>
      <w:r>
        <w:rPr>
          <w:rFonts w:ascii="Times New Roman" w:hAnsi="Times New Roman" w:eastAsia="Times New Roman" w:cs="Times New Roman"/>
          <w:color w:val="0a0a0a"/>
          <w:sz w:val="24"/>
          <w:szCs w:val="24"/>
          <w:highlight w:val="none"/>
        </w:rPr>
        <w:t xml:space="preserve"> Ưu tiên đất có sổ đỏ, rõ ràng.</w:t>
      </w:r>
      <w:r>
        <w:rPr>
          <w:rFonts w:ascii="Times New Roman" w:hAnsi="Times New Roman" w:cs="Times New Roman"/>
          <w:szCs w:val="24"/>
        </w:rPr>
      </w:r>
      <w:r>
        <w:rPr>
          <w:rFonts w:ascii="Times New Roman" w:hAnsi="Times New Roman" w:cs="Times New Roman"/>
          <w:szCs w:val="24"/>
        </w:rPr>
      </w:r>
    </w:p>
    <w:p>
      <w:pPr>
        <w:pStyle w:val="1035"/>
        <w:numPr>
          <w:ilvl w:val="0"/>
          <w:numId w:val="42"/>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szCs w:val="24"/>
        </w:rPr>
      </w:pPr>
      <w:r>
        <w:rPr>
          <w:rFonts w:ascii="Times New Roman" w:hAnsi="Times New Roman" w:eastAsia="Times New Roman" w:cs="Times New Roman"/>
          <w:b/>
          <w:color w:val="0a0a0a"/>
          <w:sz w:val="24"/>
          <w:szCs w:val="24"/>
          <w:highlight w:val="none"/>
        </w:rPr>
        <w:t xml:space="preserve">Loại hình:</w:t>
      </w:r>
      <w:r>
        <w:rPr>
          <w:rFonts w:ascii="Times New Roman" w:hAnsi="Times New Roman" w:eastAsia="Times New Roman" w:cs="Times New Roman"/>
          <w:color w:val="0a0a0a"/>
          <w:sz w:val="24"/>
          <w:szCs w:val="24"/>
          <w:highlight w:val="none"/>
        </w:rPr>
        <w:t xml:space="preserve"> Đất nền vẫn là phân khúc thanh khoản tốt, trong khi BĐS nghỉ dưỡng cần tính toán kỹ dòng tiền vận hành.</w:t>
      </w:r>
      <w:r>
        <w:rPr>
          <w:rFonts w:ascii="Times New Roman" w:hAnsi="Times New Roman" w:eastAsia="Times New Roman" w:cs="Times New Roman"/>
          <w:color w:val="0a0a0a"/>
          <w:sz w:val="24"/>
          <w:szCs w:val="24"/>
        </w:rPr>
        <w:t xml:space="preserve"> </w:t>
      </w:r>
      <w:r>
        <w:rPr>
          <w:rFonts w:ascii="Times New Roman" w:hAnsi="Times New Roman" w:cs="Times New Roman"/>
          <w:szCs w:val="24"/>
        </w:rPr>
      </w:r>
      <w:r>
        <w:rPr>
          <w:rFonts w:ascii="Times New Roman" w:hAnsi="Times New Roman" w:cs="Times New Roman"/>
          <w:szCs w:val="24"/>
        </w:rPr>
      </w:r>
    </w:p>
    <w:p>
      <w:pPr>
        <w:pStyle w:val="103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6"/>
        <w:gridCol w:w="2321"/>
        <w:gridCol w:w="2041"/>
        <w:gridCol w:w="2361"/>
        <w:gridCol w:w="2815"/>
      </w:tblGrid>
      <w:tr>
        <w:trPr>
          <w:trHeight w:val="220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 Quyền sử dụng đất tại thửa đất số: 22, tờ bản đồ số: 69, có địa chỉ: Thôn Thái Lai, xã Minh Trí, huyện Sóc Sơn (nay là xã Kim Anh), thành phố Hà Nội theo Giấy chứng nhận quyền sử dụng đất, quyền sở hữu nhà ở và tài sản khác gắn liền với đất  số: DI 846839</w:t>
            </w:r>
            <w:r>
              <w:rPr>
                <w:rFonts w:ascii="Times New Roman" w:hAnsi="Times New Roman" w:eastAsia="Times New Roman" w:cs="Times New Roman"/>
                <w:b/>
                <w:color w:val="000000"/>
                <w:sz w:val="24"/>
              </w:rPr>
              <w:t xml:space="preserve">, Số vào sổ cấp GCN: CS-SS27601 do Sở tài nguyên và Môi trường thành phố Hà Nội cấp ngày 13/01/2023; chủ sử dụng đất là Ông Phạm Văn Đức và Bà Trần Thị Thanh Liễu</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Thửa đất:</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22</w:t>
            </w: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69</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72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 Thái Lai, xã Minh Trí, huyện Sóc Sơn (nay là xã Kim Anh), thành phố Hà Nội</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289,90</w:t>
            </w: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Sử dụng riêng</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color w:val="000000"/>
                <w:sz w:val="24"/>
                <w:szCs w:val="24"/>
              </w:rPr>
              <w:t xml:space="preserve">Đất ở tại nông thôn</w:t>
            </w:r>
            <w:r>
              <w:rPr>
                <w:sz w:val="24"/>
                <w:szCs w:val="24"/>
              </w:rPr>
            </w:r>
            <w:r>
              <w:rPr>
                <w:sz w:val="24"/>
                <w:szCs w:val="24"/>
              </w:rP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lâu dài</w:t>
            </w:r>
            <w:r/>
          </w:p>
        </w:tc>
      </w:tr>
      <w:tr>
        <w:trPr>
          <w:trHeight w:val="8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72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Nhận chuyển nhượng đất, được Công nhận QSDĐ như giao đất có thu tiền sử dụng đất</w:t>
            </w:r>
            <w:r/>
          </w:p>
        </w:tc>
      </w:tr>
      <w:tr>
        <w:trPr>
          <w:trHeight w:val="42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Ghi chú:</w:t>
            </w:r>
            <w:r/>
          </w:p>
        </w:tc>
      </w:tr>
      <w:tr>
        <w:trPr>
          <w:trHeight w:val="97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tờ, số thửa được xác định theo bản đồ đo đạc dự án tổng thể.</w:t>
            </w:r>
            <w:r/>
          </w:p>
        </w:tc>
      </w:tr>
      <w:tr>
        <w:trPr>
          <w:trHeight w:val="40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GCN này được cấp đổi từ GCN số BĐ 463337, số vào sổ CH 00406 do UBND huyện Sóc Sơn cấp ngày 28/01/2011 tại thửa đất số 02b, tờ bản đồ số 03./.</w:t>
            </w:r>
            <w:r/>
          </w:p>
        </w:tc>
      </w:tr>
      <w:tr>
        <w:trPr>
          <w:trHeight w:val="36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Thông tin quy hoạch:</w:t>
            </w:r>
            <w:r/>
          </w:p>
        </w:tc>
      </w:tr>
      <w:tr>
        <w:trPr>
          <w:trHeight w:val="117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Tại thời điểm thẩm định, theo văn bản cung cấp thông tin về thửa đất số 22, tờ bản đồ số 69 thôn Thái Lai, xã Kim Anh, thành phố Hà Nội số 166/KT cấp cho Ông Phạm Văn Đức, thửa đất trên chưa có Thông báo hay Quyết định thu hồi đất, thu hồi GCN đã cấp</w:t>
            </w:r>
            <w:commentRangeStart w:id="0"/>
            <w:r/>
            <w:commentRangeEnd w:id="0"/>
            <w:r>
              <w:commentReference w:id="0"/>
            </w:r>
            <w:r>
              <w:rPr>
                <w:rFonts w:ascii="Times New Roman" w:hAnsi="Times New Roman" w:eastAsia="Times New Roman" w:cs="Times New Roman"/>
                <w:color w:val="000000"/>
                <w:sz w:val="24"/>
              </w:rPr>
            </w:r>
            <w:r/>
          </w:p>
        </w:tc>
      </w:tr>
      <w:tr>
        <w:trPr>
          <w:trHeight w:val="117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vMerge w:val="restart"/>
            <w:textDirection w:val="lrTb"/>
            <w:noWrap w:val="false"/>
          </w:tcPr>
          <w:p>
            <w:pPr>
              <w:pBdr/>
              <w:spacing w:after="0" w:before="0" w:line="240" w:lineRule="auto"/>
              <w:ind/>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mc:AlternateContent>
                <mc:Choice Requires="wpg">
                  <w:drawing>
                    <wp:inline xmlns:wp="http://schemas.openxmlformats.org/drawingml/2006/wordprocessingDrawing" distT="0" distB="0" distL="0" distR="0">
                      <wp:extent cx="6048375" cy="806450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766084" name=""/>
                              <pic:cNvPicPr>
                                <a:picLocks noChangeAspect="1"/>
                              </pic:cNvPicPr>
                              <pic:nvPr/>
                            </pic:nvPicPr>
                            <pic:blipFill rotWithShape="1">
                              <a:blip r:embed="rId17"/>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635.00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63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649"/>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 thực tế: </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72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107 đường Thái Lai, thôn Thái Lai, xã Kim Anh, thành phố Hà Nội</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Thái Lai</w:t>
            </w:r>
            <w:r/>
          </w:p>
        </w:tc>
        <w:tc>
          <w:tcPr>
            <w:tcBorders>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 mặt tiền</w:t>
            </w:r>
            <w:r/>
          </w:p>
        </w:tc>
      </w:tr>
      <w:tr>
        <w:trPr>
          <w:trHeight w:val="1470"/>
        </w:trPr>
        <w:tc>
          <w:tcPr>
            <w:tcBorders>
              <w:left w:val="single" w:color="000000" w:sz="6" w:space="0"/>
              <w:bottom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nhựa 7,5m + vỉa hè mỗi bên 2,5m</w:t>
            </w:r>
            <w:r/>
          </w:p>
        </w:tc>
        <w:tc>
          <w:tcPr>
            <w:tcBorders>
              <w:top w:val="single" w:color="000000" w:sz="6" w:space="0"/>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nhựa 7,5m + vỉa hè mỗi bên 2,5m</w:t>
            </w:r>
            <w:r/>
          </w:p>
        </w:tc>
      </w:tr>
      <w:tr>
        <w:trPr>
          <w:trHeight w:val="93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72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Tiếp giáp đường Thái Lai</w:t>
            </w:r>
            <w:r/>
          </w:p>
        </w:tc>
      </w:tr>
      <w:tr>
        <w:trPr>
          <w:trHeight w:val="106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72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 Đông Nam tiếp giáp với đường giao thông;</w:t>
              <w:br/>
              <w:t xml:space="preserve">Các hướng còn lại: tiếp giáp với thửa đất khác.</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trên bản đồ vệ tinh:</w:t>
            </w: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6048375" cy="273407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597268" name=""/>
                              <pic:cNvPicPr>
                                <a:picLocks noChangeAspect="1"/>
                              </pic:cNvPicPr>
                              <pic:nvPr/>
                            </pic:nvPicPr>
                            <pic:blipFill rotWithShape="1">
                              <a:blip r:embed="rId18"/>
                              <a:stretch/>
                            </pic:blipFill>
                            <pic:spPr bwMode="auto">
                              <a:xfrm>
                                <a:off x="0" y="0"/>
                                <a:ext cx="6048374" cy="27340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76.25pt;height:215.28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eastAsia="Times New Roman" w:cs="Times New Roman"/>
                <w:color w:val="000000"/>
                <w:sz w:val="24"/>
              </w:rPr>
            </w:r>
            <w:r/>
          </w:p>
        </w:tc>
      </w:tr>
      <w:tr>
        <w:trPr>
          <w:trHeight w:val="45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289,90</w:t>
            </w:r>
            <w:r/>
          </w:p>
        </w:tc>
        <w:tc>
          <w:tcPr>
            <w:shd w:val="clear" w:color="ffffff" w:fill="ffffff"/>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0,00</w:t>
            </w:r>
            <w:r/>
          </w:p>
        </w:tc>
      </w:tr>
      <w:tr>
        <w:trPr>
          <w:trHeight w:val="91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9,90</w:t>
            </w:r>
            <w:r/>
          </w:p>
        </w:tc>
        <w:tc>
          <w:tcPr>
            <w:shd w:val="clear" w:color="ffffff" w:fill="ffffff"/>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29,85</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chữ nhật</w:t>
            </w:r>
            <w:r/>
          </w:p>
        </w:tc>
        <w:tc>
          <w:tcPr>
            <w:shd w:val="clear" w:color="ffffff" w:fill="ffffff"/>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Đông Nam</w:t>
            </w:r>
            <w:r/>
          </w:p>
        </w:tc>
      </w:tr>
      <w:tr>
        <w:trPr>
          <w:trHeight w:val="61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499"/>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Đông đúc</w:t>
            </w: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Ổn định</w:t>
            </w:r>
            <w:r/>
          </w:p>
        </w:tc>
      </w:tr>
      <w:tr>
        <w:trPr>
          <w:trHeight w:val="90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Tốt</w:t>
            </w: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Tốt </w:t>
            </w:r>
            <w:r/>
          </w:p>
        </w:tc>
      </w:tr>
      <w:tr>
        <w:trPr>
          <w:trHeight w:val="1467"/>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Tốt </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 Tài sản gắn liền với đất: </w:t>
            </w:r>
            <w:r/>
          </w:p>
        </w:tc>
      </w:tr>
      <w:tr>
        <w:trPr>
          <w:trHeight w:val="5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Tại thời điểm khảo sát, dưới sự hướng dẫn của chủ tài sản, trên đất có CTXD Nhà cấp 4 lợp tôn, diện tích xây dựng khoảng 100m2. Công trình chưa được công nhận trên GCN QSDĐ số: DI 846839</w:t>
            </w: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numPr>
          <w:ilvl w:val="0"/>
          <w:numId w:val="43"/>
        </w:numPr>
        <w:pBdr>
          <w:top w:val="none" w:color="000000" w:sz="4" w:space="0"/>
          <w:left w:val="none" w:color="000000" w:sz="4" w:space="0"/>
          <w:bottom w:val="none" w:color="000000" w:sz="4" w:space="0"/>
          <w:right w:val="none" w:color="000000" w:sz="4" w:space="0"/>
        </w:pBdr>
        <w:spacing/>
        <w:ind w:right="0" w:hanging="425" w:left="425"/>
        <w:jc w:val="both"/>
        <w:rPr/>
      </w:pPr>
      <w:r>
        <w:rPr>
          <w:rFonts w:ascii="Times New Roman" w:hAnsi="Times New Roman" w:eastAsia="Times New Roman" w:cs="Times New Roman"/>
          <w:color w:val="000000"/>
          <w:spacing w:val="2"/>
          <w:sz w:val="24"/>
        </w:rPr>
      </w:r>
      <w:r>
        <w:rPr>
          <w:rFonts w:ascii="Times New Roman" w:hAnsi="Times New Roman" w:eastAsia="Times New Roman" w:cs="Times New Roman"/>
          <w:color w:val="000000"/>
          <w:spacing w:val="2"/>
          <w:sz w:val="24"/>
        </w:rPr>
        <w:t xml:space="preserve">Tại thời điểm khảo sát, dưới sự hướng dẫn của chủ tài sản, trên đất có CTXD Nhà cấp 4 lợp tôn, diện tích xây dựng khoảng 100m2. Công trình chưa được công nhận trên GCN QSDĐ số: DI 846839</w:t>
      </w:r>
      <w:r>
        <w:rPr>
          <w:rFonts w:ascii="Times New Roman" w:hAnsi="Times New Roman" w:eastAsia="Times New Roman" w:cs="Times New Roman"/>
          <w:color w:val="000000"/>
          <w:spacing w:val="2"/>
          <w:sz w:val="24"/>
        </w:rPr>
        <w:t xml:space="preserve">. Đồng thời tổ thẩm định cũng không nhận được bất kỳ hồ sơ pháp lý nào liên quan tới công trình xây dựng thực tế này. Do vậy, theo đề nghị của Khách hàng/Ngân hàng, tổ thẩm định không xác</w:t>
      </w:r>
      <w:r>
        <w:rPr>
          <w:rFonts w:ascii="Times New Roman" w:hAnsi="Times New Roman" w:eastAsia="Times New Roman" w:cs="Times New Roman"/>
          <w:color w:val="000000"/>
          <w:spacing w:val="2"/>
          <w:sz w:val="24"/>
        </w:rPr>
        <w:t xml:space="preserve"> định giá trị công trình nhưng vẫn coi đó là phần không thể tách rời của tài sản thẩm định.</w:t>
      </w:r>
      <w:r>
        <w:rPr>
          <w:rFonts w:ascii="Times New Roman" w:hAnsi="Times New Roman" w:eastAsia="Times New Roman" w:cs="Times New Roman"/>
          <w:sz w:val="24"/>
        </w:rPr>
      </w:r>
      <w:r/>
    </w:p>
    <w:p>
      <w:pPr>
        <w:pStyle w:val="103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3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Kim Anh,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Kim Anh,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Kim Anh,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Kim Anh, Thành phố Hà Nội</w:t>
            </w:r>
            <w:r>
              <w:rPr>
                <w:sz w:val="22"/>
                <w:szCs w:val="22"/>
              </w:rPr>
            </w:r>
            <w:r>
              <w:rPr>
                <w:sz w:val="22"/>
                <w:szCs w:val="22"/>
              </w:rPr>
            </w:r>
          </w:p>
        </w:tc>
      </w:tr>
      <w:tr>
        <w:trPr>
          <w:trHeight w:val="90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0866102829</w:t>
            </w:r>
            <w:r>
              <w:rPr>
                <w:sz w:val="22"/>
                <w:szCs w:val="22"/>
              </w:rPr>
              <w:t xml:space="preserve"> </w:t>
            </w:r>
            <w:r>
              <w:rPr>
                <w:sz w:val="22"/>
                <w:szCs w:val="22"/>
              </w:rPr>
              <w:br/>
              <w:t xml:space="preserve">(</w:t>
            </w:r>
            <w:r>
              <w:rPr>
                <w:sz w:val="22"/>
                <w:szCs w:val="22"/>
              </w:rPr>
              <w:t xml:space="preserve">Dam Land</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0357204512</w:t>
            </w:r>
            <w:r>
              <w:rPr>
                <w:sz w:val="22"/>
                <w:szCs w:val="22"/>
              </w:rPr>
              <w:br/>
            </w:r>
            <w:r>
              <w:rPr>
                <w:sz w:val="22"/>
                <w:szCs w:val="22"/>
              </w:rPr>
              <w:t xml:space="preserve">(</w:t>
            </w:r>
            <w:r>
              <w:rPr>
                <w:sz w:val="22"/>
                <w:szCs w:val="22"/>
              </w:rPr>
              <w:t xml:space="preserve">Khuyên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0977764788</w:t>
            </w:r>
            <w:r>
              <w:rPr>
                <w:sz w:val="22"/>
                <w:szCs w:val="22"/>
              </w:rPr>
              <w:br/>
            </w:r>
            <w:r>
              <w:rPr>
                <w:sz w:val="22"/>
                <w:szCs w:val="22"/>
              </w:rPr>
              <w:t xml:space="preserve">(</w:t>
            </w:r>
            <w:r>
              <w:rPr>
                <w:sz w:val="22"/>
                <w:szCs w:val="22"/>
              </w:rPr>
              <w:t xml:space="preserve">Vinh Quang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Xã Kim Anh, Thành phố Hà Nội</w:t>
            </w:r>
            <w:r>
              <w:rPr>
                <w:color w:val="000000" w:themeColor="text1"/>
                <w:sz w:val="22"/>
                <w:szCs w:val="22"/>
              </w:rPr>
              <w:t xml:space="preserve">, tiếp giáp đường Thái Lai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Xã Kim Anh, Thành phố Hà Nội</w:t>
            </w:r>
            <w:r>
              <w:rPr>
                <w:color w:val="000000" w:themeColor="text1"/>
                <w:sz w:val="22"/>
                <w:szCs w:val="22"/>
              </w:rPr>
              <w:t xml:space="preserve">, tiếp giáp đường Thái Lai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Xã Kim Anh, Thành phố Hà Nội</w:t>
            </w:r>
            <w:r>
              <w:rPr>
                <w:color w:val="000000" w:themeColor="text1"/>
                <w:sz w:val="22"/>
                <w:szCs w:val="22"/>
              </w:rPr>
              <w:t xml:space="preserve">, tiếp giáp đường Thái Lai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Xã Kim Anh, Thành phố Hà Nội</w:t>
            </w:r>
            <w:r>
              <w:rPr>
                <w:color w:val="000000" w:themeColor="text1"/>
                <w:sz w:val="22"/>
                <w:szCs w:val="22"/>
              </w:rPr>
              <w:t xml:space="preserve">, khoảng cách ra đường chính Tiếp giáp trục chính khoảng 170m</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289,9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29,28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3.685.000.000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3.472.000.000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3.316.500.000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2.777.600.000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3.316.500.000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2.777.600.000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30.150.000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31.428.571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24.800.000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3.316.500.000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4.400.000.000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2.777.600.000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30.150.000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31.428.571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24.800.000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30.150.000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31.428.571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30.150.000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31.428.571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30.150.000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31.428.571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Xã Kim Anh, Thành phố Hà Nội</w:t>
            </w:r>
            <w:r>
              <w:rPr>
                <w:color w:val="000000" w:themeColor="text1"/>
                <w:sz w:val="22"/>
                <w:szCs w:val="22"/>
              </w:rPr>
              <w:t xml:space="preserve">, tiếp giáp đường Thái Lai</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Xã Kim Anh, Thành phố Hà Nội</w:t>
            </w:r>
            <w:r>
              <w:rPr>
                <w:color w:val="000000" w:themeColor="text1"/>
                <w:sz w:val="22"/>
                <w:szCs w:val="22"/>
              </w:rPr>
              <w:t xml:space="preserve">, tiếp giáp đường Thái Lai</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Xã Kim Anh, Thành phố Hà Nội</w:t>
            </w:r>
            <w:r>
              <w:rPr>
                <w:color w:val="000000" w:themeColor="text1"/>
                <w:sz w:val="22"/>
                <w:szCs w:val="22"/>
              </w:rPr>
              <w:t xml:space="preserve">, tiếp giáp đường Thái Lai</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Xã Kim Anh, Thành phố Hà Nội</w:t>
            </w:r>
            <w:r>
              <w:rPr>
                <w:color w:val="000000" w:themeColor="text1"/>
                <w:sz w:val="22"/>
                <w:szCs w:val="22"/>
              </w:rPr>
              <w:t xml:space="preserve">, khoảng cách ra đường chính Tiếp giáp trục chính khoảng 170m</w:t>
            </w:r>
            <w:r>
              <w:rPr>
                <w:sz w:val="22"/>
                <w:szCs w:val="22"/>
              </w:rPr>
            </w:r>
            <w:r>
              <w:rPr>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1.240.000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30.150.000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31.428.571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26.040.000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744.000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30.150.000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31.428.571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26.784.000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30.150.000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31.428.571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26.784.000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289,9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-4.522.500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-4.714.286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-3.720.000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25.627.500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26.714.285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23.064.000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1.507.500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1.571.429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1.240.000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27.135.000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28.285.714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24.304.000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29,28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21,65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22,4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-1.507.500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-1.240.000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25.627.500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28.285.714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23.064.000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-3.015.000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22.612.500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28.285.714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23.064.000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22.612.500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28.285.714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23.064.000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1.240.000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22.612.500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28.285.714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24.304.000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22.612.500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28.285.714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24.304.000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25.067.405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-9,79%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12,84%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10.552.500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6.285.715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9.424.000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7.537.500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3.142.857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496.000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-9,79</w:t>
      </w:r>
      <w:r>
        <w:t xml:space="preserve">% </w:t>
      </w:r>
      <w:r>
        <w:t xml:space="preserve">đến</w:t>
      </w:r>
      <w:r>
        <w:t xml:space="preserve"> </w:t>
      </w:r>
      <w:r>
        <w:t xml:space="preserve"> </w:t>
      </w:r>
      <w:r>
        <w:t xml:space="preserve">12,84</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22.612.500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7.539.008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28.285.714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9.427.628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24.304.000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8.100.523</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25.067.159</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25.000.000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25.000.000</w:t>
      </w:r>
      <w:r>
        <w:rPr>
          <w:b/>
          <w:bCs/>
          <w:color w:val="000000" w:themeColor="text1"/>
        </w:rPr>
        <w:t xml:space="preserve"> </w:t>
      </w:r>
      <w:r>
        <w:rPr>
          <w:b/>
          <w:bCs/>
        </w:rPr>
        <w:t xml:space="preserve">đồng</w:t>
      </w:r>
      <w:r>
        <w:rPr>
          <w:b/>
          <w:bCs/>
        </w:rPr>
        <w:t xml:space="preserve">/m².</w:t>
      </w:r>
      <w:r>
        <w:rPr>
          <w:b/>
          <w:bCs/>
        </w:rPr>
      </w:r>
      <w:r>
        <w:rPr>
          <w:b/>
          <w:bCs/>
        </w:rPr>
      </w:r>
    </w:p>
    <w:p>
      <w:pPr>
        <w:pStyle w:val="103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2"/>
        <w:gridCol w:w="2090"/>
        <w:gridCol w:w="1869"/>
        <w:gridCol w:w="264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90"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69"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646"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22, tờ bản đồ số: 69, có địa chỉ: Thôn Thái Lai, xã Minh Trí, huyện Sóc Sơn (nay là xã Kim Anh), thành phố Hà Nội theo Giấy ch</w:t>
            </w:r>
            <w:r>
              <w:rPr>
                <w:color w:val="000000"/>
              </w:rPr>
              <w:t xml:space="preserve">ứng nhận quyền sử dụng đất, quyền sở hữu nhà ở và tài sản khác gắn liền với đất  số: DI 846839, Số vào sổ cấp GCN: CS-SS27601 do Sở tài nguyên và Môi trường thành phố Hà Nội cấp ngày 13/01/2023; chủ sử dụng đất là Ông Phạm Văn Đức và Bà Trần Thị Thanh Liễu</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090" w:type="dxa"/>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1869" w:type="dxa"/>
            <w:vAlign w:val="center"/>
            <w:textDirection w:val="lrTb"/>
            <w:noWrap/>
          </w:tcPr>
          <w:p>
            <w:pPr>
              <w:pBdr/>
              <w:spacing w:after="40" w:before="40" w:line="288" w:lineRule="auto"/>
              <w:ind/>
              <w:jc w:val="center"/>
              <w:rPr>
                <w:color w:val="000000"/>
              </w:rPr>
            </w:pPr>
            <w:r>
              <w:rPr>
                <w:color w:val="000000" w:themeColor="text1"/>
              </w:rPr>
              <w:t xml:space="preserve">289,9</w:t>
            </w:r>
            <w:r>
              <w:rPr>
                <w:color w:val="000000"/>
              </w:rPr>
            </w:r>
            <w:r>
              <w:rPr>
                <w:color w:val="000000"/>
              </w:rPr>
            </w:r>
          </w:p>
        </w:tc>
        <w:tc>
          <w:tcPr>
            <w:shd w:val="clear" w:color="000000" w:fill="ffffff"/>
            <w:tcBorders/>
            <w:tcW w:w="2646" w:type="dxa"/>
            <w:vAlign w:val="center"/>
            <w:textDirection w:val="lrTb"/>
            <w:noWrap w:val="false"/>
          </w:tcPr>
          <w:p>
            <w:pPr>
              <w:pBdr/>
              <w:spacing w:after="40" w:before="40" w:line="288" w:lineRule="auto"/>
              <w:ind/>
              <w:jc w:val="center"/>
              <w:rPr/>
            </w:pPr>
            <w:r>
              <w:rPr>
                <w:color w:val="000000" w:themeColor="text1"/>
              </w:rPr>
              <w:t xml:space="preserve">25.000.000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7.247.500.000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rPr>
              <w:t xml:space="preserve">7.247.500.000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Bảy tỷ hai trăm bốn mươi bảy triệu năm trăm nghìn đồng</w:t>
            </w:r>
            <w:r>
              <w:rPr>
                <w:b/>
                <w:bCs/>
                <w:i/>
                <w:iCs/>
                <w:color w:val="000000"/>
              </w:rPr>
              <w:t xml:space="preserve">./.)</w:t>
            </w:r>
            <w:r>
              <w:rPr>
                <w:b/>
                <w:bCs/>
                <w:i/>
                <w:iCs/>
                <w:color w:val="000000"/>
              </w:rPr>
            </w:r>
            <w:r>
              <w:rPr>
                <w:b/>
                <w:bCs/>
                <w:i/>
                <w:iCs/>
                <w:color w:val="000000"/>
              </w:rPr>
            </w:r>
          </w:p>
        </w:tc>
      </w:tr>
    </w:tbl>
    <w:p>
      <w:pPr>
        <w:pStyle w:val="103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5"/>
        <w:pBdr/>
        <w:tabs>
          <w:tab w:val="left" w:leader="none" w:pos="993"/>
        </w:tabs>
        <w:spacing w:after="120" w:before="120" w:line="288" w:lineRule="auto"/>
        <w:ind w:left="0"/>
        <w:jc w:val="both"/>
        <w:rPr>
          <w:highlight w:val="none"/>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highlight w:val="none"/>
          <w:lang w:val="pt-BR"/>
        </w:rPr>
      </w:r>
    </w:p>
    <w:p>
      <w:pPr>
        <w:pBdr/>
        <w:shd w:val="nil" w:color="auto"/>
        <w:spacing/>
        <w:ind/>
        <w:rPr>
          <w:lang w:val="pt-BR"/>
        </w:rPr>
      </w:pPr>
      <w:r>
        <w:rPr>
          <w:lang w:val="pt-BR"/>
        </w:rPr>
        <w:br w:type="page" w:clear="all"/>
      </w:r>
      <w:r>
        <w:rPr>
          <w:lang w:val="pt-BR"/>
        </w:rPr>
      </w:r>
      <w:r>
        <w:rPr>
          <w:lang w:val="pt-BR"/>
        </w:rPr>
      </w:r>
    </w:p>
    <w:p>
      <w:pPr>
        <w:pStyle w:val="103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275/2026/0468/VFI-CT.44.A</w:t>
      </w:r>
      <w:r>
        <w:rPr>
          <w:color w:val="ff0000"/>
          <w:lang w:val="vi-VN"/>
        </w:rPr>
        <w:t xml:space="preserve"> </w:t>
      </w:r>
      <w:r>
        <w:rPr>
          <w:color w:val="000000" w:themeColor="text1"/>
        </w:rPr>
        <w:t xml:space="preserve">ngày 25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275/2026/0468/VFI-BC.44.A</w:t>
      </w:r>
      <w:r>
        <w:rPr>
          <w:i/>
          <w:lang w:val="pt-BR"/>
        </w:rPr>
        <w:t xml:space="preserve"> </w:t>
      </w:r>
      <w:r>
        <w:rPr>
          <w:i/>
          <w:lang w:val="pt-BR"/>
        </w:rPr>
        <w:t xml:space="preserve">ngày 25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23"/>
        <w:gridCol w:w="4902"/>
      </w:tblGrid>
      <w:tr>
        <w:trPr/>
        <w:tc>
          <w:tcPr>
            <w:tcBorders/>
            <w:tcW w:w="4623" w:type="dxa"/>
            <w:vAlign w:val="center"/>
            <w:textDirection w:val="lrTb"/>
            <w:noWrap w:val="false"/>
          </w:tcPr>
          <w:p>
            <w:pPr>
              <w:pBdr/>
              <w:spacing w:after="120"/>
              <w:ind/>
              <w:jc w:val="center"/>
              <w:rPr>
                <w:b/>
                <w:bCs/>
                <w:i/>
                <w:lang w:val="pt-BR"/>
              </w:rPr>
            </w:pPr>
            <w:r>
              <w:rPr>
                <w:b/>
                <w:bCs/>
                <w:i/>
                <w:lang w:val="pt-BR"/>
              </w:rPr>
            </w:r>
            <w:r>
              <w:rPr>
                <w:b/>
                <w:bCs/>
                <w:i/>
                <w:lang w:val="pt-BR"/>
              </w:rPr>
            </w:r>
            <w:r>
              <w:rPr>
                <w:b/>
                <w:bCs/>
                <w:i/>
                <w:lang w:val="pt-BR"/>
              </w:rPr>
            </w:r>
          </w:p>
        </w:tc>
        <w:tc>
          <w:tcPr>
            <w:tcBorders/>
            <w:tcW w:w="4902" w:type="dxa"/>
            <w:vAlign w:val="center"/>
            <w:textDirection w:val="lrTb"/>
            <w:noWrap w:val="false"/>
          </w:tcPr>
          <w:p>
            <w:pPr>
              <w:pBdr/>
              <w:spacing w:after="120"/>
              <w:ind/>
              <w:jc w:val="center"/>
              <w:rPr>
                <w:b/>
                <w:bCs/>
                <w:i/>
                <w:lang w:val="pt-BR"/>
              </w:rPr>
            </w:pPr>
            <w:r>
              <w:rPr>
                <w:b/>
                <w:bCs/>
                <w:i/>
                <w:lang w:val="pt-BR"/>
              </w:rPr>
            </w:r>
            <w:r>
              <w:rPr>
                <w:b/>
                <w:bCs/>
                <w:i/>
                <w:lang w:val="pt-BR"/>
              </w:rPr>
            </w:r>
            <w:r>
              <w:rPr>
                <w:b/>
                <w:bCs/>
                <w:i/>
                <w:lang w:val="pt-BR"/>
              </w:rPr>
            </w:r>
          </w:p>
        </w:tc>
      </w:tr>
      <w:tr>
        <w:trPr/>
        <w:tc>
          <w:tcPr>
            <w:tcBorders/>
            <w:tcW w:w="4623"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74111" cy="2230583"/>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155299" name=""/>
                              <pic:cNvPicPr>
                                <a:picLocks noChangeAspect="1"/>
                              </pic:cNvPicPr>
                              <pic:nvPr/>
                            </pic:nvPicPr>
                            <pic:blipFill rotWithShape="1">
                              <a:blip r:embed="rId19"/>
                              <a:stretch/>
                            </pic:blipFill>
                            <pic:spPr bwMode="auto">
                              <a:xfrm flipH="0" flipV="0">
                                <a:off x="0" y="0"/>
                                <a:ext cx="2974111" cy="22305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4.18pt;height:175.64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902"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40338" cy="235525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649120" name=""/>
                              <pic:cNvPicPr>
                                <a:picLocks noChangeAspect="1"/>
                              </pic:cNvPicPr>
                              <pic:nvPr/>
                            </pic:nvPicPr>
                            <pic:blipFill rotWithShape="1">
                              <a:blip r:embed="rId20"/>
                              <a:stretch/>
                            </pic:blipFill>
                            <pic:spPr bwMode="auto">
                              <a:xfrm flipH="0" flipV="0">
                                <a:off x="0" y="0"/>
                                <a:ext cx="3140337" cy="23552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47.27pt;height:185.4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623" w:type="dxa"/>
            <w:vAlign w:val="center"/>
            <w:textDirection w:val="lrTb"/>
            <w:noWrap w:val="false"/>
          </w:tcPr>
          <w:p>
            <w:pPr>
              <w:pBdr/>
              <w:spacing w:after="120"/>
              <w:ind/>
              <w:jc w:val="center"/>
              <w:rPr>
                <w:b/>
                <w:bCs/>
                <w:i/>
                <w:lang w:val="pt-BR"/>
              </w:rPr>
            </w:pPr>
            <w:r>
              <w:rPr>
                <w:b/>
                <w:bCs/>
                <w:i/>
                <w:lang w:val="pt-BR"/>
              </w:rPr>
            </w:r>
            <w:r>
              <w:rPr>
                <w:b/>
                <w:bCs/>
                <w:i/>
                <w:lang w:val="pt-BR"/>
              </w:rPr>
            </w:r>
            <w:r>
              <w:rPr>
                <w:b/>
                <w:bCs/>
                <w:i/>
                <w:lang w:val="pt-BR"/>
              </w:rPr>
            </w:r>
          </w:p>
        </w:tc>
        <w:tc>
          <w:tcPr>
            <w:tcBorders/>
            <w:tcW w:w="4902"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623"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061443" cy="458098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303946" name=""/>
                              <pic:cNvPicPr>
                                <a:picLocks noChangeAspect="1"/>
                              </pic:cNvPicPr>
                              <pic:nvPr/>
                            </pic:nvPicPr>
                            <pic:blipFill rotWithShape="1">
                              <a:blip r:embed="rId21"/>
                              <a:stretch/>
                            </pic:blipFill>
                            <pic:spPr bwMode="auto">
                              <a:xfrm flipH="0" flipV="0">
                                <a:off x="0" y="0"/>
                                <a:ext cx="2061443" cy="45809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62.32pt;height:360.71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902"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62300" cy="20574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392377" name=""/>
                              <pic:cNvPicPr>
                                <a:picLocks noChangeAspect="1"/>
                              </pic:cNvPicPr>
                              <pic:nvPr/>
                            </pic:nvPicPr>
                            <pic:blipFill rotWithShape="1">
                              <a:blip r:embed="rId22"/>
                              <a:stretch/>
                            </pic:blipFill>
                            <pic:spPr bwMode="auto">
                              <a:xfrm>
                                <a:off x="0" y="0"/>
                                <a:ext cx="31622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49.00pt;height:162.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bl>
    <w:p>
      <w:pPr>
        <w:pBdr/>
        <w:spacing/>
        <w:ind/>
        <w:rPr/>
      </w:pPr>
      <w:r/>
      <w:r/>
    </w:p>
    <w:p>
      <w:pPr>
        <w:pBdr/>
        <w:spacing w:after="200" w:line="276" w:lineRule="auto"/>
        <w:ind/>
        <w:rPr/>
      </w:pPr>
      <w:r>
        <w:br w:type="page" w:clear="all"/>
      </w:r>
      <w:r/>
    </w:p>
    <w:p>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6048375" cy="370794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445864" name=""/>
                        <pic:cNvPicPr>
                          <a:picLocks noChangeAspect="1"/>
                        </pic:cNvPicPr>
                        <pic:nvPr/>
                      </pic:nvPicPr>
                      <pic:blipFill rotWithShape="1">
                        <a:blip r:embed="rId23"/>
                        <a:stretch/>
                      </pic:blipFill>
                      <pic:spPr bwMode="auto">
                        <a:xfrm>
                          <a:off x="0" y="0"/>
                          <a:ext cx="6048374" cy="37079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476.25pt;height:291.96pt;mso-wrap-distance-left:0.00pt;mso-wrap-distance-top:0.00pt;mso-wrap-distance-right:0.00pt;mso-wrap-distance-bottom:0.00pt;z-index:1;" stroked="false">
                <v:imagedata r:id="rId23" o:title=""/>
                <o:lock v:ext="edit" rotation="t"/>
              </v:shape>
            </w:pict>
          </mc:Fallback>
        </mc:AlternateContent>
      </w:r>
      <w:r>
        <w:rPr>
          <w:b/>
          <w:bCs/>
          <w:highlight w:val="none"/>
        </w:rPr>
      </w:r>
      <w:r>
        <w:rPr>
          <w:b/>
          <w:bCs/>
          <w:highlight w:val="none"/>
        </w:rPr>
      </w:r>
    </w:p>
    <w:p>
      <w:pPr>
        <w:pBdr/>
        <w:spacing w:after="200" w:line="276" w:lineRule="auto"/>
        <w:ind/>
        <w:jc w:val="center"/>
        <w:rPr>
          <w:bCs/>
          <w:i/>
          <w:lang w:val="pt-BR"/>
        </w:rPr>
      </w:pPr>
      <w:r>
        <w:rPr>
          <w:b/>
          <w:highlight w:val="none"/>
          <w:lang w:val="pt-BR" w:bidi="pt-BR"/>
        </w:rPr>
      </w:r>
      <w:r>
        <mc:AlternateContent>
          <mc:Choice Requires="wpg">
            <w:drawing>
              <wp:inline xmlns:wp="http://schemas.openxmlformats.org/drawingml/2006/wordprocessingDrawing" distT="0" distB="0" distL="0" distR="0">
                <wp:extent cx="6048375" cy="4242537"/>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932769" name=""/>
                        <pic:cNvPicPr>
                          <a:picLocks noChangeAspect="1"/>
                        </pic:cNvPicPr>
                        <pic:nvPr/>
                      </pic:nvPicPr>
                      <pic:blipFill rotWithShape="1">
                        <a:blip r:embed="rId24"/>
                        <a:stretch/>
                      </pic:blipFill>
                      <pic:spPr bwMode="auto">
                        <a:xfrm>
                          <a:off x="0" y="0"/>
                          <a:ext cx="6048374" cy="42425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334.06pt;mso-wrap-distance-left:0.00pt;mso-wrap-distance-top:0.00pt;mso-wrap-distance-right:0.00pt;mso-wrap-distance-bottom:0.00pt;z-index:1;" stroked="false">
                <v:imagedata r:id="rId24" o:title=""/>
                <o:lock v:ext="edit" rotation="t"/>
              </v:shape>
            </w:pict>
          </mc:Fallback>
        </mc:AlternateContent>
      </w:r>
      <w:r>
        <w:rPr>
          <w:bCs/>
          <w:i/>
          <w:lang w:val="pt-BR"/>
        </w:rPr>
      </w:r>
      <w:r>
        <w:rPr>
          <w:bCs/>
          <w:i/>
          <w:lang w:val="pt-BR"/>
        </w:rPr>
      </w:r>
    </w:p>
    <w:p>
      <w:pPr>
        <w:pBdr/>
        <w:shd w:val="nil" w:color="auto"/>
        <w:spacing/>
        <w:ind/>
        <w:rPr>
          <w:b/>
          <w:bCs/>
          <w:highlight w:val="none"/>
        </w:rPr>
      </w:pPr>
      <w:r>
        <w:rPr>
          <w:b/>
          <w:highlight w:val="none"/>
        </w:rPr>
        <w:br w:type="page" w:clear="all"/>
      </w:r>
      <w:r>
        <w:rPr>
          <w:b/>
          <w:bCs/>
          <w:highlight w:val="none"/>
        </w:rPr>
      </w:r>
      <w:r>
        <w:rPr>
          <w:b/>
          <w:bCs/>
          <w:highlight w:val="none"/>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275/2026/0468/VFI-BC.44.</w:t>
      </w:r>
      <w:r>
        <w:rPr>
          <w:i/>
          <w:highlight w:val="yellow"/>
        </w:rPr>
        <w:t xml:space="preserve">A</w:t>
      </w:r>
      <w:r>
        <w:rPr>
          <w:i/>
          <w:highlight w:val="yellow"/>
          <w:lang w:val="pt-BR"/>
        </w:rPr>
        <w:t xml:space="preserve"> </w:t>
      </w:r>
      <w:r>
        <w:rPr>
          <w:i/>
          <w:highlight w:val="yellow"/>
          <w:lang w:val="pt-BR"/>
        </w:rPr>
        <w:t xml:space="preserve">ngày 25</w:t>
      </w:r>
      <w:r>
        <w:rPr>
          <w:i/>
          <w:lang w:val="pt-BR"/>
        </w:rPr>
        <w:t xml:space="preserve">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0866102829</w:t>
            </w:r>
            <w:r>
              <w:rPr>
                <w:sz w:val="22"/>
                <w:szCs w:val="22"/>
              </w:rPr>
              <w:t xml:space="preserve"> </w:t>
            </w:r>
            <w:r>
              <w:rPr>
                <w:sz w:val="22"/>
                <w:szCs w:val="22"/>
              </w:rPr>
              <w:br/>
              <w:t xml:space="preserve">(Dam Land</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3.685.000.000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3.316.500.000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yellow"/>
              </w:rPr>
            </w:pPr>
            <w:r>
              <w:rPr>
                <w:color w:val="000000" w:themeColor="text1"/>
                <w:sz w:val="22"/>
                <w:szCs w:val="22"/>
                <w:highlight w:val="yellow"/>
              </w:rPr>
              <w:t xml:space="preserve">Giấy chứng nhận quyền sử dụng đất</w:t>
            </w:r>
            <w:r>
              <w:rPr>
                <w:sz w:val="22"/>
                <w:szCs w:val="22"/>
                <w:highlight w:val="yellow"/>
              </w:rPr>
            </w:r>
            <w:r>
              <w:rPr>
                <w:sz w:val="22"/>
                <w:szCs w:val="22"/>
                <w:highlight w:val="yellow"/>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(110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Xã Kim Anh, Thành phố Hà Nội</w:t>
            </w:r>
            <w:r>
              <w:rPr>
                <w:color w:val="000000" w:themeColor="text1"/>
                <w:sz w:val="22"/>
                <w:szCs w:val="22"/>
              </w:rPr>
              <w:t xml:space="preserve">, </w:t>
            </w:r>
            <w:r>
              <w:rPr>
                <w:color w:val="000000" w:themeColor="text1"/>
                <w:sz w:val="22"/>
                <w:szCs w:val="22"/>
              </w:rPr>
              <w:t xml:space="preserve">khoảng cách ra đường chính Tiếp giáp trục chínhm, độ rộng đường trước mặt tài sản 7.5m, mặt tiền 5.08m, 21.28454457099561, 105.74567029045876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801761"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380176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99.35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837071"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383707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02.13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99936"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59993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04.72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Lê Đình Duy</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jc w:val="center"/>
        <w:rPr>
          <w:b/>
          <w:bCs/>
          <w:iCs/>
          <w:lang w:val="pt-BR"/>
        </w:rPr>
      </w:pPr>
      <w:r>
        <w:rPr>
          <w:b/>
          <w:bCs/>
          <w:iCs/>
          <w:lang w:val="pt-BR"/>
        </w:rPr>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0357204512</w:t>
            </w:r>
            <w:r>
              <w:rPr>
                <w:sz w:val="22"/>
                <w:szCs w:val="22"/>
              </w:rPr>
              <w:t xml:space="preserve"> </w:t>
            </w:r>
            <w:r>
              <w:rPr>
                <w:sz w:val="22"/>
                <w:szCs w:val="22"/>
              </w:rPr>
              <w:br/>
              <w:t xml:space="preserve">(Khuyên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yellow"/>
              </w:rPr>
            </w:pPr>
            <w:r>
              <w:rPr>
                <w:color w:val="000000" w:themeColor="text1"/>
                <w:sz w:val="22"/>
                <w:szCs w:val="22"/>
                <w:highlight w:val="yellow"/>
              </w:rPr>
              <w:t xml:space="preserve">Giấy chứng nhận quyền sử dụng đất</w:t>
            </w:r>
            <w:r>
              <w:rPr>
                <w:sz w:val="22"/>
                <w:szCs w:val="22"/>
                <w:highlight w:val="yellow"/>
              </w:rPr>
            </w:r>
            <w:r>
              <w:rPr>
                <w:sz w:val="22"/>
                <w:szCs w:val="22"/>
                <w:highlight w:val="yellow"/>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(140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Xã Kim Anh, Thành phố Hà Nội</w:t>
            </w:r>
            <w:r>
              <w:rPr>
                <w:color w:val="000000" w:themeColor="text1"/>
                <w:sz w:val="22"/>
                <w:szCs w:val="22"/>
              </w:rPr>
              <w:t xml:space="preserve">, khoảng cách ra đường chính Tiếp giáp trục liên thônm, độ rộng đường trước mặt tài sản 8m, mặt tiền 1m, 21.292117113634564, 105.75606653260049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813531"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381353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00.28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751701"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47517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74.15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Đình Duy</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0977764788</w:t>
            </w:r>
            <w:r>
              <w:rPr>
                <w:sz w:val="22"/>
                <w:szCs w:val="22"/>
              </w:rPr>
              <w:t xml:space="preserve"> </w:t>
            </w:r>
            <w:r>
              <w:rPr>
                <w:sz w:val="22"/>
                <w:szCs w:val="22"/>
              </w:rPr>
              <w:br/>
              <w:t xml:space="preserve">(Vinh Quang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3.472.000.000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2.777.600.000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yellow"/>
              </w:rPr>
            </w:pPr>
            <w:r>
              <w:rPr>
                <w:color w:val="000000" w:themeColor="text1"/>
                <w:sz w:val="22"/>
                <w:szCs w:val="22"/>
                <w:highlight w:val="yellow"/>
              </w:rPr>
              <w:t xml:space="preserve">Giấy chứng nhận quyền sử dụng đất</w:t>
            </w:r>
            <w:r>
              <w:rPr>
                <w:sz w:val="22"/>
                <w:szCs w:val="22"/>
                <w:highlight w:val="yellow"/>
              </w:rPr>
            </w:r>
            <w:r>
              <w:rPr>
                <w:sz w:val="22"/>
                <w:szCs w:val="22"/>
                <w:highlight w:val="yellow"/>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(112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Xã Kim Anh, Thành phố Hà Nội</w:t>
            </w:r>
            <w:r>
              <w:rPr>
                <w:color w:val="000000" w:themeColor="text1"/>
                <w:sz w:val="22"/>
                <w:szCs w:val="22"/>
              </w:rPr>
              <w:t xml:space="preserve">, khoảng cách ra đường chính Cách trục liên thôn khoảng 200mm, độ rộng đường trước mặt tài sản 7m, mặt tiền 5m, 21.27318710182006, 105.75674989734975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117933"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31179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45.51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189691"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18969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29.9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Đình Duy</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mc:AlternateContent>
          <mc:Choice Requires="wpg">
            <w:drawing>
              <wp:inline xmlns:wp="http://schemas.openxmlformats.org/drawingml/2006/wordprocessingDrawing" distT="0" distB="0" distL="0" distR="0">
                <wp:extent cx="6048375" cy="8064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09955" name=""/>
                        <pic:cNvPicPr>
                          <a:picLocks noChangeAspect="1"/>
                        </pic:cNvPicPr>
                        <pic:nvPr/>
                      </pic:nvPicPr>
                      <pic:blipFill rotWithShape="1">
                        <a:blip r:embed="rId32"/>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00pt;mso-wrap-distance-left:0.00pt;mso-wrap-distance-top:0.00pt;mso-wrap-distance-right:0.00pt;mso-wrap-distance-bottom:0.00pt;z-index:1;" stroked="false">
                <v:imagedata r:id="rId32" o:title=""/>
                <o:lock v:ext="edit" rotation="t"/>
              </v:shape>
            </w:pict>
          </mc:Fallback>
        </mc:AlternateContent>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6-03-26T16:00:00Z" w:initials="NTTD">
    <w:p w14:paraId="00000001" w14:textId="00000001">
      <w:pPr>
        <w:spacing w:line="240" w:after="0" w:lineRule="auto" w:before="0"/>
        <w:ind w:firstLine="0" w:left="0" w:right="0"/>
        <w:jc w:val="left"/>
      </w:pPr>
      <w:r>
        <w:rPr>
          <w:rFonts w:eastAsia="Arial" w:ascii="Arial" w:hAnsi="Arial" w:cs="Arial"/>
          <w:sz w:val="22"/>
        </w:rPr>
        <w:t xml:space="preserve">Viết như văn bản kết luận nhé!. Ghi như này là k check được quy hoạch.</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067633C3" w16cex:dateUtc="2026-03-26T09:00:00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067633C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1200B8C2"/>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469CAC8F"/>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168F0FCF"/>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2C7BB7F4"/>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017485A1"/>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comments" Target="comments.xml" /><Relationship Id="rId34" Type="http://schemas.microsoft.com/office/2011/relationships/commentsExtended" Target="commentsExtended.xml" /><Relationship Id="rId35" Type="http://schemas.microsoft.com/office/2018/08/relationships/commentsExtensible" Target="commentsExtensible.xml" /><Relationship Id="rId36" Type="http://schemas.microsoft.com/office/2016/09/relationships/commentsIds" Target="commentsIds.xml" /><Relationship Id="rId37"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273</cp:revision>
  <dcterms:created xsi:type="dcterms:W3CDTF">2025-09-15T09:58:00Z</dcterms:created>
  <dcterms:modified xsi:type="dcterms:W3CDTF">2026-03-26T09:16:41Z</dcterms:modified>
</cp:coreProperties>
</file>