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5064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5064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275/2026/0507/VFI-CT.51.A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VŨ THỊ NAM BÌNH</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và tài sản gắn liền với đất tại thửa đất số: 491, tờ bản đồ số: 48, địa chỉ: Tổ 38, phường Hoà An, quận Cẩm Lệ, thành phố Đà Nẵng (</w:t>
                            </w:r>
                            <w:r>
                              <w:rPr>
                                <w:i/>
                                <w:iCs/>
                                <w:color w:val="000000"/>
                              </w:rPr>
                              <w:t xml:space="preserve">nay là Phường An Khê, thành phố Đà N</w:t>
                            </w:r>
                            <w:r>
                              <w:rPr>
                                <w:i/>
                                <w:iCs/>
                                <w:color w:val="000000"/>
                              </w:rPr>
                              <w:t xml:space="preserve">ẵng) </w:t>
                            </w:r>
                            <w:r>
                              <w:rPr>
                                <w:color w:val="000000"/>
                              </w:rPr>
                              <w:t xml:space="preserve">theo Giấy chứng nhận quyền sử dụng đất, quyền sở hữu nhà ở và tài sản khác gắn liền với đất số: DN 409994, số vào sổ cấp GCN: VP 00386 do Văn phòng Đăng ký đất đai thành phố Đà Nẵng cấp ngày 18/01/2024 cho Bà Vũ Thị Nam Bình (</w:t>
                            </w:r>
                            <w:r>
                              <w:rPr>
                                <w:i/>
                                <w:iCs/>
                                <w:color w:val="000000"/>
                              </w:rPr>
                              <w:t xml:space="preserve">Cập nhật ngày 25/3/2025)</w:t>
                            </w:r>
                            <w:r>
                              <w:rPr>
                                <w:color w:val="000000"/>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76.1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275/2026/0507/VFI-CT.51.A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VŨ THỊ NAM BÌNH</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và tài sản gắn liền với đất tại thửa đất số: 491, tờ bản đồ số: 48, địa chỉ: Tổ 38, phường Hoà An, quận Cẩm Lệ, thành phố Đà Nẵng (</w:t>
                      </w:r>
                      <w:r>
                        <w:rPr>
                          <w:i/>
                          <w:iCs/>
                          <w:color w:val="000000"/>
                        </w:rPr>
                        <w:t xml:space="preserve">nay là Phường An Khê, thành phố Đà N</w:t>
                      </w:r>
                      <w:r>
                        <w:rPr>
                          <w:i/>
                          <w:iCs/>
                          <w:color w:val="000000"/>
                        </w:rPr>
                        <w:t xml:space="preserve">ẵng) </w:t>
                      </w:r>
                      <w:r>
                        <w:rPr>
                          <w:color w:val="000000"/>
                        </w:rPr>
                        <w:t xml:space="preserve">theo Giấy chứng nhận quyền sử dụng đất, quyền sở hữu nhà ở và tài sản khác gắn liền với đất số: DN 409994, số vào sổ cấp GCN: VP 00386 do Văn phòng Đăng ký đất đai thành phố Đà Nẵng cấp ngày 18/01/2024 cho Bà Vũ Thị Nam Bình (</w:t>
                      </w:r>
                      <w:r>
                        <w:rPr>
                          <w:i/>
                          <w:iCs/>
                          <w:color w:val="000000"/>
                        </w:rPr>
                        <w:t xml:space="preserve">Cập nhật ngày 25/3/2025)</w:t>
                      </w:r>
                      <w:r>
                        <w:rPr>
                          <w:color w:val="000000"/>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right"/>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4-23</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7"/>
              <w:pBdr/>
              <w:tabs>
                <w:tab w:val="left" w:leader="none" w:pos="993"/>
              </w:tabs>
              <w:spacing w:after="120" w:before="120" w:line="288" w:lineRule="auto"/>
              <w:ind w:left="0"/>
              <w:jc w:val="both"/>
              <w:rPr>
                <w:bCs/>
                <w:lang w:val="pt-BR"/>
              </w:rPr>
            </w:pPr>
            <w:r>
              <w:rPr>
                <w:bCs/>
                <w:lang w:val="pt-BR"/>
              </w:rPr>
              <w:t xml:space="preserve">Phụ lục 1: Thông tin hiện trạng </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24</w:t>
            </w:r>
            <w:r>
              <w:rPr>
                <w:b/>
                <w:bCs/>
              </w:rPr>
            </w:r>
            <w:r>
              <w:rPr>
                <w:b/>
                <w:bCs/>
              </w:rPr>
            </w:r>
          </w:p>
        </w:tc>
      </w:tr>
      <w:tr>
        <w:trPr/>
        <w:tc>
          <w:tcPr>
            <w:tcBorders/>
            <w:tcMar>
              <w:left w:w="108" w:type="dxa"/>
              <w:right w:w="108" w:type="dxa"/>
            </w:tcMar>
            <w:tcW w:w="7280" w:type="dxa"/>
            <w:vAlign w:val="center"/>
            <w:textDirection w:val="lrTb"/>
            <w:noWrap w:val="false"/>
          </w:tcPr>
          <w:p>
            <w:pPr>
              <w:pStyle w:val="1037"/>
              <w:pBdr/>
              <w:tabs>
                <w:tab w:val="left" w:leader="none" w:pos="993"/>
              </w:tabs>
              <w:spacing w:after="120" w:before="120" w:line="288" w:lineRule="auto"/>
              <w:ind w:left="0"/>
              <w:jc w:val="both"/>
              <w:rPr>
                <w:bCs/>
                <w:lang w:val="pt-BR"/>
              </w:rPr>
            </w:pPr>
            <w:r>
              <w:rPr>
                <w:bCs/>
                <w:lang w:val="pt-BR"/>
              </w:rPr>
              <w:t xml:space="preserve">Phụ lục 2: Thông tin thu thập thị trường </w:t>
            </w:r>
            <w:r>
              <w:rPr>
                <w:bCs/>
                <w:lang w:val="pt-BR"/>
              </w:rPr>
              <w:t xml:space="preserve">+ Hồ sơ pháp lý + BBKS</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25-30</w:t>
            </w:r>
            <w:r>
              <w:rPr>
                <w:b/>
                <w:bCs/>
              </w:rPr>
            </w:r>
            <w:r>
              <w:rPr>
                <w:b/>
                <w:bCs/>
              </w:rPr>
            </w:r>
          </w:p>
        </w:tc>
      </w:tr>
    </w:tbl>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711" w:type="dxa"/>
        <w:tblBorders/>
        <w:tblLayout w:type="fixed"/>
        <w:tblLook w:val="04A0" w:firstRow="1" w:lastRow="0" w:firstColumn="1" w:lastColumn="0" w:noHBand="0" w:noVBand="1"/>
      </w:tblPr>
      <w:tblGrid>
        <w:gridCol w:w="1134"/>
        <w:gridCol w:w="1134"/>
        <w:gridCol w:w="1134"/>
        <w:gridCol w:w="1134"/>
        <w:gridCol w:w="1134"/>
      </w:tblGrid>
      <w:tr>
        <w:trPr>
          <w:trHeight w:val="1152"/>
        </w:trPr>
        <w:tc>
          <w:tcPr>
            <w:gridSpan w:val="2"/>
            <w:tcBorders/>
            <w:tcW w:w="662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408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2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5772" w:type="dxa"/>
            <w:textDirection w:val="lrTb"/>
            <w:noWrap w:val="false"/>
          </w:tcPr>
          <w:p>
            <w:pPr>
              <w:pStyle w:val="1036"/>
              <w:pBdr/>
              <w:spacing w:after="60"/>
              <w:ind/>
              <w:rPr>
                <w:color w:val="000000" w:themeColor="text1"/>
                <w:sz w:val="24"/>
                <w:szCs w:val="24"/>
              </w:rPr>
            </w:pPr>
            <w:r>
              <w:rPr>
                <w:rStyle w:val="1035"/>
                <w:rFonts w:ascii="Times New Roman" w:hAnsi="Times New Roman"/>
                <w:color w:val="000000" w:themeColor="text1"/>
                <w:lang w:val="pt-BR"/>
              </w:rPr>
              <w:t xml:space="preserve">Số: </w:t>
            </w:r>
            <w:r>
              <w:rPr>
                <w:rStyle w:val="1035"/>
                <w:rFonts w:ascii="Times New Roman" w:hAnsi="Times New Roman"/>
                <w:color w:val="000000" w:themeColor="text1"/>
                <w:lang w:val="pt-BR"/>
              </w:rPr>
              <w:t xml:space="preserve">275/2026/0507/VFI-CT.51.A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084" w:type="dxa"/>
            <w:textDirection w:val="lrTb"/>
            <w:noWrap w:val="false"/>
          </w:tcPr>
          <w:p>
            <w:pPr>
              <w:pStyle w:val="1036"/>
              <w:pBdr/>
              <w:spacing w:after="60"/>
              <w:ind w:right="-56"/>
              <w:jc w:val="right"/>
              <w:rPr>
                <w:color w:val="000000" w:themeColor="text1"/>
                <w:sz w:val="24"/>
                <w:szCs w:val="24"/>
                <w:lang w:val="vi-VN"/>
              </w:rPr>
            </w:pPr>
            <w:r>
              <w:rPr>
                <w:rStyle w:val="1035"/>
                <w:rFonts w:ascii="Times New Roman" w:hAnsi="Times New Roman"/>
                <w:i/>
                <w:color w:val="auto"/>
              </w:rPr>
              <w:t xml:space="preserve">TP. Hà Nội</w:t>
            </w:r>
            <w:r>
              <w:rPr>
                <w:rStyle w:val="1035"/>
                <w:rFonts w:ascii="Times New Roman" w:hAnsi="Times New Roman"/>
                <w:i/>
                <w:color w:val="auto"/>
                <w:lang w:val="vi-VN"/>
              </w:rPr>
              <w:t xml:space="preserve">, </w:t>
            </w:r>
            <w:r>
              <w:rPr>
                <w:rStyle w:val="1035"/>
                <w:rFonts w:ascii="Times New Roman" w:hAnsi="Times New Roman"/>
                <w:i/>
                <w:color w:val="000000" w:themeColor="text1"/>
                <w:lang w:val="vi-VN"/>
              </w:rPr>
              <w:t xml:space="preserve">ngày 01 tháng 4 năm 2026</w:t>
            </w:r>
            <w:r>
              <w:rPr>
                <w:color w:val="000000" w:themeColor="text1"/>
                <w:sz w:val="24"/>
                <w:szCs w:val="24"/>
                <w:lang w:val="vi-VN"/>
              </w:rPr>
            </w:r>
            <w:r>
              <w:rPr>
                <w:color w:val="000000" w:themeColor="text1"/>
                <w:sz w:val="24"/>
                <w:szCs w:val="24"/>
                <w:lang w:val="vi-VN"/>
              </w:rPr>
            </w:r>
          </w:p>
        </w:tc>
      </w:tr>
    </w:tbl>
    <w:p>
      <w:pPr>
        <w:pStyle w:val="1036"/>
        <w:pBdr/>
        <w:spacing w:after="120" w:before="200" w:line="288" w:lineRule="auto"/>
        <w:ind/>
        <w:jc w:val="center"/>
        <w:rPr>
          <w:rStyle w:val="1035"/>
          <w:rFonts w:ascii="Times New Roman" w:hAnsi="Times New Roman"/>
          <w:b/>
          <w:bCs/>
          <w:color w:val="auto"/>
          <w:sz w:val="30"/>
          <w:szCs w:val="30"/>
          <w:lang w:val="vi-VN"/>
        </w:rPr>
      </w:pPr>
      <w:r>
        <w:rPr>
          <w:rStyle w:val="1035"/>
          <w:rFonts w:ascii="Times New Roman" w:hAnsi="Times New Roman"/>
          <w:b/>
          <w:bCs/>
          <w:color w:val="auto"/>
          <w:sz w:val="30"/>
          <w:szCs w:val="30"/>
          <w:lang w:val="vi-VN"/>
        </w:rPr>
        <w:t xml:space="preserve">CHỨNG THƯ THẨM ĐỊNH GIÁ</w:t>
      </w:r>
      <w:r>
        <w:rPr>
          <w:rStyle w:val="1035"/>
          <w:rFonts w:ascii="Times New Roman" w:hAnsi="Times New Roman"/>
          <w:b/>
          <w:bCs/>
          <w:color w:val="auto"/>
          <w:sz w:val="30"/>
          <w:szCs w:val="30"/>
          <w:lang w:val="vi-VN"/>
        </w:rPr>
      </w:r>
      <w:r>
        <w:rPr>
          <w:rStyle w:val="1035"/>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BÀ VŨ THỊ NAM BÌNH</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275/2026/0507/VFI-HĐTĐ.51.A</w:t>
      </w:r>
      <w:r>
        <w:rPr>
          <w:spacing w:val="-4"/>
          <w:lang w:val="vi-VN"/>
        </w:rPr>
        <w:t xml:space="preserve"> ký ngày </w:t>
      </w:r>
      <w:r>
        <w:rPr>
          <w:color w:val="000000" w:themeColor="text1"/>
          <w:spacing w:val="-4"/>
        </w:rPr>
        <w:t xml:space="preserve">31 tháng 3 năm 2026</w:t>
      </w:r>
      <w:r>
        <w:rPr>
          <w:spacing w:val="-4"/>
          <w:lang w:val="vi-VN"/>
        </w:rPr>
        <w:t xml:space="preserve"> </w:t>
      </w:r>
      <w:r>
        <w:rPr>
          <w:spacing w:val="-4"/>
          <w:lang w:val="vi-VN"/>
        </w:rPr>
        <w:t xml:space="preserve">giữa </w:t>
      </w:r>
      <w:r>
        <w:rPr>
          <w:rFonts w:ascii="Times New Roman" w:hAnsi="Times New Roman" w:eastAsia="Times New Roman" w:cs="Times New Roman"/>
          <w:color w:val="000000"/>
          <w:spacing w:val="-4"/>
          <w:sz w:val="24"/>
        </w:rPr>
        <w:t xml:space="preserve">Bà Vũ Thị Nam Bình</w:t>
      </w:r>
      <w:r>
        <w:rPr>
          <w:rFonts w:ascii="Times New Roman" w:hAnsi="Times New Roman" w:eastAsia="Times New Roman" w:cs="Times New Roman"/>
          <w:color w:val="000000"/>
          <w:sz w:val="24"/>
        </w:rPr>
        <w:t xml:space="preserve"> </w:t>
      </w:r>
      <w:r>
        <w:rPr>
          <w:spacing w:val="-6"/>
        </w:rPr>
        <w:t xml:space="preserve">v</w:t>
      </w:r>
      <w:r>
        <w:rPr>
          <w:spacing w:val="-6"/>
        </w:rPr>
        <w:t xml:space="preserve">ới</w:t>
      </w:r>
      <w:r>
        <w:rPr>
          <w:spacing w:val="-6"/>
        </w:rPr>
        <w:t xml:space="preserve"> </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275/2026/0507/VFI-BC.51.A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01 tháng 4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724"/>
              </w:tabs>
              <w:spacing w:line="276" w:lineRule="auto"/>
              <w:ind w:right="0" w:firstLine="0" w:left="0"/>
              <w:rPr/>
            </w:pPr>
            <w:r>
              <w:rPr>
                <w:rFonts w:ascii="Times New Roman" w:hAnsi="Times New Roman" w:eastAsia="Times New Roman" w:cs="Times New Roman"/>
                <w:b/>
                <w:color w:val="000000"/>
                <w:sz w:val="24"/>
              </w:rPr>
              <w:t xml:space="preserve">BÀ VŨ THỊ NAM BÌNH</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CCCD</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724"/>
              </w:tabs>
              <w:spacing w:line="276" w:lineRule="auto"/>
              <w:ind w:right="0" w:firstLine="0" w:left="0"/>
              <w:rPr/>
            </w:pPr>
            <w:r>
              <w:rPr>
                <w:rFonts w:ascii="Times New Roman" w:hAnsi="Times New Roman" w:eastAsia="Times New Roman" w:cs="Times New Roman"/>
                <w:color w:val="000000"/>
                <w:spacing w:val="-2"/>
                <w:sz w:val="24"/>
              </w:rPr>
              <w:t xml:space="preserve">048181002413</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Ngày sinh</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724"/>
              </w:tabs>
              <w:spacing w:line="276" w:lineRule="auto"/>
              <w:ind w:right="0" w:firstLine="0" w:left="0"/>
              <w:rPr/>
            </w:pPr>
            <w:r>
              <w:rPr>
                <w:rFonts w:ascii="Times New Roman" w:hAnsi="Times New Roman" w:eastAsia="Times New Roman" w:cs="Times New Roman"/>
                <w:color w:val="000000"/>
                <w:spacing w:val="-2"/>
                <w:sz w:val="24"/>
              </w:rPr>
              <w:t xml:space="preserve">1981</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Nơi thường trú</w:t>
            </w:r>
            <w:r/>
          </w:p>
        </w:tc>
        <w:tc>
          <w:tcPr>
            <w:shd w:val="clear" w:color="auto" w:fill="auto"/>
            <w:tcBorders/>
            <w:tcW w:w="248"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724"/>
              </w:tabs>
              <w:spacing w:line="276" w:lineRule="auto"/>
              <w:ind w:right="0" w:firstLine="0" w:left="0"/>
              <w:rPr/>
            </w:pPr>
            <w:r>
              <w:rPr>
                <w:rFonts w:ascii="Times New Roman" w:hAnsi="Times New Roman" w:eastAsia="Times New Roman" w:cs="Times New Roman"/>
                <w:color w:val="000000"/>
                <w:spacing w:val="-2"/>
                <w:sz w:val="24"/>
              </w:rPr>
              <w:t xml:space="preserve">Tổ 38, (</w:t>
            </w:r>
            <w:r>
              <w:rPr>
                <w:rFonts w:ascii="Times New Roman" w:hAnsi="Times New Roman" w:eastAsia="Times New Roman" w:cs="Times New Roman"/>
                <w:i/>
                <w:color w:val="000000"/>
                <w:spacing w:val="-2"/>
                <w:sz w:val="24"/>
              </w:rPr>
              <w:t xml:space="preserve">phường Hoà An, quận Cẩm Lệ</w:t>
            </w:r>
            <w:r>
              <w:rPr>
                <w:rFonts w:ascii="Times New Roman" w:hAnsi="Times New Roman" w:eastAsia="Times New Roman" w:cs="Times New Roman"/>
                <w:color w:val="000000"/>
                <w:spacing w:val="-2"/>
                <w:sz w:val="24"/>
              </w:rPr>
              <w:t xml:space="preserve">) nay là phường An Khê</w:t>
            </w:r>
            <w:r>
              <w:rPr>
                <w:rFonts w:ascii="Times New Roman" w:hAnsi="Times New Roman" w:eastAsia="Times New Roman" w:cs="Times New Roman"/>
                <w:i/>
                <w:color w:val="000000"/>
                <w:spacing w:val="-2"/>
                <w:sz w:val="24"/>
              </w:rPr>
              <w:t xml:space="preserve">,</w:t>
            </w:r>
            <w:r>
              <w:rPr>
                <w:rFonts w:ascii="Times New Roman" w:hAnsi="Times New Roman" w:eastAsia="Times New Roman" w:cs="Times New Roman"/>
                <w:color w:val="000000"/>
                <w:spacing w:val="-2"/>
                <w:sz w:val="24"/>
              </w:rPr>
              <w:t xml:space="preserve"> TP Đà Nẵng).</w:t>
            </w: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 </w:t>
            </w:r>
            <w:r>
              <w:rPr>
                <w:b/>
                <w:bCs/>
              </w:rPr>
              <w:t xml:space="preserve">Vũ Văn Quân </w:t>
            </w:r>
            <w:r>
              <w:rPr>
                <w:b/>
                <w:bCs/>
                <w:lang w:val="vi-VN"/>
              </w:rPr>
              <w:tab/>
              <w:t xml:space="preserve">Chức vụ: </w:t>
            </w:r>
            <w:r>
              <w:rPr>
                <w:b/>
                <w:bCs/>
              </w:rPr>
              <w:t xml:space="preserve">Chủ tịch HĐQT kiêm Tổng GĐ</w:t>
            </w:r>
            <w:r>
              <w:rPr>
                <w:b/>
                <w:bCs/>
                <w:lang w:val="vi-VN"/>
              </w:rPr>
            </w:r>
            <w:r>
              <w:rPr>
                <w:b/>
                <w:bCs/>
                <w:lang w:val="vi-VN"/>
              </w:rPr>
            </w:r>
          </w:p>
        </w:tc>
      </w:tr>
    </w:tbl>
    <w:p>
      <w:pPr>
        <w:pBdr/>
        <w:spacing w:after="120" w:before="120" w:line="276"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và tài sản gắn liền với đất tại thửa đất số: 491, tờ bản đồ số: 48, địa chỉ: Tổ 38, phường Hoà An, quận Cẩm Lệ, thành phố Đà Nẵng </w:t>
      </w:r>
      <w:r>
        <w:rPr>
          <w:i/>
          <w:iCs/>
          <w:color w:val="000000" w:themeColor="text1"/>
        </w:rPr>
        <w:t xml:space="preserve">(nay là Phường An Khê, thành phố Đà N</w:t>
      </w:r>
      <w:r>
        <w:rPr>
          <w:i/>
          <w:iCs/>
          <w:color w:val="000000" w:themeColor="text1"/>
        </w:rPr>
        <w:t xml:space="preserve">ẵng)</w:t>
      </w:r>
      <w:r>
        <w:rPr>
          <w:color w:val="000000" w:themeColor="text1"/>
        </w:rPr>
        <w:t xml:space="preserve"> theo Giấy chứng nhận quyền sử dụng đất, quyền sở hữu nhà ở và tài sản khác gắn liền với đất số: DN 409994, số vào sổ cấp GCN: VP 00386 do Văn phòng Đăng ký đất đai thành phố Đà Nẵng cấp ngày 18/01/2024 cho Bà Vũ Thị Nam Bình (</w:t>
      </w:r>
      <w:r>
        <w:rPr>
          <w:i/>
          <w:iCs/>
          <w:color w:val="000000" w:themeColor="text1"/>
        </w:rPr>
        <w:t xml:space="preserve">Cập nhật ngày 25/3/2025)</w:t>
      </w:r>
      <w:r>
        <w:rPr>
          <w:color w:val="000000" w:themeColor="text1"/>
        </w:rPr>
        <w:t xml:space="preserve">.</w:t>
      </w:r>
      <w:r>
        <w:rPr>
          <w:b/>
          <w:bCs/>
        </w:rPr>
      </w:r>
      <w:r>
        <w:rPr>
          <w:b/>
          <w:bCs/>
        </w:rPr>
      </w:r>
    </w:p>
    <w:p>
      <w:pPr>
        <w:pBdr/>
        <w:spacing w:after="120" w:before="120" w:line="276"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4/2026</w:t>
      </w:r>
      <w:r>
        <w:rPr>
          <w:bCs/>
          <w:lang w:val="nl-NL"/>
        </w:rPr>
        <w:t xml:space="preserve">.</w:t>
      </w:r>
      <w:r>
        <w:rPr>
          <w:b/>
          <w:bCs/>
        </w:rPr>
      </w:r>
      <w:r>
        <w:rPr>
          <w:b/>
          <w:bCs/>
        </w:rPr>
      </w:r>
    </w:p>
    <w:p>
      <w:pPr>
        <w:pBdr/>
        <w:tabs>
          <w:tab w:val="left" w:leader="none" w:pos="851"/>
        </w:tabs>
        <w:spacing w:after="120" w:before="120" w:line="276"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276"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276"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276"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276"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276"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276"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276"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276"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4/2026</w:t>
      </w:r>
      <w:r>
        <w:rPr>
          <w:lang w:val="vi-VN"/>
        </w:rPr>
        <w:t xml:space="preserve"> ước tính</w:t>
      </w:r>
      <w:r>
        <w:t xml:space="preserve"> </w:t>
      </w:r>
      <w:r>
        <w:rPr>
          <w:lang w:val="vi-VN"/>
        </w:rPr>
        <w:t xml:space="preserve">như sau:</w:t>
      </w:r>
      <w:r/>
    </w:p>
    <w:tbl>
      <w:tblPr>
        <w:tblStyle w:val="1041"/>
        <w:tblInd w:w="0" w:type="dxa"/>
        <w:tblW w:w="4966"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2659"/>
        <w:gridCol w:w="1516"/>
        <w:gridCol w:w="1352"/>
        <w:gridCol w:w="1287"/>
        <w:gridCol w:w="1970"/>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b/>
                <w:color w:val="000000"/>
                <w:sz w:val="22"/>
              </w:rPr>
              <w:t xml:space="preserve">CLCL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b/>
                <w:color w:val="000000"/>
                <w:sz w:val="24"/>
              </w:rPr>
              <w:t xml:space="preserve"> </w:t>
            </w:r>
            <w:r/>
          </w:p>
        </w:tc>
        <w:tc>
          <w:tcPr>
            <w:gridSpan w:val="4"/>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8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491, tờ bản đồ số: 48, địa chỉ: Tổ 38, phường Hoà An, quận Cẩm Lệ, thành phố Đà Nẵng </w:t>
            </w:r>
            <w:r>
              <w:rPr>
                <w:rFonts w:ascii="Times New Roman" w:hAnsi="Times New Roman" w:eastAsia="Times New Roman" w:cs="Times New Roman"/>
                <w:b/>
                <w:i/>
                <w:color w:val="000000"/>
                <w:sz w:val="24"/>
              </w:rPr>
              <w:t xml:space="preserve">(nay là Phường An Khê, thành phố Đà Nẵng)</w:t>
            </w:r>
            <w:r>
              <w:rPr>
                <w:rFonts w:ascii="Times New Roman" w:hAnsi="Times New Roman" w:eastAsia="Times New Roman" w:cs="Times New Roman"/>
                <w:b/>
                <w:color w:val="000000"/>
                <w:sz w:val="24"/>
              </w:rPr>
              <w:t xml:space="preserve"> theo Giấy chứng nhận quyền sử dụng đất, quyền sở hữu nhà ở và tài sản khác gắn liền với đất số: DN 409994, số vào sổ cấp GCN: VP 00386 do Văn phòng Đăng ký đất đai thành phố Đà Nẵng cấp ngày 18/01/2024 cho Bà Vũ Thị Nam Bình (</w:t>
            </w:r>
            <w:r>
              <w:rPr>
                <w:rFonts w:ascii="Times New Roman" w:hAnsi="Times New Roman" w:eastAsia="Times New Roman" w:cs="Times New Roman"/>
                <w:b/>
                <w:i/>
                <w:color w:val="000000"/>
                <w:sz w:val="24"/>
              </w:rPr>
              <w:t xml:space="preserve">Cập nhật ngày 25/3/2025</w:t>
            </w:r>
            <w:r>
              <w:rPr>
                <w:rFonts w:ascii="Times New Roman" w:hAnsi="Times New Roman" w:eastAsia="Times New Roman" w:cs="Times New Roman"/>
                <w:b/>
                <w:color w:val="000000"/>
                <w:sz w:val="24"/>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right"/>
              <w:rPr/>
            </w:pPr>
            <w:r>
              <w:rPr>
                <w:rFonts w:ascii="Times New Roman" w:hAnsi="Times New Roman" w:eastAsia="Times New Roman" w:cs="Times New Roman"/>
                <w:b/>
                <w:color w:val="000000"/>
                <w:sz w:val="24"/>
              </w:rPr>
              <w:t xml:space="preserve"> </w:t>
            </w:r>
            <w:r/>
          </w:p>
        </w:tc>
      </w:tr>
      <w:tr>
        <w:trPr>
          <w:trHeight w:val="416"/>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rPr/>
            </w:pPr>
            <w:r>
              <w:rPr>
                <w:rFonts w:ascii="Times New Roman" w:hAnsi="Times New Roman" w:eastAsia="Times New Roman" w:cs="Times New Roman"/>
                <w:color w:val="000000"/>
                <w:sz w:val="24"/>
              </w:rPr>
              <w:t xml:space="preserve">Đất ODT.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6"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center"/>
              <w:rPr/>
            </w:pPr>
            <w:r>
              <w:rPr>
                <w:rFonts w:ascii="Times New Roman" w:hAnsi="Times New Roman" w:eastAsia="Times New Roman" w:cs="Times New Roman"/>
                <w:color w:val="000000"/>
                <w:sz w:val="24"/>
              </w:rPr>
              <w:t xml:space="preserve">142,6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center"/>
              <w:rPr/>
            </w:pPr>
            <w:r>
              <w:rPr>
                <w:rFonts w:ascii="Times New Roman" w:hAnsi="Times New Roman" w:eastAsia="Times New Roman" w:cs="Times New Roman"/>
                <w:color w:val="000000"/>
                <w:sz w:val="24"/>
              </w:rPr>
              <w:t xml:space="preserve">25.800.000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8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color w:val="000000"/>
                <w:sz w:val="24"/>
              </w:rPr>
              <w:t xml:space="preserve">100%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right"/>
              <w:rPr/>
            </w:pPr>
            <w:r>
              <w:rPr>
                <w:rFonts w:ascii="Times New Roman" w:hAnsi="Times New Roman" w:eastAsia="Times New Roman" w:cs="Times New Roman"/>
                <w:color w:val="000000"/>
                <w:sz w:val="24"/>
              </w:rPr>
              <w:t xml:space="preserve">3.679.080.000</w:t>
            </w:r>
            <w:r/>
          </w:p>
        </w:tc>
      </w:tr>
      <w:tr>
        <w:trPr>
          <w:trHeight w:val="371"/>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color w:val="000000"/>
                <w:sz w:val="24"/>
              </w:rPr>
              <w:t xml:space="preserve">02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rPr/>
            </w:pPr>
            <w:r>
              <w:rPr>
                <w:rFonts w:ascii="Times New Roman" w:hAnsi="Times New Roman" w:eastAsia="Times New Roman" w:cs="Times New Roman"/>
                <w:color w:val="000000"/>
                <w:sz w:val="24"/>
              </w:rPr>
              <w:t xml:space="preserve">Nhà ở riêng lẻ (03 tầng).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6"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center"/>
              <w:rPr/>
            </w:pPr>
            <w:r>
              <w:rPr>
                <w:rFonts w:ascii="Times New Roman" w:hAnsi="Times New Roman" w:eastAsia="Times New Roman" w:cs="Times New Roman"/>
                <w:color w:val="000000"/>
                <w:sz w:val="24"/>
              </w:rPr>
              <w:t xml:space="preserve">162,4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center"/>
              <w:rPr/>
            </w:pPr>
            <w:r>
              <w:rPr>
                <w:rFonts w:ascii="Times New Roman" w:hAnsi="Times New Roman" w:eastAsia="Times New Roman" w:cs="Times New Roman"/>
                <w:color w:val="000000"/>
                <w:sz w:val="24"/>
              </w:rPr>
              <w:t xml:space="preserve">8.488.200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color w:val="000000"/>
                <w:sz w:val="24"/>
              </w:rPr>
              <w:t xml:space="preserve">96%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right"/>
              <w:rPr/>
            </w:pPr>
            <w:r>
              <w:rPr>
                <w:rFonts w:ascii="Times New Roman" w:hAnsi="Times New Roman" w:eastAsia="Times New Roman" w:cs="Times New Roman"/>
                <w:color w:val="000000"/>
                <w:sz w:val="24"/>
              </w:rPr>
              <w:t xml:space="preserve">1.323.344.333</w:t>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89"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right"/>
              <w:rPr/>
            </w:pPr>
            <w:r>
              <w:rPr>
                <w:rFonts w:ascii="Times New Roman" w:hAnsi="Times New Roman" w:eastAsia="Times New Roman" w:cs="Times New Roman"/>
                <w:b/>
                <w:color w:val="000000"/>
                <w:sz w:val="24"/>
              </w:rPr>
              <w:t xml:space="preserve">5.002.424.333</w:t>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89"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right"/>
              <w:rPr/>
            </w:pPr>
            <w:r>
              <w:rPr>
                <w:rFonts w:ascii="Times New Roman" w:hAnsi="Times New Roman" w:eastAsia="Times New Roman" w:cs="Times New Roman"/>
                <w:b/>
                <w:color w:val="000000"/>
                <w:sz w:val="24"/>
              </w:rPr>
              <w:t xml:space="preserve">5.002.000.000</w:t>
            </w:r>
            <w:r/>
          </w:p>
        </w:tc>
      </w:tr>
      <w:tr>
        <w:trPr>
          <w:trHeight w:val="20"/>
        </w:trPr>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459" w:type="dxa"/>
            <w:vAlign w:val="top"/>
            <w:textDirection w:val="lrTb"/>
            <w:noWrap w:val="false"/>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center"/>
              <w:rPr/>
            </w:pPr>
            <w:r>
              <w:rPr>
                <w:rFonts w:ascii="Times New Roman" w:hAnsi="Times New Roman" w:eastAsia="Times New Roman" w:cs="Times New Roman"/>
                <w:b/>
                <w:i/>
                <w:color w:val="000000"/>
                <w:sz w:val="24"/>
              </w:rPr>
              <w:t xml:space="preserve">(Bằng chữ: Năm tỷ, hai triệu đồng chẵn./.)</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highlight w:val="none"/>
          <w:lang w:val="pt-BR"/>
        </w:rPr>
      </w:pPr>
      <w:r>
        <w:rPr>
          <w:lang w:val="pt-BR"/>
        </w:rPr>
        <w:t xml:space="preserve">- </w:t>
      </w:r>
      <w:r>
        <w:rPr>
          <w:lang w:val="pt-BR"/>
        </w:rPr>
        <w:t xml:space="preserve">Chi tiết như Báo cáo kèm theo.</w:t>
      </w:r>
      <w:r>
        <w:rPr>
          <w:highlight w:val="none"/>
          <w:lang w:val="pt-BR"/>
        </w:rPr>
      </w:r>
      <w:r>
        <w:rPr>
          <w:highlight w:val="none"/>
          <w:lang w:val="pt-BR"/>
        </w:rPr>
      </w:r>
    </w:p>
    <w:p>
      <w:pPr>
        <w:pBdr/>
        <w:spacing w:after="120" w:before="120" w:line="312" w:lineRule="auto"/>
        <w:ind/>
        <w:rPr>
          <w:lang w:val="pt-BR"/>
        </w:rPr>
      </w:pPr>
      <w:r>
        <w:rPr>
          <w:rFonts w:eastAsia="Calibri"/>
          <w:b/>
          <w:spacing w:val="-4"/>
          <w:highlight w:val="none"/>
          <w:lang w:val="vi-VN"/>
        </w:rPr>
      </w:r>
      <w:r>
        <w:rPr>
          <w:rFonts w:eastAsia="Calibri"/>
          <w:b/>
          <w:spacing w:val="-4"/>
          <w:highlight w:val="none"/>
          <w:lang w:val="vi-VN"/>
        </w:rPr>
      </w:r>
      <w:r>
        <w:rPr>
          <w:rFonts w:eastAsia="Calibri"/>
          <w:b/>
          <w:spacing w:val="-4"/>
          <w:highlight w:val="none"/>
          <w:lang w:val="vi-VN"/>
        </w:rPr>
      </w:r>
    </w:p>
    <w:p>
      <w:pPr>
        <w:pBdr/>
        <w:spacing w:after="120" w:before="120" w:line="312" w:lineRule="auto"/>
        <w:ind/>
        <w:rPr>
          <w:rFonts w:eastAsia="Calibri"/>
          <w:b/>
          <w:bCs/>
          <w:spacing w:val="-4"/>
          <w:highlight w:val="none"/>
          <w:lang w:val="vi-VN"/>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98" w:type="pct"/>
        <w:tblBorders/>
        <w:tblLook w:val="01E0" w:firstRow="1" w:lastRow="1" w:firstColumn="1" w:lastColumn="1" w:noHBand="0" w:noVBand="0"/>
      </w:tblPr>
      <w:tblGrid>
        <w:gridCol w:w="4768"/>
        <w:gridCol w:w="4563"/>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54"/>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1562" w:type="dxa"/>
        <w:tblBorders/>
        <w:tblLayout w:type="fixed"/>
        <w:tblLook w:val="04A0" w:firstRow="1" w:lastRow="0" w:firstColumn="1" w:lastColumn="0" w:noHBand="0" w:noVBand="1"/>
      </w:tblPr>
      <w:tblGrid>
        <w:gridCol w:w="856"/>
        <w:gridCol w:w="6623"/>
        <w:gridCol/>
        <w:gridCol w:w="4084"/>
        <w:gridCol/>
      </w:tblGrid>
      <w:tr>
        <w:trPr>
          <w:trHeight w:val="1843"/>
        </w:trPr>
        <w:tc>
          <w:tcPr>
            <w:gridSpan w:val="2"/>
            <w:tcBorders/>
            <w:tcW w:w="747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408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2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6623" w:type="dxa"/>
            <w:textDirection w:val="lrTb"/>
            <w:noWrap w:val="false"/>
          </w:tcPr>
          <w:p>
            <w:pPr>
              <w:pStyle w:val="1036"/>
              <w:pBdr/>
              <w:spacing w:after="60"/>
              <w:ind/>
              <w:rPr>
                <w:color w:val="000000" w:themeColor="text1"/>
                <w:sz w:val="24"/>
                <w:szCs w:val="24"/>
              </w:rPr>
            </w:pPr>
            <w:r>
              <w:rPr>
                <w:rStyle w:val="1035"/>
                <w:rFonts w:ascii="Times New Roman" w:hAnsi="Times New Roman"/>
                <w:color w:val="000000" w:themeColor="text1"/>
                <w:lang w:val="pt-BR"/>
              </w:rPr>
              <w:t xml:space="preserve">Số: </w:t>
            </w:r>
            <w:r>
              <w:rPr>
                <w:rStyle w:val="1035"/>
                <w:rFonts w:ascii="Times New Roman" w:hAnsi="Times New Roman"/>
                <w:color w:val="000000" w:themeColor="text1"/>
                <w:lang w:val="pt-BR"/>
              </w:rPr>
              <w:t xml:space="preserve">275/2026/0507/VFI-BC.51.A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084" w:type="dxa"/>
            <w:textDirection w:val="lrTb"/>
            <w:noWrap w:val="false"/>
          </w:tcPr>
          <w:p>
            <w:pPr>
              <w:pStyle w:val="1036"/>
              <w:pBdr/>
              <w:spacing w:after="60"/>
              <w:ind w:right="-56"/>
              <w:jc w:val="right"/>
              <w:rPr>
                <w:color w:val="000000" w:themeColor="text1"/>
                <w:sz w:val="24"/>
                <w:szCs w:val="24"/>
                <w:lang w:val="vi-VN"/>
              </w:rPr>
            </w:pPr>
            <w:r>
              <w:rPr>
                <w:rStyle w:val="1035"/>
                <w:rFonts w:ascii="Times New Roman" w:hAnsi="Times New Roman"/>
                <w:i/>
                <w:color w:val="auto"/>
              </w:rPr>
              <w:t xml:space="preserve">TP. Hà Nội</w:t>
            </w:r>
            <w:r>
              <w:rPr>
                <w:rStyle w:val="1035"/>
                <w:rFonts w:ascii="Times New Roman" w:hAnsi="Times New Roman"/>
                <w:i/>
                <w:color w:val="auto"/>
                <w:lang w:val="vi-VN"/>
              </w:rPr>
              <w:t xml:space="preserve">, </w:t>
            </w:r>
            <w:r>
              <w:rPr>
                <w:rStyle w:val="1035"/>
                <w:rFonts w:ascii="Times New Roman" w:hAnsi="Times New Roman"/>
                <w:i/>
                <w:color w:val="000000" w:themeColor="text1"/>
                <w:lang w:val="vi-VN"/>
              </w:rPr>
              <w:t xml:space="preserve">ngày 01 tháng 4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6623" w:type="dxa"/>
            <w:textDirection w:val="lrTb"/>
            <w:noWrap w:val="false"/>
          </w:tcPr>
          <w:p>
            <w:pPr>
              <w:pStyle w:val="1036"/>
              <w:pBdr/>
              <w:spacing w:after="60"/>
              <w:ind/>
              <w:rPr>
                <w:rStyle w:val="1035"/>
                <w:rFonts w:ascii="Times New Roman" w:hAnsi="Times New Roman"/>
                <w:color w:val="000000" w:themeColor="text1"/>
                <w:lang w:val="pt-BR"/>
              </w:rPr>
            </w:pPr>
            <w:r>
              <w:rPr>
                <w:rStyle w:val="1035"/>
                <w:rFonts w:ascii="Times New Roman" w:hAnsi="Times New Roman"/>
                <w:color w:val="000000" w:themeColor="text1"/>
                <w:lang w:val="pt-BR"/>
              </w:rPr>
            </w:r>
            <w:r>
              <w:rPr>
                <w:rStyle w:val="1035"/>
                <w:rFonts w:ascii="Times New Roman" w:hAnsi="Times New Roman"/>
                <w:color w:val="000000" w:themeColor="text1"/>
                <w:lang w:val="pt-BR"/>
              </w:rPr>
            </w:r>
            <w:r>
              <w:rPr>
                <w:rStyle w:val="1035"/>
                <w:rFonts w:ascii="Times New Roman" w:hAnsi="Times New Roman"/>
                <w:color w:val="000000" w:themeColor="text1"/>
                <w:lang w:val="pt-BR"/>
              </w:rPr>
            </w:r>
          </w:p>
        </w:tc>
        <w:tc>
          <w:tcPr>
            <w:shd w:val="clear" w:color="auto" w:fill="auto"/>
            <w:tcBorders/>
            <w:tcMar>
              <w:left w:w="108" w:type="dxa"/>
              <w:top w:w="0" w:type="dxa"/>
              <w:right w:w="108" w:type="dxa"/>
              <w:bottom w:w="0" w:type="dxa"/>
            </w:tcMar>
            <w:tcW w:w="4084" w:type="dxa"/>
            <w:textDirection w:val="lrTb"/>
            <w:noWrap w:val="false"/>
          </w:tcPr>
          <w:p>
            <w:pPr>
              <w:pStyle w:val="1036"/>
              <w:pBdr/>
              <w:spacing w:after="60"/>
              <w:ind w:right="-56"/>
              <w:rPr>
                <w:rStyle w:val="1035"/>
                <w:rFonts w:ascii="Times New Roman" w:hAnsi="Times New Roman"/>
                <w:i/>
                <w:color w:val="auto"/>
              </w:rPr>
            </w:pPr>
            <w:r>
              <w:rPr>
                <w:rFonts w:ascii="Times New Roman" w:hAnsi="Times New Roman"/>
                <w:i/>
                <w:color w:val="auto"/>
              </w:rPr>
            </w:r>
            <w:r>
              <w:rPr>
                <w:rStyle w:val="1035"/>
                <w:rFonts w:ascii="Times New Roman" w:hAnsi="Times New Roman"/>
                <w:i/>
                <w:color w:val="auto"/>
              </w:rPr>
            </w:r>
            <w:r>
              <w:rPr>
                <w:rStyle w:val="1035"/>
                <w:rFonts w:ascii="Times New Roman" w:hAnsi="Times New Roman"/>
                <w:i/>
                <w:color w:val="auto"/>
              </w:rPr>
            </w:r>
          </w:p>
        </w:tc>
      </w:tr>
    </w:tbl>
    <w:p>
      <w:pPr>
        <w:pStyle w:val="103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275/2026/0507/VFI-CT.51.A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01 tháng 4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 </w:t>
            </w:r>
            <w:r>
              <w:rPr>
                <w:b/>
                <w:bCs/>
              </w:rPr>
              <w:t xml:space="preserve">Vũ Văn Quân </w:t>
            </w:r>
            <w:r>
              <w:rPr>
                <w:b/>
                <w:bCs/>
                <w:lang w:val="vi-VN"/>
              </w:rPr>
              <w:tab/>
              <w:t xml:space="preserve">Chức vụ: </w:t>
            </w:r>
            <w:r>
              <w:rPr>
                <w:b/>
                <w:bCs/>
              </w:rPr>
              <w:t xml:space="preserve">Chủ tịch HĐQT kiêm Tổng GĐ</w:t>
            </w:r>
            <w:r>
              <w:rPr>
                <w:b/>
                <w:bCs/>
                <w:lang w:val="vi-VN"/>
              </w:rPr>
            </w:r>
            <w:r>
              <w:rPr>
                <w:b/>
                <w:bCs/>
                <w:lang w:val="vi-VN"/>
              </w:rPr>
            </w:r>
          </w:p>
        </w:tc>
      </w:tr>
    </w:tbl>
    <w:p>
      <w:pPr>
        <w:pStyle w:val="103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724"/>
              </w:tabs>
              <w:spacing w:line="276" w:lineRule="auto"/>
              <w:ind w:right="0" w:firstLine="0" w:left="0"/>
              <w:rPr/>
            </w:pPr>
            <w:r>
              <w:rPr>
                <w:rFonts w:ascii="Times New Roman" w:hAnsi="Times New Roman" w:eastAsia="Times New Roman" w:cs="Times New Roman"/>
                <w:b/>
                <w:color w:val="000000"/>
                <w:sz w:val="24"/>
              </w:rPr>
              <w:t xml:space="preserve">BÀ VŨ THỊ NAM BÌNH</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CCCD</w:t>
            </w: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724"/>
              </w:tabs>
              <w:spacing w:line="276" w:lineRule="auto"/>
              <w:ind w:right="0" w:firstLine="0" w:left="0"/>
              <w:rPr/>
            </w:pPr>
            <w:r>
              <w:rPr>
                <w:rFonts w:ascii="Times New Roman" w:hAnsi="Times New Roman" w:eastAsia="Times New Roman" w:cs="Times New Roman"/>
                <w:color w:val="000000"/>
                <w:spacing w:val="-2"/>
                <w:sz w:val="24"/>
              </w:rPr>
              <w:t xml:space="preserve">048181002413</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Ngày sinh</w:t>
            </w: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724"/>
              </w:tabs>
              <w:spacing w:line="276" w:lineRule="auto"/>
              <w:ind w:right="0" w:firstLine="0" w:left="0"/>
              <w:rPr/>
            </w:pPr>
            <w:r>
              <w:rPr>
                <w:rFonts w:ascii="Times New Roman" w:hAnsi="Times New Roman" w:eastAsia="Times New Roman" w:cs="Times New Roman"/>
                <w:color w:val="000000"/>
                <w:spacing w:val="-2"/>
                <w:sz w:val="24"/>
              </w:rPr>
              <w:t xml:space="preserve">1981</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Nơi thường trú</w:t>
            </w:r>
            <w:r/>
          </w:p>
        </w:tc>
        <w:tc>
          <w:tcPr>
            <w:tcBorders/>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724"/>
              </w:tabs>
              <w:spacing w:line="276" w:lineRule="auto"/>
              <w:ind w:right="0" w:firstLine="0" w:left="0"/>
              <w:rPr/>
            </w:pPr>
            <w:r>
              <w:rPr>
                <w:rFonts w:ascii="Times New Roman" w:hAnsi="Times New Roman" w:eastAsia="Times New Roman" w:cs="Times New Roman"/>
                <w:color w:val="000000"/>
                <w:spacing w:val="-2"/>
                <w:sz w:val="24"/>
              </w:rPr>
              <w:t xml:space="preserve">Tổ 38, (</w:t>
            </w:r>
            <w:r>
              <w:rPr>
                <w:rFonts w:ascii="Times New Roman" w:hAnsi="Times New Roman" w:eastAsia="Times New Roman" w:cs="Times New Roman"/>
                <w:i/>
                <w:color w:val="000000"/>
                <w:spacing w:val="-2"/>
                <w:sz w:val="24"/>
              </w:rPr>
              <w:t xml:space="preserve">phường Hoà An, quận Cẩm Lệ</w:t>
            </w:r>
            <w:r>
              <w:rPr>
                <w:rFonts w:ascii="Times New Roman" w:hAnsi="Times New Roman" w:eastAsia="Times New Roman" w:cs="Times New Roman"/>
                <w:color w:val="000000"/>
                <w:spacing w:val="-2"/>
                <w:sz w:val="24"/>
              </w:rPr>
              <w:t xml:space="preserve">) nay là phường An Khê</w:t>
            </w:r>
            <w:r>
              <w:rPr>
                <w:rFonts w:ascii="Times New Roman" w:hAnsi="Times New Roman" w:eastAsia="Times New Roman" w:cs="Times New Roman"/>
                <w:i/>
                <w:color w:val="000000"/>
                <w:spacing w:val="-2"/>
                <w:sz w:val="24"/>
              </w:rPr>
              <w:t xml:space="preserve">,</w:t>
            </w:r>
            <w:r>
              <w:rPr>
                <w:rFonts w:ascii="Times New Roman" w:hAnsi="Times New Roman" w:eastAsia="Times New Roman" w:cs="Times New Roman"/>
                <w:color w:val="000000"/>
                <w:spacing w:val="-2"/>
                <w:sz w:val="24"/>
              </w:rPr>
              <w:t xml:space="preserve"> TP Đà Nẵng).</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và tài sản gắn liền với đất tại thửa đất số: 491, tờ bản đồ số: 48, địa chỉ: Tổ 38, phường Hoà An, quận Cẩm Lệ, thành phố Đà Nẵng (</w:t>
            </w:r>
            <w:r>
              <w:rPr>
                <w:bCs/>
                <w:i/>
                <w:iCs/>
                <w:color w:val="000000" w:themeColor="text1"/>
                <w:lang w:val="pt-BR"/>
              </w:rPr>
              <w:t xml:space="preserve">nay là Phường An Khê, thành phố Đà N</w:t>
            </w:r>
            <w:r>
              <w:rPr>
                <w:bCs/>
                <w:i/>
                <w:iCs/>
                <w:color w:val="000000" w:themeColor="text1"/>
                <w:lang w:val="pt-BR"/>
              </w:rPr>
              <w:t xml:space="preserve">ẵng</w:t>
            </w:r>
            <w:r>
              <w:rPr>
                <w:bCs/>
                <w:color w:val="000000" w:themeColor="text1"/>
                <w:lang w:val="pt-BR"/>
              </w:rPr>
              <w:t xml:space="preserve">) theo Giấy chứng nhận quyền sử dụng đất, quyền sở hữu nhà ở và tài sản khác gắn liền với đất số: DN 409994, số vào sổ cấp GCN: VP 00386 do Văn phòng Đăng ký đất đai thành phố Đà Nẵng cấp ngày 18/01/2024 cho Bà Vũ Thị Nam Bình (</w:t>
            </w:r>
            <w:r>
              <w:rPr>
                <w:bCs/>
                <w:i/>
                <w:iCs/>
                <w:color w:val="000000" w:themeColor="text1"/>
                <w:lang w:val="pt-BR"/>
              </w:rPr>
              <w:t xml:space="preserve">Cập nhật ngày 25/3/2025).</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4/2026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Hòa An, Quận Cẩm Lệ, Thành phố Đà Nẵng</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7"/>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(16.043888888889, 108.18186111111)</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3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4/2026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7"/>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7"/>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7"/>
        <w:pBdr/>
        <w:tabs>
          <w:tab w:val="left" w:leader="none" w:pos="993"/>
        </w:tabs>
        <w:spacing w:after="120" w:before="120" w:line="276" w:lineRule="auto"/>
        <w:ind w:left="0"/>
        <w:jc w:val="both"/>
        <w:rPr>
          <w:lang w:val="pt-BR"/>
        </w:rPr>
      </w:pPr>
      <w:r>
        <w:rPr>
          <w:bCs/>
          <w:color w:val="000000" w:themeColor="text1"/>
          <w:lang w:val="pt-BR"/>
        </w:rPr>
        <w:t xml:space="preserve">-  </w:t>
      </w:r>
      <w:r>
        <w:rPr>
          <w:b/>
          <w:color w:val="000000" w:themeColor="text1"/>
          <w:lang w:val="pt-BR"/>
        </w:rPr>
        <w:t xml:space="preserve"> </w:t>
      </w:r>
      <w:r>
        <w:rPr>
          <w:lang w:val="pt-BR"/>
        </w:rPr>
        <w:t xml:space="preserve">Luật Giá số 16/2023/QH15 ngày 19/6/2023;</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7"/>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7"/>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7"/>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37"/>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37"/>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37"/>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pPr>
        <w:pStyle w:val="1037"/>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37"/>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7"/>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37"/>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DN 409994, số vào sổ cấp GCN: VP 00386 do Văn phòng Đăng ký đất đai thành phố Đà Nẵng cấp ngày 18/01/2024 cho Bà Vũ Thị Nam Bình (</w:t>
      </w:r>
      <w:r>
        <w:rPr>
          <w:bCs/>
          <w:i/>
          <w:iCs/>
          <w:color w:val="000000" w:themeColor="text1"/>
          <w:lang w:val="pt-BR"/>
        </w:rPr>
        <w:t xml:space="preserve">Cập nhật ngày 25/3/2025</w:t>
      </w:r>
      <w:r>
        <w:rPr>
          <w:bCs/>
          <w:color w:val="000000" w:themeColor="text1"/>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37"/>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dịch vụ thẩm định giá số </w:t>
      </w:r>
      <w:r>
        <w:rPr>
          <w:rFonts w:ascii="Times New Roman" w:hAnsi="Times New Roman" w:eastAsia="Times New Roman" w:cs="Times New Roman"/>
          <w:color w:val="000000"/>
          <w:spacing w:val="-2"/>
          <w:sz w:val="24"/>
        </w:rPr>
        <w:t xml:space="preserve"> 275/2026/0507/VFI-HĐTĐ.51.A </w:t>
      </w:r>
      <w:r>
        <w:rPr>
          <w:color w:val="000000" w:themeColor="text1"/>
          <w:lang w:val="pt-BR"/>
        </w:rPr>
        <w:t xml:space="preserve">ngày 31/3/2026 giữa Bà Vũ Thị Nam Bình với Công ty Cổ phần Thẩm định và Đầu tư Tài chính Hoa Sen;</w:t>
      </w:r>
      <w:r>
        <w:rPr>
          <w:b/>
          <w:lang w:val="pt-BR"/>
        </w:rPr>
      </w:r>
      <w:r>
        <w:rPr>
          <w:b/>
          <w:lang w:val="pt-BR"/>
        </w:rPr>
      </w:r>
    </w:p>
    <w:p>
      <w:pPr>
        <w:pStyle w:val="1037"/>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b/>
          <w:color w:val="000000"/>
          <w:sz w:val="24"/>
          <w:highlight w:val="white"/>
        </w:rPr>
        <w:t xml:space="preserve">Thị trường bất động sản Đà Nẵng đang bước vào giai đoạn phục hồi rõ nét, không còn mang tính dò đáy hay cục bộ mà dần hình thành một mặt bằng phát triển mới.</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Những chuyển động về giá, dòng vốn và cấu trúc phân khúc cho thấy thị trường năm 2026 không phải là một “cơn sốt” ngắn hạn, mà là quá trình tái định vị vai trò, động lực và không gian phát triển của thành phố biển trong bối cảnh mới.</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b/>
          <w:color w:val="000000"/>
          <w:sz w:val="24"/>
          <w:highlight w:val="white"/>
        </w:rPr>
        <w:t xml:space="preserve">Tín hiệu của niềm tin trở lại</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Khảo sát của VnBusiness cho thấy, trong hơn một năm qua, giá đất tại nhiều trục đường lớn ở Đà Nẵng đã bắt đầu tăng trở lại. Đất mặt tiền khu lõi trung tâm được chào bán ở mức 66–70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 đất trong hẻm phổ biến 25–50 triệu đồng/m</w:t>
      </w:r>
      <w:r>
        <w:rPr>
          <w:rFonts w:ascii="Times New Roman" w:hAnsi="Times New Roman" w:eastAsia="Times New Roman" w:cs="Times New Roman"/>
          <w:color w:val="000000"/>
          <w:sz w:val="20"/>
          <w:highlight w:val="white"/>
          <w:vertAlign w:val="superscript"/>
        </w:rPr>
        <w:t xml:space="preserve">2</w:t>
      </w:r>
      <w:r>
        <w:rPr>
          <w:rFonts w:ascii="Times New Roman" w:hAnsi="Times New Roman" w:eastAsia="Times New Roman" w:cs="Times New Roman"/>
          <w:color w:val="000000"/>
          <w:sz w:val="24"/>
          <w:highlight w:val="white"/>
        </w:rPr>
        <w:t xml:space="preserve">, trong khi các khu tái định cư dưới chân Bà Nà ghi nhận mức tăng 10–20% chỉ trong 01 năm qua.</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Những con số tăng trưởng tích cực về giá phản ánh sự hồi phục về niềm tin của thị trường, đặc biệt khi mặt bằng giá nhà đất tại Đà Nẵng hiện nay vẫn thấp hơn khoảng 15–20% so với đỉnh cũ.</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Đáng chú ý, xu hướng tăng trên thị trường nhà đất tại Đà Nẵng không chỉ xuất hiện ở các vị trí “nóng” truyền thống mà lan tỏa sang nhiều khu vực vùng ven, cho thấy thị trường đang mở rộng biên độ phát triển.</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Các giao dịch của nhóm nhà đầu tư lâu năm, vốn được xem là “nhiệt kế” của thị trường, cho thấy tâm lý “bắt đáy” đang dần chiếm ưu thế, thay cho trạng thái phòng thủ kéo dài trong giai đoạn trước.</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Đặc biệt, sự trở lại của dòng vốn từ Hà Nội, TP.HCM và các tỉnh phía Bắc là một chỉ báo quan trọng. Thay vì tập trung vào khu lõi đã tăng mạnh trong quá khứ, nhà đầu tư ngoại tỉnh đang hướng đến những khu vực còn dư địa phát triển như Cẩm Lệ, Liên Chiểu ha</w:t>
      </w:r>
      <w:r>
        <w:rPr>
          <w:rFonts w:ascii="Times New Roman" w:hAnsi="Times New Roman" w:eastAsia="Times New Roman" w:cs="Times New Roman"/>
          <w:color w:val="000000"/>
          <w:sz w:val="24"/>
          <w:highlight w:val="white"/>
        </w:rPr>
        <w:t xml:space="preserve">y vùng giáp ranh Bắc Quảng Nam (cũ). Điều này phản ánh một tư duy đầu tư không chờ đợi sự bùng nổ rõ ràng, mà tìm kiếm lợi thế ở giai đoạn đầu của chu kỳ tăng trưởng.</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Trường hợp nhà đầu tư Trần Xuân Lâm (quận Hải Châu) là ví dụ điển hình. Với nhận định giá hiện tại vẫn thấp hơn đáng kể so với giai đoạn cao điểm, anh Lâm và nhóm của mình coi đây là vùng giá hợp lý để quay lại thị trường, đón đầu những chuyển động lớn đan</w:t>
      </w:r>
      <w:r>
        <w:rPr>
          <w:rFonts w:ascii="Times New Roman" w:hAnsi="Times New Roman" w:eastAsia="Times New Roman" w:cs="Times New Roman"/>
          <w:color w:val="000000"/>
          <w:sz w:val="24"/>
          <w:highlight w:val="white"/>
        </w:rPr>
        <w:t xml:space="preserve">g hình thành, thay vì chạy theo làn sóng khi mọi thứ đã quá rõ ràng.</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Cũng cần phải nói thêm, một trong những yếu tố tạo lực đẩy mạnh mẽ nhất cho thị trường bất động sản Đà Nẵng giai đoạn này chính là việc sáp nhập hành chính giữa Đà Nẵng và Quảng Nam. Sự kiện này không chỉ mang ý nghĩa địa giới, mà quan trọng hơn là mở ra k</w:t>
      </w:r>
      <w:r>
        <w:rPr>
          <w:rFonts w:ascii="Times New Roman" w:hAnsi="Times New Roman" w:eastAsia="Times New Roman" w:cs="Times New Roman"/>
          <w:color w:val="000000"/>
          <w:sz w:val="24"/>
          <w:highlight w:val="white"/>
        </w:rPr>
        <w:t xml:space="preserve">hông gian phát triển đô thị chưa từng có.</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Khi “trung tâm” mới được tái định hình, dòng vốn, hạ tầng, dân cư và nhu cầu an cư có xu hướng hội tụ về Đà Nẵng. Khu đô thị Điện Nam – Điện Ngọc nhanh chóng trở thành điểm nóng, với giá nhiều khu tăng mạnh chỉ trong thời gian ngắn sau khi thông tin sáp nh</w:t>
      </w:r>
      <w:r>
        <w:rPr>
          <w:rFonts w:ascii="Times New Roman" w:hAnsi="Times New Roman" w:eastAsia="Times New Roman" w:cs="Times New Roman"/>
          <w:color w:val="000000"/>
          <w:sz w:val="24"/>
          <w:highlight w:val="white"/>
        </w:rPr>
        <w:t xml:space="preserve">ập được xác nhận.</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Ở phía Tây Bắc, các dự án như Golden Hills hay Bàu Tràm Lakeside cũng ghi nhận mức tăng 10–15% trong vòng nửa năm, phản ánh kỳ vọng rõ rệt vào trục phát triển mới của thành phố.</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b/>
          <w:color w:val="000000"/>
          <w:sz w:val="24"/>
          <w:highlight w:val="white"/>
        </w:rPr>
        <w:t xml:space="preserve">Tăng trưởng trong chọn lọc</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Bước sang năm 2026, thị trường bất động sản Đà Nẵng được dự báo tiếp tục duy trì xu hướng tăng trưởng tích cực, song khó xảy ra kịch bản bùng nổ đồng loạt.</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Theo ông Đoàn Thanh Phong, Tổng Giám đốc Công ty CP Đầu tư Bất động sản Dana, động lực của giai đoạn tới đến từ những yếu tố mang tính nền tảng, như Đà Nẵng trong tiến trình trở thành Trung tâm tài chính quốc tế, các khu thương mại tự do bắt đầu được triển</w:t>
      </w:r>
      <w:r>
        <w:rPr>
          <w:rFonts w:ascii="Times New Roman" w:hAnsi="Times New Roman" w:eastAsia="Times New Roman" w:cs="Times New Roman"/>
          <w:color w:val="000000"/>
          <w:sz w:val="24"/>
          <w:highlight w:val="white"/>
        </w:rPr>
        <w:t xml:space="preserve"> khai, cùng với đà phục hồi bền vững của ngành du lịch.</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Những yếu tố trên kéo theo nguồn nhân lực chất lượng cao, đội ngũ chuyên gia, kỹ sư và lao động có thu nhập tốt đến sinh sống và làm việc, qua đó thúc đẩy nhu cầu nhà ở.</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Ở phân khúc đất nền, quỹ đất trung tâm ngày càng hạn chế, trong khi các quy định mới không còn cho phép phân lô bán nền tràn lan. Thị trường hiện gần như không còn nguồn cung sơ cấp, giao dịch chủ yếu diễn ra trên thị trường thứ cấp, tại các dự án đã có sổ</w:t>
      </w:r>
      <w:r>
        <w:rPr>
          <w:rFonts w:ascii="Times New Roman" w:hAnsi="Times New Roman" w:eastAsia="Times New Roman" w:cs="Times New Roman"/>
          <w:color w:val="000000"/>
          <w:sz w:val="24"/>
          <w:highlight w:val="white"/>
        </w:rPr>
        <w:t xml:space="preserve"> hoặc từng “đóng băng” trước đây.</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Hai khu vực được đánh giá có dư địa tăng trưởng tốt là Tây Bắc Đà Nẵng và Đông Nam – giáp Bắc Quảng Nam (cũ). Tại Tây Bắc, các dự án Bàu Tràm Lakeside, Golden Hills City, hay sắp tới là Dragon City-Park hưởng lợi trực tiếp từ hệ sinh thái hạ tầng. Mặt bằng</w:t>
      </w:r>
      <w:r>
        <w:rPr>
          <w:rFonts w:ascii="Times New Roman" w:hAnsi="Times New Roman" w:eastAsia="Times New Roman" w:cs="Times New Roman"/>
          <w:color w:val="000000"/>
          <w:sz w:val="24"/>
          <w:highlight w:val="white"/>
        </w:rPr>
        <w:t xml:space="preserve"> giá 35–40 triệu đồng/m</w:t>
      </w:r>
      <w:r>
        <w:rPr>
          <w:rFonts w:ascii="Times New Roman" w:hAnsi="Times New Roman" w:eastAsia="Times New Roman" w:cs="Times New Roman"/>
          <w:color w:val="000000"/>
          <w:sz w:val="20"/>
          <w:highlight w:val="white"/>
          <w:vertAlign w:val="superscript"/>
        </w:rPr>
        <w:t xml:space="preserve">2 </w:t>
      </w:r>
      <w:r>
        <w:rPr>
          <w:rFonts w:ascii="Times New Roman" w:hAnsi="Times New Roman" w:eastAsia="Times New Roman" w:cs="Times New Roman"/>
          <w:color w:val="000000"/>
          <w:sz w:val="24"/>
          <w:highlight w:val="white"/>
        </w:rPr>
        <w:t xml:space="preserve">hiện vẫn “mềm” so với khu lõi, tạo dư địa tăng trưởng trong 2–3 năm tới.</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Ngược lại, các khu vực lõi như Hòa Xuân chủ yếu phục vụ nhu cầu ở thực, dư địa tăng giá không còn lớn và biến động giá chủ yếu đi theo lạm phát hoặc lãi suất.</w:t>
      </w:r>
      <w:r/>
    </w:p>
    <w:p>
      <w:pPr>
        <w:pBdr>
          <w:top w:val="none" w:color="000000" w:sz="4" w:space="0"/>
          <w:left w:val="none" w:color="000000" w:sz="4" w:space="0"/>
          <w:bottom w:val="none" w:color="000000" w:sz="4" w:space="0"/>
          <w:right w:val="none" w:color="000000" w:sz="4" w:space="0"/>
        </w:pBdr>
        <w:shd w:val="clear" w:color="ffffff" w:fill="ffffff"/>
        <w:spacing w:after="60" w:before="60" w:line="264" w:lineRule="auto"/>
        <w:ind w:right="0" w:firstLine="284" w:left="0"/>
        <w:jc w:val="both"/>
        <w:rPr/>
      </w:pPr>
      <w:r>
        <w:rPr>
          <w:rFonts w:ascii="Times New Roman" w:hAnsi="Times New Roman" w:eastAsia="Times New Roman" w:cs="Times New Roman"/>
          <w:color w:val="000000"/>
          <w:sz w:val="24"/>
          <w:highlight w:val="white"/>
        </w:rPr>
        <w:t xml:space="preserve">Giới chuyên gia nhìn nhận vấn đề của thị trường hiện nay không còn là “có nên đầu tư hay không”, mà là “đầu tư vào đâu và như thế nào”. Cơ hội vẫn hiện hữu, nhưng chỉ dành cho các sản phẩm có pháp lý rõ ràng, vị trí gắn với hạ tầng và khả năng vận hành thự</w:t>
      </w:r>
      <w:r>
        <w:rPr>
          <w:rFonts w:ascii="Times New Roman" w:hAnsi="Times New Roman" w:eastAsia="Times New Roman" w:cs="Times New Roman"/>
          <w:color w:val="000000"/>
          <w:sz w:val="24"/>
          <w:highlight w:val="white"/>
        </w:rPr>
        <w:t xml:space="preserve">c tế.</w:t>
      </w:r>
      <w:r/>
    </w:p>
    <w:p>
      <w:pPr>
        <w:pBdr>
          <w:top w:val="none" w:color="000000" w:sz="4" w:space="0"/>
          <w:left w:val="none" w:color="000000" w:sz="4" w:space="0"/>
          <w:bottom w:val="none" w:color="000000" w:sz="4" w:space="0"/>
          <w:right w:val="none" w:color="000000" w:sz="4" w:space="0"/>
        </w:pBdr>
        <w:shd w:val="clear" w:color="ffffff" w:fill="ffffff"/>
        <w:tabs>
          <w:tab w:val="left" w:leader="none" w:pos="426"/>
        </w:tabs>
        <w:spacing w:after="120" w:before="120" w:line="276" w:lineRule="auto"/>
        <w:ind w:right="0" w:firstLine="0" w:left="0"/>
        <w:jc w:val="center"/>
        <w:rPr>
          <w:u w:val="none"/>
        </w:rPr>
      </w:pPr>
      <w:r>
        <w:rPr>
          <w:rFonts w:ascii="Times New Roman" w:hAnsi="Times New Roman" w:eastAsia="Times New Roman" w:cs="Times New Roman"/>
          <w:i/>
          <w:color w:val="000000"/>
          <w:sz w:val="24"/>
          <w:highlight w:val="white"/>
          <w:u w:val="none"/>
        </w:rPr>
        <w:t xml:space="preserve">(Nguồn tham khảo: </w:t>
      </w:r>
      <w:r>
        <w:rPr>
          <w:rFonts w:ascii="Times New Roman" w:hAnsi="Times New Roman" w:eastAsia="Times New Roman" w:cs="Times New Roman"/>
          <w:i/>
          <w:color w:val="000000"/>
          <w:sz w:val="24"/>
          <w:u w:val="none"/>
        </w:rPr>
        <w:t xml:space="preserve">https://web.stockbiz.vn/News/2026/1/19/1854355/noi-soi-thi-truong-bat-dong-san-da-nang-2026.aspx</w:t>
      </w:r>
      <w:r>
        <w:rPr>
          <w:rFonts w:ascii="Times New Roman" w:hAnsi="Times New Roman" w:eastAsia="Times New Roman" w:cs="Times New Roman"/>
          <w:i/>
          <w:color w:val="000000"/>
          <w:sz w:val="24"/>
          <w:highlight w:val="white"/>
          <w:u w:val="none"/>
        </w:rPr>
        <w:t xml:space="preserve">)</w:t>
      </w:r>
      <w:r>
        <w:rPr>
          <w:u w:val="none"/>
        </w:rPr>
      </w:r>
      <w:r>
        <w:rPr>
          <w:u w:val="none"/>
        </w:rPr>
      </w:r>
    </w:p>
    <w:p>
      <w:pPr>
        <w:pStyle w:val="103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841"/>
        <w:gridCol w:w="2245"/>
        <w:gridCol w:w="1843"/>
        <w:gridCol w:w="2552"/>
        <w:gridCol w:w="2012"/>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300"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491, tờ bản đồ số: 48, địa chỉ: Tổ 38, phường Hoà An, quận Cẩm Lệ, thành phố Đà Nẵng </w:t>
            </w:r>
            <w:r>
              <w:rPr>
                <w:rFonts w:ascii="Times New Roman" w:hAnsi="Times New Roman" w:eastAsia="Times New Roman" w:cs="Times New Roman"/>
                <w:b/>
                <w:i/>
                <w:color w:val="000000"/>
                <w:sz w:val="24"/>
              </w:rPr>
              <w:t xml:space="preserve">(nay là Phường An Khê, thành phố Đà Nẵng)</w:t>
            </w:r>
            <w:r>
              <w:rPr>
                <w:rFonts w:ascii="Times New Roman" w:hAnsi="Times New Roman" w:eastAsia="Times New Roman" w:cs="Times New Roman"/>
                <w:b/>
                <w:color w:val="000000"/>
                <w:sz w:val="24"/>
              </w:rPr>
              <w:t xml:space="preserve"> theo Giấy chứng nhận quyền sử dụng đất, quyền sở hữu nhà ở và tài sản khác gắn liền với đất số: DN 409994, số vào sổ cấp GCN: VP 00386 do Văn phòng Đăng ký đất đai thành phố Đà Nẵng cấp ngày 18/01/2024 cho Bà Vũ Thị Nam Bình (</w:t>
            </w:r>
            <w:r>
              <w:rPr>
                <w:rFonts w:ascii="Times New Roman" w:hAnsi="Times New Roman" w:eastAsia="Times New Roman" w:cs="Times New Roman"/>
                <w:b/>
                <w:i/>
                <w:color w:val="000000"/>
                <w:sz w:val="24"/>
              </w:rPr>
              <w:t xml:space="preserve">Cập nhật ngày 25/3/2025</w:t>
            </w:r>
            <w:r>
              <w:rPr>
                <w:rFonts w:ascii="Times New Roman" w:hAnsi="Times New Roman" w:eastAsia="Times New Roman" w:cs="Times New Roman"/>
                <w:b/>
                <w:color w:val="000000"/>
                <w:sz w:val="24"/>
              </w:rPr>
              <w:t xml:space="preserve">).</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Thửa đất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491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Tờ bản đồ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48</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4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Tổ 38, phường Hoà An, quận Cẩm Lệ, thành phố Đà Nẵng </w:t>
            </w:r>
            <w:r>
              <w:rPr>
                <w:rFonts w:ascii="Times New Roman" w:hAnsi="Times New Roman" w:eastAsia="Times New Roman" w:cs="Times New Roman"/>
                <w:i/>
                <w:color w:val="000000"/>
                <w:sz w:val="24"/>
              </w:rPr>
              <w:t xml:space="preserve">(nay là phường An Khê, thành phố Đà Nẵng)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4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Nhận thừa kế đất được công nhận QSDĐ như giao đất có thu tiền sử dụng đất.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Thông tin quy hoạch: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4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thẩm định giá, Tổ thẩm định chưa thu thập được các thông tin quy hoạch liên quan đến thửa đất thẩm định giá.</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Nhà ở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Loại nhà ở:</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Nhà ở riêng lẻ (03 tầng)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Hình thức sở hữu:</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Sở hữu riêng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xây dựng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57,2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Diện tích sàn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162,4</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sở hữu:</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Cấp (Hạng):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Cấp 3</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 thực tế: </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4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Kiệt 428/20 đường Tôn Đản (</w:t>
            </w:r>
            <w:r>
              <w:rPr>
                <w:rFonts w:ascii="Times New Roman" w:hAnsi="Times New Roman" w:eastAsia="Times New Roman" w:cs="Times New Roman"/>
                <w:i/>
                <w:color w:val="000000"/>
                <w:sz w:val="24"/>
              </w:rPr>
              <w:t xml:space="preserve">đường Hoà An 25</w:t>
            </w:r>
            <w:r>
              <w:rPr>
                <w:rFonts w:ascii="Times New Roman" w:hAnsi="Times New Roman" w:eastAsia="Times New Roman" w:cs="Times New Roman"/>
                <w:color w:val="000000"/>
                <w:sz w:val="24"/>
              </w:rPr>
              <w:t xml:space="preserve">), phường An Khê, thành phố Đà Nẵng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tiếp giáp chính: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Lối đi chung lát gạch đỏ</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Số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01 mặt tiền</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Lối đi chung lát gạch đỏ 3m (</w:t>
            </w:r>
            <w:r>
              <w:rPr>
                <w:rFonts w:ascii="Times New Roman" w:hAnsi="Times New Roman" w:eastAsia="Times New Roman" w:cs="Times New Roman"/>
                <w:i/>
                <w:color w:val="000000"/>
                <w:sz w:val="24"/>
              </w:rPr>
              <w:t xml:space="preserve">Đường nhựa dẫn vào rộng 5m</w:t>
            </w: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Lối đi chung lát gạch đỏ 3m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4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nằm tại phường An Khê, thành phố Đà Nẵng</w:t>
            </w:r>
            <w:r>
              <w:rPr>
                <w:rFonts w:ascii="Times New Roman" w:hAnsi="Times New Roman" w:eastAsia="Times New Roman" w:cs="Times New Roman"/>
                <w:i/>
                <w:color w:val="000000"/>
                <w:sz w:val="24"/>
              </w:rPr>
              <w:t xml:space="preserve">, </w:t>
            </w:r>
            <w:r>
              <w:rPr>
                <w:rFonts w:ascii="Times New Roman" w:hAnsi="Times New Roman" w:eastAsia="Times New Roman" w:cs="Times New Roman"/>
                <w:color w:val="000000"/>
                <w:sz w:val="24"/>
              </w:rPr>
              <w:t xml:space="preserve">cách đường Tôn Đản khoảng 127m.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4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Hướng Tây Nam: Tiếp giáp lối đi chung 3m, (</w:t>
            </w:r>
            <w:r>
              <w:rPr>
                <w:rFonts w:ascii="Times New Roman" w:hAnsi="Times New Roman" w:eastAsia="Times New Roman" w:cs="Times New Roman"/>
                <w:i/>
                <w:color w:val="000000"/>
                <w:sz w:val="24"/>
              </w:rPr>
              <w:t xml:space="preserve">theo GCN, hướng Tây Bắc là đường bê tông, hiện trạng có cửa đi nhưng ít sử dụng</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Các hướng khác: Tiếp giáp các thửa đất khác.</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trên bản đồ vệ tinh:</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5314950" cy="286702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17160" name=""/>
                              <pic:cNvPicPr>
                                <a:picLocks noChangeAspect="1"/>
                              </pic:cNvPicPr>
                              <pic:nvPr/>
                            </pic:nvPicPr>
                            <pic:blipFill rotWithShape="1">
                              <a:blip r:embed="rId17"/>
                              <a:stretch/>
                            </pic:blipFill>
                            <pic:spPr bwMode="auto">
                              <a:xfrm>
                                <a:off x="0" y="0"/>
                                <a:ext cx="5314949" cy="2867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8.50pt;height:225.75pt;mso-wrap-distance-left:0.00pt;mso-wrap-distance-top:0.00pt;mso-wrap-distance-right:0.00pt;mso-wrap-distance-bottom:0.00pt;z-index:1;" stroked="false">
                      <v:imagedata r:id="rId17" o:title=""/>
                      <o:lock v:ext="edit" rotation="t"/>
                    </v:shape>
                  </w:pict>
                </mc:Fallback>
              </mc:AlternateConten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14,24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Chiều sâu (m):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10,76</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dáng: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Tương đối vuông vức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Tây Nam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4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40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Khá đông đúc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4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Phù hợp để ở</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Tài sản gắn liền với đất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52"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Căn cứ theo hiện trạng khảo sát thực tế dưới sự hướng dẫn của Khách hàng, trên đất có CTXD là nhà 03 tầng, diện tích xây dựng 57,2m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pacing w:val="3"/>
                <w:sz w:val="24"/>
                <w:highlight w:val="white"/>
              </w:rPr>
              <w:t xml:space="preserve">Phần diện tích đất trống chưa xây dựng hết theo hướng Nam khoảng 12m</w:t>
            </w:r>
            <w:r>
              <w:rPr>
                <w:rFonts w:ascii="Times New Roman" w:hAnsi="Times New Roman" w:eastAsia="Times New Roman" w:cs="Times New Roman"/>
                <w:i/>
                <w:color w:val="000000"/>
                <w:spacing w:val="3"/>
                <w:sz w:val="20"/>
                <w:highlight w:val="white"/>
                <w:vertAlign w:val="superscript"/>
              </w:rPr>
              <w:t xml:space="preserve">2</w:t>
            </w:r>
            <w:r>
              <w:rPr>
                <w:rFonts w:ascii="Times New Roman" w:hAnsi="Times New Roman" w:eastAsia="Times New Roman" w:cs="Times New Roman"/>
                <w:i/>
                <w:color w:val="000000"/>
                <w:spacing w:val="3"/>
                <w:sz w:val="24"/>
                <w:highlight w:val="white"/>
              </w:rPr>
              <w:t xml:space="preserve">, được xây hợp thửa với thửa đất liền kề là Mẹ ruột chủ tài sản, nhà có vách ngăn riêng biệt</w:t>
            </w:r>
            <w:r>
              <w:rPr>
                <w:rFonts w:ascii="Times New Roman" w:hAnsi="Times New Roman" w:eastAsia="Times New Roman" w:cs="Times New Roman"/>
                <w:color w:val="000000"/>
                <w:sz w:val="24"/>
              </w:rPr>
              <w:t xml:space="preserve">); và tổng diện tích sàn 162,4m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CTXD đã được ghi nhận GCN số: DN 409994.</w:t>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Bám đầm, ao lớn thuộc sở hữu nhà nước (ao lớn - S=0.5ha)&lt;5ha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both"/>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jc w:val="both"/>
              <w:rPr>
                <w:lang w:eastAsia="ko-KR"/>
              </w:rPr>
            </w:pPr>
            <w:r>
              <w:rPr>
                <w:lang w:eastAsia="ko-KR"/>
              </w:rPr>
            </w:r>
            <w:r>
              <w:rPr>
                <w:lang w:eastAsia="ko-KR"/>
              </w:rPr>
            </w:r>
            <w:r>
              <w:rPr>
                <w:lang w:eastAsia="ko-KR"/>
              </w:rPr>
            </w:r>
          </w:p>
        </w:tc>
      </w:tr>
    </w:tbl>
    <w:p>
      <w:pPr>
        <w:pBdr/>
        <w:spacing w:line="235" w:lineRule="auto"/>
        <w:ind w:left="0"/>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nằm dưới chân cầu, đường dốc cao (Thế bị xung</w:t>
            </w:r>
            <w:r>
              <w:rPr>
                <w:lang w:eastAsia="ko-KR"/>
              </w:rPr>
              <w:t xml:space="preserve"> :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3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7"/>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37"/>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7"/>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7"/>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7"/>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7"/>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7"/>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37"/>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37"/>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37"/>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37"/>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pPr>
        <w:pStyle w:val="103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7"/>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37"/>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hội,… với tài sản thẩm định giá, cụ thể như sau:</w:t>
      </w:r>
      <w:r>
        <w:rPr>
          <w:bCs/>
          <w:lang w:val="pt-BR"/>
        </w:rPr>
      </w:r>
      <w:r>
        <w:rPr>
          <w:bCs/>
          <w:lang w:val="pt-BR"/>
        </w:rPr>
      </w:r>
    </w:p>
    <w:p>
      <w:pPr>
        <w:pStyle w:val="1037"/>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1701"/>
        <w:gridCol w:w="1772"/>
        <w:gridCol w:w="1772"/>
        <w:gridCol w:w="1772"/>
        <w:gridCol w:w="1772"/>
      </w:tblGrid>
      <w:tr>
        <w:trPr>
          <w:trHeight w:val="30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ĐẶC ĐIỂM BĐS</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TSTĐ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TSSS1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TSSS2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TSSS3</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A</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Thông tin về 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165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Kiệt 428 Tôn Đản, Phường Hoà An, quận Cẩm Lệ, thành phố Đà Nẵng </w:t>
            </w:r>
            <w:r>
              <w:rPr>
                <w:rFonts w:ascii="Times New Roman" w:hAnsi="Times New Roman" w:eastAsia="Times New Roman" w:cs="Times New Roman"/>
                <w:i/>
                <w:color w:val="000000"/>
                <w:sz w:val="24"/>
              </w:rPr>
              <w:t xml:space="preserve">(nay là phường An Khê, thành phố Đà Nẵng)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Kiệt 500 Tôn Đản, phường Hoà An, quận Cẩm Lệ, thành phố Đà Nẵng </w:t>
            </w:r>
            <w:r>
              <w:rPr>
                <w:rFonts w:ascii="Times New Roman" w:hAnsi="Times New Roman" w:eastAsia="Times New Roman" w:cs="Times New Roman"/>
                <w:i/>
                <w:color w:val="000000"/>
                <w:sz w:val="24"/>
              </w:rPr>
              <w:t xml:space="preserve">(nay là phường An Khê, thành phố Đà Nẵng)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Kiệt 408 Tôn Đản, phường Hoà An, quận Cẩm Lệ, thành phố Đà Nẵng </w:t>
            </w:r>
            <w:r>
              <w:rPr>
                <w:rFonts w:ascii="Times New Roman" w:hAnsi="Times New Roman" w:eastAsia="Times New Roman" w:cs="Times New Roman"/>
                <w:i/>
                <w:color w:val="000000"/>
                <w:sz w:val="24"/>
              </w:rPr>
              <w:t xml:space="preserve">(nay là phường An Khê, thành phố Đà Nẵng)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Kiệt 428 Tôn Đản, phường Hoà An, quận Cẩm Lệ, thành phố Đà Nẵng </w:t>
            </w:r>
            <w:r>
              <w:rPr>
                <w:rFonts w:ascii="Times New Roman" w:hAnsi="Times New Roman" w:eastAsia="Times New Roman" w:cs="Times New Roman"/>
                <w:i/>
                <w:color w:val="000000"/>
                <w:sz w:val="24"/>
              </w:rPr>
              <w:t xml:space="preserve">(nay là phường An Khê, thành phố Đà Nẵng)</w:t>
            </w:r>
            <w:r/>
          </w:p>
        </w:tc>
      </w:tr>
      <w:tr>
        <w:trPr>
          <w:trHeight w:val="132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Nguồn tham khảo</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highlight w:val="white"/>
              </w:rPr>
              <w:t xml:space="preserve">https://www.facebook.com/share/p/1FUrBpvThG/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highlight w:val="white"/>
              </w:rPr>
              <w:t xml:space="preserve">https://www.facebook.com/share/p/1F6kSRQKBd/</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highlight w:val="white"/>
              </w:rPr>
              <w:t xml:space="preserve">Liên hệ trực tiếp</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Thông tin liên lạc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SĐT: 0905.931022 </w:t>
              <w:br/>
              <w:t xml:space="preserve"> (Sale Phượng)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SĐT: 0900.5550757</w:t>
              <w:br/>
              <w:t xml:space="preserve"> (C.Thảo)</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SĐT: 0900.5550757</w:t>
              <w:br/>
              <w:t xml:space="preserve"> (C.Thảo)</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Tình trạng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Đang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Đang giao dịch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Đang giao dịch</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điểm thu thập thông tin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Tháng 4/2026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Tháng 4/2026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Tháng 4/2026</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quyền sử dụng đất</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Tài sản tại: Kiệt 428 Tôn Đản, phường An Khê, thành phố Đà Nẵng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Tài sản tại: Kiệt 500 Tôn Đản, phường An Khê, thành phố Đà Nẵng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Tài sản tại: Kiệt 408 Tôn Đản, phường An Khê, thành phố Đà Nẵng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Tài sản tại: Kiệt 428 Tôn Đản, phường An Khê, thành phố Đà Nẵng</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Giao thông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Lối đi chung lát gạch đỏ (</w:t>
            </w:r>
            <w:r>
              <w:rPr>
                <w:rFonts w:ascii="Times New Roman" w:hAnsi="Times New Roman" w:eastAsia="Times New Roman" w:cs="Times New Roman"/>
                <w:i/>
                <w:color w:val="000000"/>
                <w:sz w:val="24"/>
              </w:rPr>
              <w:t xml:space="preserve">đường nhựa 5m dẫn vào)</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bê tông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bê tông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nhựa không có vỉa hè</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Độ rộng đường trước tài sản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5,0</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đất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58,0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60,0</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10,56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4,0</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Số lượng mặt tiếp giáp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Tiếp giáp 1 mặt tiền</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Tương đối vuông vức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Nở hậu</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đối vuông vức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đối vuông vức</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Bất lợi thương mại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Ngõ cụt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Không có bất lợi thương mại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 có bất lợi thương mại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 có bất lợi thương mại</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Giá rao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3.500.000.000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3.230.000.000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5.640.000.000</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Giá thương lượng/bán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2.975.000.000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2.745.500.000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4.794.000.000</w:t>
            </w:r>
            <w:r/>
          </w:p>
        </w:tc>
      </w:tr>
      <w:tr>
        <w:trPr>
          <w:trHeight w:val="31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B</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Chi tiết tính toán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Giá trị tài sản trên đất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1.285.707.654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395.946.429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1.840.633.920</w:t>
            </w:r>
            <w:r/>
          </w:p>
        </w:tc>
      </w:tr>
      <w:tr>
        <w:trPr>
          <w:trHeight w:val="13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i/>
                <w:color w:val="000000"/>
                <w:sz w:val="24"/>
              </w:rPr>
              <w:t xml:space="preserve">Đơn giá xây dựng theo Quyết định số 409/QĐ-BXD ngày 11/4/2025 của Bộ Xây Dựng (đồng/m²)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8.225.000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5.363.000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8.350.000</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i/>
                <w:color w:val="000000"/>
                <w:sz w:val="24"/>
              </w:rPr>
              <w:t xml:space="preserve"> Tỷ lệ % CLCL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99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98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89</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i/>
                <w:color w:val="000000"/>
                <w:sz w:val="24"/>
              </w:rPr>
              <w:t xml:space="preserve">Tỷ lệ % hoàn thiện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100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100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4"/>
              </w:rPr>
              <w:t xml:space="preserve">100</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Giá trị đất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b/>
                <w:bCs/>
              </w:rPr>
            </w:pPr>
            <w:r>
              <w:rPr>
                <w:rFonts w:ascii="Times New Roman" w:hAnsi="Times New Roman" w:eastAsia="Times New Roman" w:cs="Times New Roman"/>
                <w:b/>
                <w:bCs/>
                <w:color w:val="000000"/>
                <w:sz w:val="22"/>
              </w:rPr>
              <w:t xml:space="preserve">1.689.292.346</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b/>
                <w:bCs/>
              </w:rPr>
            </w:pPr>
            <w:r>
              <w:rPr>
                <w:rFonts w:ascii="Times New Roman" w:hAnsi="Times New Roman" w:eastAsia="Times New Roman" w:cs="Times New Roman"/>
                <w:b/>
                <w:bCs/>
                <w:color w:val="000000"/>
                <w:sz w:val="22"/>
              </w:rPr>
              <w:t xml:space="preserve">2.349.553.571</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b/>
                <w:bCs/>
              </w:rPr>
            </w:pPr>
            <w:r>
              <w:rPr>
                <w:rFonts w:ascii="Times New Roman" w:hAnsi="Times New Roman" w:eastAsia="Times New Roman" w:cs="Times New Roman"/>
                <w:b/>
                <w:bCs/>
                <w:color w:val="000000"/>
                <w:sz w:val="22"/>
              </w:rPr>
              <w:t xml:space="preserve">2.953.366.080</w:t>
            </w:r>
            <w:r>
              <w:rPr>
                <w:b/>
                <w:bCs/>
              </w:rPr>
            </w:r>
            <w:r>
              <w:rPr>
                <w:b/>
                <w:bCs/>
              </w:rP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Đơn giá QSDĐ (đồng/m²)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b/>
                <w:bCs/>
              </w:rPr>
            </w:pPr>
            <w:r>
              <w:rPr>
                <w:rFonts w:ascii="Times New Roman" w:hAnsi="Times New Roman" w:eastAsia="Times New Roman" w:cs="Times New Roman"/>
                <w:b/>
                <w:bCs/>
                <w:color w:val="000000"/>
                <w:sz w:val="22"/>
              </w:rPr>
              <w:t xml:space="preserve">33.123.379</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b/>
                <w:bCs/>
              </w:rPr>
            </w:pPr>
            <w:r>
              <w:rPr>
                <w:rFonts w:ascii="Times New Roman" w:hAnsi="Times New Roman" w:eastAsia="Times New Roman" w:cs="Times New Roman"/>
                <w:b/>
                <w:bCs/>
                <w:color w:val="000000"/>
                <w:sz w:val="22"/>
              </w:rPr>
              <w:t xml:space="preserve">40.509.544</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b/>
                <w:bCs/>
              </w:rPr>
            </w:pPr>
            <w:r>
              <w:rPr>
                <w:rFonts w:ascii="Times New Roman" w:hAnsi="Times New Roman" w:eastAsia="Times New Roman" w:cs="Times New Roman"/>
                <w:b/>
                <w:bCs/>
                <w:color w:val="000000"/>
                <w:sz w:val="22"/>
              </w:rPr>
              <w:t xml:space="preserve">49.222.768</w:t>
            </w:r>
            <w:r>
              <w:rPr>
                <w:b/>
                <w:bCs/>
              </w:rPr>
            </w:r>
            <w:r>
              <w:rPr>
                <w:b/>
                <w:bCs/>
              </w:rP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NHẬN XÉT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Lợi thế hơn</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Giao thông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Lợi thế hơn</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Độ rộng đường trước tài sản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Lợi thế hơn</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đất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Lợi thế hơn</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Kém lợi thế hơn</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Số lượng mặt tiếp giáp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Bất lợi thương mại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Lợi thế hơn</w:t>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Yếu tố khác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Lợi thế hơn</w:t>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dựa trên ba tài sản so sánh tương đồng với tài sản thẩm định giá, Tổ thẩm định phân tích các </w:t>
      </w:r>
      <w:r>
        <w:rPr>
          <w:lang w:val="it-IT"/>
        </w:rPr>
        <w:t xml:space="preserve">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7"/>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41"/>
        <w:tblInd w:w="-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12"/>
        <w:gridCol w:w="1809"/>
        <w:gridCol w:w="1276"/>
        <w:gridCol w:w="1525"/>
        <w:gridCol w:w="1525"/>
        <w:gridCol w:w="1559"/>
        <w:gridCol w:w="1559"/>
      </w:tblGrid>
      <w:tr>
        <w:trPr>
          <w:trHeight w:val="63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82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1.689.292.346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2.349.553.571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2.953.366.080</w:t>
            </w:r>
            <w:r/>
          </w:p>
        </w:tc>
      </w:tr>
      <w:tr>
        <w:trPr>
          <w:trHeight w:val="552"/>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33.123.379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40.509.544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49.222.768</w:t>
            </w:r>
            <w:r/>
          </w:p>
        </w:tc>
      </w:tr>
      <w:tr>
        <w:trPr>
          <w:trHeight w:val="525"/>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83"/>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24"/>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33.123.379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40.509.544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49.222.768 </w:t>
            </w:r>
            <w:r/>
          </w:p>
        </w:tc>
      </w:tr>
      <w:tr>
        <w:trPr>
          <w:trHeight w:val="150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tại: Kiệt 428 Tôn Đản, phường An Khê, thành phố Đà Nẵng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tại: Kiệt 500 Tôn Đản, phường An Khê, thành phố Đà Nẵng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tại: Kiệt 408 Tôn Đản, phường An Khê, thành phố Đà Nẵng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tại: Kiệt 428 Tôn Đản, phường An Khê, thành phố Đà Nẵng</w:t>
            </w:r>
            <w:r/>
          </w:p>
        </w:tc>
      </w:tr>
      <w:tr>
        <w:trPr>
          <w:trHeight w:val="434"/>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r>
      <w:tr>
        <w:trPr>
          <w:trHeight w:val="342"/>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-7.383.415 </w:t>
            </w:r>
            <w:r/>
          </w:p>
        </w:tc>
      </w:tr>
      <w:tr>
        <w:trPr>
          <w:trHeight w:val="41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33.123.379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40.509.544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41.839.353 </w:t>
            </w:r>
            <w:r/>
          </w:p>
        </w:tc>
      </w:tr>
      <w:tr>
        <w:trPr>
          <w:trHeight w:val="1117"/>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Lối đi chung lát gạch đỏ (đường nhựa 5m dẫn vào)</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bê tông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nhựa không có vỉa hè</w:t>
            </w:r>
            <w:r/>
          </w:p>
        </w:tc>
      </w:tr>
      <w:tr>
        <w:trPr>
          <w:trHeight w:val="331"/>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-15,00%</w:t>
            </w:r>
            <w:r/>
          </w:p>
        </w:tc>
      </w:tr>
      <w:tr>
        <w:trPr>
          <w:trHeight w:val="41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-2.981.104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-3.645.859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-7.383.415 </w:t>
            </w:r>
            <w:r/>
          </w:p>
        </w:tc>
      </w:tr>
      <w:tr>
        <w:trPr>
          <w:trHeight w:val="557"/>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30.142.275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36.863.685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34.455.938 </w:t>
            </w:r>
            <w:r/>
          </w:p>
        </w:tc>
      </w:tr>
      <w:tr>
        <w:trPr>
          <w:trHeight w:val="273"/>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5,0</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-8,00%</w:t>
            </w:r>
            <w:r/>
          </w:p>
        </w:tc>
      </w:tr>
      <w:tr>
        <w:trPr>
          <w:trHeight w:val="36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1.507.114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-2.756.475 </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31.649.389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36.863.685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31.699.463 </w:t>
            </w:r>
            <w:r/>
          </w:p>
        </w:tc>
      </w:tr>
      <w:tr>
        <w:trPr>
          <w:trHeight w:val="276"/>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r>
            <w:r>
              <w:rPr>
                <w:rFonts w:ascii="Times New Roman" w:hAnsi="Times New Roman" w:eastAsia="Times New Roman" w:cs="Times New Roman"/>
                <w:b/>
                <w:color w:val="000000"/>
                <w:sz w:val="22"/>
              </w:rPr>
              <w:t xml:space="preserve"> (m²)</w:t>
            </w:r>
            <w:r>
              <w:rPr>
                <w:rFonts w:ascii="Times New Roman" w:hAnsi="Times New Roman" w:eastAsia="Times New Roman" w:cs="Times New Roman"/>
                <w:b/>
                <w:color w:val="000000"/>
                <w:sz w:val="22"/>
              </w:r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142,6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51,0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58,0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60,0</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-18,00%</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-5.425.610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-6.635.463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-6.202.069 </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26.223.779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30.228.222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25.497.394 </w:t>
            </w:r>
            <w:r/>
          </w:p>
        </w:tc>
      </w:tr>
      <w:tr>
        <w:trPr>
          <w:trHeight w:val="276"/>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10,56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7,00%</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2.109.959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2.580.458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2.411.916 </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28.333.739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32.808.680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27.909.309 </w:t>
            </w:r>
            <w:r/>
          </w:p>
        </w:tc>
      </w:tr>
      <w:tr>
        <w:trPr>
          <w:trHeight w:val="552"/>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1 mặt tiền</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28.333.739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32.808.680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27.909.309 </w:t>
            </w:r>
            <w:r/>
          </w:p>
        </w:tc>
      </w:tr>
      <w:tr>
        <w:trPr>
          <w:trHeight w:val="552"/>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Nở hậu</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-1.507.114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26.826.625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32.808.680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27.909.309 </w:t>
            </w:r>
            <w:r/>
          </w:p>
        </w:tc>
      </w:tr>
      <w:tr>
        <w:trPr>
          <w:trHeight w:val="696"/>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Bất lợi thương mại</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Ngõ cụt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có bất lợi thương mại</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có bất lợi thương mại</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có bất lợi thương mại</w:t>
            </w:r>
            <w:r/>
          </w:p>
        </w:tc>
      </w:tr>
      <w:tr>
        <w:trPr>
          <w:trHeight w:val="4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372"/>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-1.507.114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-1.843.184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-1.722.797 </w:t>
            </w:r>
            <w:r/>
          </w:p>
        </w:tc>
      </w:tr>
      <w:tr>
        <w:trPr>
          <w:trHeight w:val="492"/>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25.319.511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30.965.496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26.186.513 </w:t>
            </w: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Yếu tố khác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Đường lát gạch đỏ, dùng chung ngõ</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Ngõ đi riêng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Ngõ đi riêng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Ngõ đi riêng </w:t>
            </w:r>
            <w:r/>
          </w:p>
        </w:tc>
      </w:tr>
      <w:tr>
        <w:trPr>
          <w:trHeight w:val="303"/>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r>
      <w:tr>
        <w:trPr>
          <w:trHeight w:val="30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-1.507.114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-1.843.184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-1.722.797 </w:t>
            </w:r>
            <w:r/>
          </w:p>
        </w:tc>
      </w:tr>
      <w:tr>
        <w:trPr>
          <w:trHeight w:val="39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23.812.397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29.122.311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24.463.716 </w:t>
            </w:r>
            <w:r/>
          </w:p>
        </w:tc>
      </w:tr>
      <w:tr>
        <w:trPr>
          <w:trHeight w:val="276"/>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23.812.397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29.122.311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24.463.716 </w:t>
            </w:r>
            <w:r/>
          </w:p>
        </w:tc>
      </w:tr>
      <w:tr>
        <w:trPr>
          <w:trHeight w:val="276"/>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gridSpan w:val="4"/>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16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25.799.475 </w:t>
            </w:r>
            <w:r/>
          </w:p>
        </w:tc>
      </w:tr>
      <w:tr>
        <w:trPr>
          <w:trHeight w:val="30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w:t>
            </w:r>
            <w:r/>
          </w:p>
        </w:tc>
      </w:tr>
      <w:tr>
        <w:trPr>
          <w:trHeight w:val="82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552"/>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16.545.128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16.548.149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29.582.884 </w:t>
            </w:r>
            <w:r/>
          </w:p>
        </w:tc>
      </w:tr>
      <w:tr>
        <w:trPr>
          <w:trHeight w:val="552"/>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r>
      <w:tr>
        <w:trPr>
          <w:trHeight w:val="276"/>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- 18%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- 18%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- 18%</w:t>
            </w:r>
            <w:r/>
          </w:p>
        </w:tc>
      </w:tr>
      <w:tr>
        <w:trPr>
          <w:trHeight w:val="552"/>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1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9.310.982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11.387.233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24.759.052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-7,7% đến 12,9%,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37"/>
        <w:gridCol w:w="2234"/>
        <w:gridCol w:w="2076"/>
        <w:gridCol w:w="16"/>
        <w:gridCol w:w="2234"/>
        <w:gridCol w:w="2607"/>
      </w:tblGrid>
      <w:tr>
        <w:trPr>
          <w:trHeight w:val="936"/>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gridSpan w:val="2"/>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0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Tài sản so sánh 1</w:t>
            </w:r>
            <w:r/>
          </w:p>
        </w:tc>
        <w:tc>
          <w:tcPr>
            <w:gridSpan w:val="2"/>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23.812.397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33,33%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0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7.937.466</w:t>
            </w:r>
            <w:r/>
          </w:p>
        </w:tc>
      </w:tr>
      <w:tr>
        <w:trPr>
          <w:trHeight w:val="312"/>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Tài sản so sánh 2</w:t>
            </w:r>
            <w:r/>
          </w:p>
        </w:tc>
        <w:tc>
          <w:tcPr>
            <w:gridSpan w:val="2"/>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29.122.311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33,33%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0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9.707.437</w:t>
            </w:r>
            <w:r/>
          </w:p>
        </w:tc>
      </w:tr>
      <w:tr>
        <w:trPr>
          <w:trHeight w:val="312"/>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Tài sản so sánh 3</w:t>
            </w:r>
            <w:r/>
          </w:p>
        </w:tc>
        <w:tc>
          <w:tcPr>
            <w:gridSpan w:val="2"/>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24.463.716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33,33%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0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8.154.572</w:t>
            </w:r>
            <w:r/>
          </w:p>
        </w:tc>
      </w:tr>
      <w:tr>
        <w:trPr>
          <w:trHeight w:val="312"/>
        </w:trPr>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25.799.475</w:t>
            </w:r>
            <w:r/>
          </w:p>
        </w:tc>
      </w:tr>
      <w:tr>
        <w:trPr>
          <w:trHeight w:val="312"/>
        </w:trPr>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4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25.800.000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25.800.000 đồng/m².</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Xác định giá trị tài sản gắn liền với đất </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của công trình xây dựng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color w:val="000000"/>
          <w:sz w:val="24"/>
        </w:rPr>
        <w:t xml:space="preserve">Qua tham khảo thị trường về đơn giá xây dựng mới đối với công trình nhà 4 tầng, cân nhắc và xem xét với mức độ hoàn thiện của công trình xây dựng hiện có, tổ thẩm định nhận thấy đơn giá vận dụng theo -Quyết định số 409/QĐ-BXD ngày 11 tháng 4 năm 2025 của B</w:t>
      </w:r>
      <w:r>
        <w:rPr>
          <w:rFonts w:ascii="Times New Roman" w:hAnsi="Times New Roman" w:eastAsia="Times New Roman" w:cs="Times New Roman"/>
          <w:color w:val="000000"/>
          <w:sz w:val="24"/>
        </w:rPr>
        <w:t xml:space="preserve">ộ Xây dựng về việc công bố suất vốn đầu tư xây dựng và giá xây dựng tổng hợp bộ phận kết cấu công trình năm 2024 là khá phù hợp với thị trường, theo đó:</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i/>
          <w:color w:val="000000"/>
          <w:sz w:val="24"/>
        </w:rPr>
        <w:t xml:space="preserve">“Suất vốn đầu tư xây dựng Nhà riêng lẻ từ 2 đến 3 tầng, kết cấu khung chịu lực BTCT; tường bao xây gạch; sàn, mái BTCT đổ tại chỗ không có tầng hầm: </w:t>
      </w:r>
      <w:r>
        <w:rPr>
          <w:rFonts w:ascii="Times New Roman" w:hAnsi="Times New Roman" w:eastAsia="Times New Roman" w:cs="Times New Roman"/>
          <w:b/>
          <w:i/>
          <w:color w:val="000000"/>
          <w:sz w:val="24"/>
        </w:rPr>
        <w:t xml:space="preserve">8.225.000 đồng/m² sàn.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i/>
          <w:color w:val="000000"/>
          <w:sz w:val="24"/>
        </w:rPr>
        <w:t xml:space="preserve">Hệ số điều chỉnh vùng cho Suất đầu tư: Đà Nẵng thuộc vùng 3 có hệ số điều chỉnh là 1,032”</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i/>
          <w:color w:val="000000"/>
          <w:sz w:val="24"/>
        </w:rPr>
        <w:t xml:space="preserve">Do đó, Tổ thẩm định xác định đơn giá xây mới của công trình xây dựng là: (Suất đầu tư xây dựng) x (Hệ số vùng) = 8.225.000  x 1,032 </w:t>
      </w:r>
      <w:r>
        <w:rPr>
          <w:rFonts w:ascii="Times New Roman" w:hAnsi="Times New Roman" w:eastAsia="Times New Roman" w:cs="Times New Roman"/>
          <w:b/>
          <w:i/>
          <w:color w:val="000000"/>
          <w:sz w:val="24"/>
        </w:rPr>
        <w:t xml:space="preserve">= 8.488.200 đồng/m² sàn</w:t>
      </w:r>
      <w:r>
        <w:rPr>
          <w:rFonts w:ascii="Times New Roman" w:hAnsi="Times New Roman" w:eastAsia="Times New Roman" w:cs="Times New Roman"/>
          <w:i/>
          <w:color w:val="000000"/>
          <w:sz w:val="24"/>
        </w:rPr>
        <w:t xml:space="preserve">. </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giá trị hao mòn theo kỹ thuật tuổi đời:</w:t>
      </w:r>
      <w:r/>
    </w:p>
    <w:p>
      <w:pPr>
        <w:pBdr>
          <w:top w:val="none" w:color="000000" w:sz="4" w:space="0"/>
          <w:left w:val="none" w:color="000000" w:sz="4" w:space="0"/>
          <w:bottom w:val="none" w:color="000000" w:sz="4" w:space="0"/>
          <w:right w:val="none" w:color="000000" w:sz="4" w:space="0"/>
        </w:pBdr>
        <w:spacing w:after="80" w:before="80" w:line="276" w:lineRule="auto"/>
        <w:ind w:right="0" w:firstLine="284" w:left="0"/>
        <w:jc w:val="both"/>
        <w:rPr/>
      </w:pPr>
      <w:r>
        <w:rPr>
          <w:rFonts w:ascii="Times New Roman" w:hAnsi="Times New Roman" w:eastAsia="Times New Roman" w:cs="Times New Roman"/>
          <w:color w:val="000000"/>
          <w:spacing w:val="2"/>
          <w:sz w:val="24"/>
        </w:rPr>
        <w:t xml:space="preserve">Tỉ lệ hao mòn được tính toán theo phương pháp tuổi đời:</w:t>
      </w:r>
      <w:r/>
    </w:p>
    <w:p>
      <w:pPr>
        <w:pBdr>
          <w:top w:val="none" w:color="000000" w:sz="4" w:space="0"/>
          <w:left w:val="none" w:color="000000" w:sz="4" w:space="0"/>
          <w:bottom w:val="none" w:color="000000" w:sz="4" w:space="0"/>
          <w:right w:val="none" w:color="000000" w:sz="4" w:space="0"/>
        </w:pBdr>
        <w:spacing w:after="80" w:before="80" w:line="276" w:lineRule="auto"/>
        <w:ind w:right="0" w:firstLine="284" w:left="0"/>
        <w:jc w:val="both"/>
        <w:rPr/>
      </w:pPr>
      <w:r>
        <w:rPr>
          <w:rFonts w:ascii="Times New Roman" w:hAnsi="Times New Roman" w:eastAsia="Times New Roman" w:cs="Times New Roman"/>
          <w:color w:val="000000"/>
          <w:spacing w:val="2"/>
          <w:sz w:val="24"/>
        </w:rPr>
        <w:t xml:space="preserve">Công thức: Tỉ lệ hao mòn = Tuổi đời hiệu quả/ Tuổi đời kinh tế</w:t>
      </w:r>
      <w:r/>
    </w:p>
    <w:p>
      <w:pPr>
        <w:pBdr>
          <w:top w:val="none" w:color="000000" w:sz="4" w:space="0"/>
          <w:left w:val="none" w:color="000000" w:sz="4" w:space="0"/>
          <w:bottom w:val="none" w:color="000000" w:sz="4" w:space="0"/>
          <w:right w:val="none" w:color="000000" w:sz="4" w:space="0"/>
        </w:pBdr>
        <w:spacing w:after="80" w:before="80" w:line="276" w:lineRule="auto"/>
        <w:ind w:right="0" w:firstLine="284" w:left="0"/>
        <w:jc w:val="both"/>
        <w:rPr/>
      </w:pPr>
      <w:r>
        <w:rPr>
          <w:rFonts w:ascii="Times New Roman" w:hAnsi="Times New Roman" w:eastAsia="Times New Roman" w:cs="Times New Roman"/>
          <w:color w:val="000000"/>
          <w:spacing w:val="2"/>
          <w:sz w:val="24"/>
        </w:rPr>
        <w:t xml:space="preserve">Tổ thẩm định giả định rằng công trình xây dựng hoạt động liên tục trong khoảng thời gian trích khấu hao được duy tu, sửa chữa định kỳ và đúng quy trình nên tuổi đời hiệu quả bằng tuổi đời thực tế. Theo thông tin khách hàng cung cấp, công trình được hoàn th</w:t>
      </w:r>
      <w:r>
        <w:rPr>
          <w:rFonts w:ascii="Times New Roman" w:hAnsi="Times New Roman" w:eastAsia="Times New Roman" w:cs="Times New Roman"/>
          <w:color w:val="000000"/>
          <w:spacing w:val="2"/>
          <w:sz w:val="24"/>
        </w:rPr>
        <w:t xml:space="preserve">ành đưa vào sử dụng khoảng năm 2024, do vậy tổ thẩm định xác định tuổi đời hiệu quả của công trình là khoảng 1 năm.</w:t>
      </w:r>
      <w:r/>
    </w:p>
    <w:p>
      <w:pPr>
        <w:pBdr>
          <w:top w:val="none" w:color="000000" w:sz="4" w:space="0"/>
          <w:left w:val="none" w:color="000000" w:sz="4" w:space="0"/>
          <w:bottom w:val="none" w:color="000000" w:sz="4" w:space="0"/>
          <w:right w:val="none" w:color="000000" w:sz="4" w:space="0"/>
        </w:pBdr>
        <w:spacing w:after="80" w:before="80" w:line="276" w:lineRule="auto"/>
        <w:ind w:right="0" w:firstLine="284" w:left="0"/>
        <w:jc w:val="both"/>
        <w:rPr/>
      </w:pPr>
      <w:r>
        <w:rPr>
          <w:rFonts w:ascii="Times New Roman" w:hAnsi="Times New Roman" w:eastAsia="Times New Roman" w:cs="Times New Roman"/>
          <w:color w:val="000000"/>
          <w:sz w:val="24"/>
        </w:rPr>
        <w:t xml:space="preserve">Vận dụng thời gian trích khấu hao TSCĐ tại Thông tư 45/2013/TT-BTC của Bộ Tài Chính về việc hướng dẫn chế độ quản lý, sử dụng và trích khấu hao tài sản cố định ngày 25/4/2013, kết hợp với khảo sát thông tin thị trường và quan sát hiện trạng thực tế công tr</w:t>
      </w:r>
      <w:r>
        <w:rPr>
          <w:rFonts w:ascii="Times New Roman" w:hAnsi="Times New Roman" w:eastAsia="Times New Roman" w:cs="Times New Roman"/>
          <w:color w:val="000000"/>
          <w:sz w:val="24"/>
        </w:rPr>
        <w:t xml:space="preserve">ình, tổ thẩm định xác định tuổi đời kinh tế của tài sản thẩm định là 50 năm. Qua khảo sát thực tế và thông tin khách hàng cung cấp, công trình xây dựng được hoàn thành và đưa vào sử dụng năm 2024. Do đó, tổ thẩm định để xuất tuổi đời kinh tế của tài sản th</w:t>
      </w:r>
      <w:r>
        <w:rPr>
          <w:rFonts w:ascii="Times New Roman" w:hAnsi="Times New Roman" w:eastAsia="Times New Roman" w:cs="Times New Roman"/>
          <w:color w:val="000000"/>
          <w:sz w:val="24"/>
        </w:rPr>
        <w:t xml:space="preserve">ẩm định là 50 năm</w:t>
      </w: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70"/>
        <w:gridCol w:w="1343"/>
        <w:gridCol w:w="1250"/>
        <w:gridCol w:w="1197"/>
        <w:gridCol w:w="1108"/>
        <w:gridCol w:w="1143"/>
        <w:gridCol w:w="1019"/>
        <w:gridCol w:w="1641"/>
      </w:tblGrid>
      <w:tr>
        <w:trPr>
          <w:trHeight w:val="56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0"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Tên 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Năm đưa vào sử dụng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Thời điểm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Tuổi đời kinh tế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Tuổi đời hiệu quả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Tỉ lệ hao mòn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2"/>
              </w:rPr>
              <w:t xml:space="preserve">Giá trị hao mòn (đồng)</w:t>
            </w:r>
            <w:r/>
          </w:p>
        </w:tc>
      </w:tr>
      <w:tr>
        <w:trPr>
          <w:trHeight w:val="1068"/>
        </w:trPr>
        <w:tc>
          <w:tcPr>
            <w:tcBorders>
              <w:left w:val="single" w:color="000000" w:sz="8" w:space="0"/>
              <w:bottom w:val="single" w:color="000000" w:sz="8" w:space="0"/>
              <w:right w:val="single" w:color="000000" w:sz="8" w:space="0"/>
            </w:tcBorders>
            <w:tcMar>
              <w:left w:w="108" w:type="dxa"/>
              <w:top w:w="0" w:type="dxa"/>
              <w:right w:w="108" w:type="dxa"/>
              <w:bottom w:w="0" w:type="dxa"/>
            </w:tcMar>
            <w:tcW w:w="670"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Nhà 03 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Năm 2024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9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Tháng 4/2026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0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4,0%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55.139.347</w:t>
            </w:r>
            <w:r/>
          </w:p>
        </w:tc>
      </w:tr>
    </w:tbl>
    <w:p>
      <w:pPr>
        <w:numPr>
          <w:ilvl w:val="0"/>
          <w:numId w:val="41"/>
        </w:numPr>
        <w:pBdr>
          <w:top w:val="none" w:color="000000" w:sz="4" w:space="0"/>
          <w:left w:val="none" w:color="000000" w:sz="4" w:space="0"/>
          <w:bottom w:val="none" w:color="000000" w:sz="4" w:space="0"/>
          <w:right w:val="none" w:color="000000" w:sz="4" w:space="0"/>
        </w:pBdr>
        <w:spacing w:after="120" w:before="240" w:line="276" w:lineRule="auto"/>
        <w:ind/>
        <w:jc w:val="both"/>
        <w:rPr/>
      </w:pPr>
      <w:r>
        <w:rPr>
          <w:rFonts w:ascii="Times New Roman" w:hAnsi="Times New Roman" w:eastAsia="Times New Roman" w:cs="Times New Roman"/>
          <w:b/>
          <w:color w:val="000000"/>
          <w:sz w:val="24"/>
        </w:rPr>
        <w:t xml:space="preserve">Xác định giá trị của công trình xây dựng trên đất:</w:t>
      </w:r>
      <w:r/>
    </w:p>
    <w:p>
      <w:pPr>
        <w:pBdr>
          <w:top w:val="none" w:color="000000" w:sz="4" w:space="0"/>
          <w:left w:val="none" w:color="000000" w:sz="4" w:space="0"/>
          <w:bottom w:val="none" w:color="000000" w:sz="4" w:space="0"/>
          <w:right w:val="none" w:color="000000" w:sz="4" w:space="0"/>
        </w:pBdr>
        <w:spacing w:after="80" w:before="80" w:line="276" w:lineRule="auto"/>
        <w:ind w:right="0" w:firstLine="284" w:left="0"/>
        <w:jc w:val="both"/>
        <w:rPr>
          <w:rFonts w:ascii="Times New Roman" w:hAnsi="Times New Roman" w:eastAsia="Times New Roman" w:cs="Times New Roman"/>
          <w:color w:val="000000"/>
          <w:spacing w:val="2"/>
          <w:sz w:val="24"/>
          <w:szCs w:val="24"/>
          <w:highlight w:val="none"/>
        </w:rPr>
      </w:pPr>
      <w:r>
        <w:rPr>
          <w:rFonts w:ascii="Times New Roman" w:hAnsi="Times New Roman" w:eastAsia="Times New Roman" w:cs="Times New Roman"/>
          <w:color w:val="000000"/>
          <w:spacing w:val="2"/>
          <w:sz w:val="24"/>
        </w:rPr>
        <w:t xml:space="preserve">Công thức:</w:t>
      </w:r>
      <w:r>
        <w:rPr>
          <w:rFonts w:ascii="Times New Roman" w:hAnsi="Times New Roman" w:eastAsia="Times New Roman" w:cs="Times New Roman"/>
          <w:color w:val="000000"/>
          <w:spacing w:val="2"/>
          <w:sz w:val="24"/>
          <w:szCs w:val="24"/>
          <w:highlight w:val="none"/>
        </w:rPr>
      </w:r>
      <w:r>
        <w:rPr>
          <w:rFonts w:ascii="Times New Roman" w:hAnsi="Times New Roman" w:eastAsia="Times New Roman" w:cs="Times New Roman"/>
          <w:color w:val="000000"/>
          <w:spacing w:val="2"/>
          <w:sz w:val="24"/>
          <w:szCs w:val="24"/>
          <w:highlight w:val="none"/>
        </w:rPr>
      </w:r>
    </w:p>
    <w:tbl>
      <w:tblPr>
        <w:tblStyle w:val="1041"/>
        <w:tblInd w:w="-142"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autofit"/>
        <w:tblLook w:val="04A0" w:firstRow="1" w:lastRow="0" w:firstColumn="1" w:lastColumn="0" w:noHBand="0" w:noVBand="1"/>
      </w:tblPr>
      <w:tblGrid>
        <w:gridCol w:w="645"/>
        <w:gridCol w:w="1077"/>
        <w:gridCol w:w="84"/>
        <w:gridCol w:w="598"/>
        <w:gridCol w:w="666"/>
        <w:gridCol w:w="958"/>
        <w:gridCol w:w="1757"/>
        <w:gridCol w:w="998"/>
        <w:gridCol w:w="704"/>
        <w:gridCol w:w="1596"/>
        <w:gridCol w:w="388"/>
      </w:tblGrid>
      <w:tr>
        <w:trPr>
          <w:trHeight w:val="794"/>
        </w:trPr>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Giá trị ước tính của 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Chi phí thay thế </w:t>
            </w:r>
            <w:r>
              <w:rPr>
                <w:rFonts w:ascii="Times New Roman" w:hAnsi="Times New Roman" w:eastAsia="Times New Roman" w:cs="Times New Roman"/>
                <w:sz w:val="24"/>
              </w:rPr>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hd w:val="clear" w:color="ffffff" w:fill="ffffff"/>
              <w:spacing w:after="12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(Giá trị xây mới tài sản đã bao gồm lợi nhuận của nhà sản xuất/nhà đầu tư)</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2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6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Tổng giá trị hao mòn </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4"/>
                <w:highlight w:val="none"/>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r>
    </w:tbl>
    <w:p>
      <w:pPr>
        <w:pBdr>
          <w:top w:val="none" w:color="000000" w:sz="4" w:space="0"/>
          <w:left w:val="none" w:color="000000" w:sz="4" w:space="0"/>
          <w:bottom w:val="none" w:color="000000" w:sz="4" w:space="0"/>
          <w:right w:val="none" w:color="000000" w:sz="4" w:space="0"/>
        </w:pBdr>
        <w:spacing w:after="80" w:before="80" w:line="276" w:lineRule="auto"/>
        <w:ind w:right="0" w:firstLine="284" w:left="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80" w:before="80" w:line="276" w:lineRule="auto"/>
        <w:ind w:right="0" w:firstLine="284" w:left="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80" w:before="80" w:line="276" w:lineRule="auto"/>
        <w:ind w:right="0" w:firstLine="284" w:left="0"/>
        <w:jc w:val="both"/>
        <w:rPr>
          <w:rFonts w:ascii="Times New Roman" w:hAnsi="Times New Roman" w:eastAsia="Times New Roman" w:cs="Times New Roman"/>
          <w:sz w:val="24"/>
          <w:szCs w:val="24"/>
        </w:rPr>
      </w:pPr>
      <w:r>
        <w:rPr>
          <w:rFonts w:ascii="Times New Roman" w:hAnsi="Times New Roman" w:eastAsia="Times New Roman" w:cs="Times New Roman"/>
          <w:color w:val="000000"/>
          <w:spacing w:val="2"/>
          <w:sz w:val="24"/>
          <w:highlight w:val="none"/>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tbl>
      <w:tblPr>
        <w:tblStyle w:val="1041"/>
        <w:tblInd w:w="-142"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autofit"/>
        <w:tblLook w:val="04A0" w:firstRow="1" w:lastRow="0" w:firstColumn="1" w:lastColumn="0" w:noHBand="0" w:noVBand="1"/>
      </w:tblPr>
      <w:tblGrid>
        <w:gridCol w:w="239"/>
        <w:gridCol w:w="781"/>
        <w:gridCol w:w="1077"/>
        <w:gridCol w:w="84"/>
        <w:gridCol w:w="632"/>
        <w:gridCol w:w="704"/>
        <w:gridCol w:w="1109"/>
        <w:gridCol w:w="1842"/>
        <w:gridCol w:w="1167"/>
        <w:gridCol w:w="823"/>
        <w:gridCol w:w="1366"/>
        <w:gridCol w:w="702"/>
      </w:tblGrid>
      <w:tr>
        <w:trPr>
          <w:gridAfter w:val="1"/>
          <w:trHeight w:val="20"/>
        </w:trPr>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 sàn (m²)</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xây dựng mới (đồng/m² sàn)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9"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Tỷ lệ hoàn thiện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Chi phí thay thế (đồng)</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Giá trị hao mòn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6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Giá trị thẩm định tại thời điểm thẩm định giá (đồng)</w:t>
            </w:r>
            <w:r/>
          </w:p>
        </w:tc>
      </w:tr>
      <w:tr>
        <w:trPr>
          <w:gridAfter w:val="1"/>
          <w:trHeight w:val="20"/>
        </w:trPr>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9"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(5) = (3) * (2)* (4)</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6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(7) = (5) - (6)</w:t>
            </w:r>
            <w:r/>
          </w:p>
        </w:tc>
      </w:tr>
      <w:tr>
        <w:trPr>
          <w:gridAfter w:val="1"/>
          <w:trHeight w:val="20"/>
        </w:trPr>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Nhà 03 tầng</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6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before="40" w:line="276" w:lineRule="auto"/>
              <w:ind w:right="0" w:firstLine="0" w:left="0"/>
              <w:jc w:val="center"/>
              <w:rPr/>
            </w:pPr>
            <w:r>
              <w:rPr>
                <w:rFonts w:ascii="Times New Roman" w:hAnsi="Times New Roman" w:eastAsia="Times New Roman" w:cs="Times New Roman"/>
                <w:color w:val="000000"/>
                <w:sz w:val="24"/>
              </w:rPr>
              <w:t xml:space="preserve">162,4</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8.488.200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 1.378.483.680 </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55.139.347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6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1.323.344.333</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3. Kết quả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4/2026 ước tính như sau:</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tbl>
      <w:tblPr>
        <w:tblStyle w:val="1041"/>
        <w:tblInd w:w="0" w:type="dxa"/>
        <w:tblW w:w="4966"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2659"/>
        <w:gridCol w:w="1516"/>
        <w:gridCol w:w="1352"/>
        <w:gridCol w:w="1287"/>
        <w:gridCol w:w="1970"/>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b/>
                <w:color w:val="000000"/>
                <w:sz w:val="22"/>
              </w:rPr>
              <w:t xml:space="preserve">CLCL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b/>
                <w:color w:val="000000"/>
                <w:sz w:val="24"/>
              </w:rPr>
              <w:t xml:space="preserve"> </w:t>
            </w:r>
            <w:r/>
          </w:p>
        </w:tc>
        <w:tc>
          <w:tcPr>
            <w:gridSpan w:val="4"/>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81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both"/>
              <w:rPr/>
            </w:pPr>
            <w:r>
              <w:rPr>
                <w:rFonts w:ascii="Times New Roman" w:hAnsi="Times New Roman" w:eastAsia="Times New Roman" w:cs="Times New Roman"/>
                <w:b/>
                <w:color w:val="000000"/>
                <w:sz w:val="24"/>
              </w:rPr>
              <w:t xml:space="preserve">Quyền sử dụng đất và tài sản gắn liền với đất tại thửa đất số: 491, tờ bản đồ số: 48, địa chỉ: Tổ 38, phường Hoà An, quận Cẩm Lệ, thành phố Đà Nẵng </w:t>
            </w:r>
            <w:r>
              <w:rPr>
                <w:rFonts w:ascii="Times New Roman" w:hAnsi="Times New Roman" w:eastAsia="Times New Roman" w:cs="Times New Roman"/>
                <w:b/>
                <w:i/>
                <w:color w:val="000000"/>
                <w:sz w:val="24"/>
              </w:rPr>
              <w:t xml:space="preserve">(nay là Phường An Khê, thành phố Đà Nẵng)</w:t>
            </w:r>
            <w:r>
              <w:rPr>
                <w:rFonts w:ascii="Times New Roman" w:hAnsi="Times New Roman" w:eastAsia="Times New Roman" w:cs="Times New Roman"/>
                <w:b/>
                <w:color w:val="000000"/>
                <w:sz w:val="24"/>
              </w:rPr>
              <w:t xml:space="preserve"> theo Giấy chứng nhận quyền sử dụng đất, quyền sở hữu nhà ở và tài sản khác gắn liền với đất số: DN 409994, số vào sổ cấp GCN: VP 00386 do Văn phòng Đăng ký đất đai thành phố Đà Nẵng cấp ngày 18/01/2024 cho Bà Vũ Thị Nam Bình (</w:t>
            </w:r>
            <w:r>
              <w:rPr>
                <w:rFonts w:ascii="Times New Roman" w:hAnsi="Times New Roman" w:eastAsia="Times New Roman" w:cs="Times New Roman"/>
                <w:b/>
                <w:i/>
                <w:color w:val="000000"/>
                <w:sz w:val="24"/>
              </w:rPr>
              <w:t xml:space="preserve">Cập nhật ngày 25/3/2025</w:t>
            </w:r>
            <w:r>
              <w:rPr>
                <w:rFonts w:ascii="Times New Roman" w:hAnsi="Times New Roman" w:eastAsia="Times New Roman" w:cs="Times New Roman"/>
                <w:b/>
                <w:color w:val="000000"/>
                <w:sz w:val="24"/>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right"/>
              <w:rPr/>
            </w:pPr>
            <w:r>
              <w:rPr>
                <w:rFonts w:ascii="Times New Roman" w:hAnsi="Times New Roman" w:eastAsia="Times New Roman" w:cs="Times New Roman"/>
                <w:b/>
                <w:color w:val="000000"/>
                <w:sz w:val="24"/>
              </w:rPr>
              <w:t xml:space="preserve"> </w:t>
            </w:r>
            <w:r/>
          </w:p>
        </w:tc>
      </w:tr>
      <w:tr>
        <w:trPr>
          <w:trHeight w:val="416"/>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rPr/>
            </w:pPr>
            <w:r>
              <w:rPr>
                <w:rFonts w:ascii="Times New Roman" w:hAnsi="Times New Roman" w:eastAsia="Times New Roman" w:cs="Times New Roman"/>
                <w:color w:val="000000"/>
                <w:sz w:val="24"/>
              </w:rPr>
              <w:t xml:space="preserve">Đất ODT.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6"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center"/>
              <w:rPr/>
            </w:pPr>
            <w:r>
              <w:rPr>
                <w:rFonts w:ascii="Times New Roman" w:hAnsi="Times New Roman" w:eastAsia="Times New Roman" w:cs="Times New Roman"/>
                <w:color w:val="000000"/>
                <w:sz w:val="24"/>
              </w:rPr>
              <w:t xml:space="preserve">142,6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center"/>
              <w:rPr/>
            </w:pPr>
            <w:r>
              <w:rPr>
                <w:rFonts w:ascii="Times New Roman" w:hAnsi="Times New Roman" w:eastAsia="Times New Roman" w:cs="Times New Roman"/>
                <w:color w:val="000000"/>
                <w:sz w:val="24"/>
              </w:rPr>
              <w:t xml:space="preserve">25.800.000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87" w:type="dxa"/>
            <w:vAlign w:val="top"/>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color w:val="000000"/>
                <w:sz w:val="24"/>
              </w:rPr>
              <w:t xml:space="preserve">100%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right"/>
              <w:rPr/>
            </w:pPr>
            <w:r>
              <w:rPr>
                <w:rFonts w:ascii="Times New Roman" w:hAnsi="Times New Roman" w:eastAsia="Times New Roman" w:cs="Times New Roman"/>
                <w:color w:val="000000"/>
                <w:sz w:val="24"/>
              </w:rPr>
              <w:t xml:space="preserve">3.679.080.000</w:t>
            </w:r>
            <w:r/>
          </w:p>
        </w:tc>
      </w:tr>
      <w:tr>
        <w:trPr>
          <w:trHeight w:val="371"/>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color w:val="000000"/>
                <w:sz w:val="24"/>
              </w:rPr>
              <w:t xml:space="preserve">02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rPr/>
            </w:pPr>
            <w:r>
              <w:rPr>
                <w:rFonts w:ascii="Times New Roman" w:hAnsi="Times New Roman" w:eastAsia="Times New Roman" w:cs="Times New Roman"/>
                <w:color w:val="000000"/>
                <w:sz w:val="24"/>
              </w:rPr>
              <w:t xml:space="preserve">Nhà ở riêng lẻ (03 tầng).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16"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center"/>
              <w:rPr/>
            </w:pPr>
            <w:r>
              <w:rPr>
                <w:rFonts w:ascii="Times New Roman" w:hAnsi="Times New Roman" w:eastAsia="Times New Roman" w:cs="Times New Roman"/>
                <w:color w:val="000000"/>
                <w:sz w:val="24"/>
              </w:rPr>
              <w:t xml:space="preserve">162,4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center"/>
              <w:rPr/>
            </w:pPr>
            <w:r>
              <w:rPr>
                <w:rFonts w:ascii="Times New Roman" w:hAnsi="Times New Roman" w:eastAsia="Times New Roman" w:cs="Times New Roman"/>
                <w:color w:val="000000"/>
                <w:sz w:val="24"/>
              </w:rPr>
              <w:t xml:space="preserve">8.488.200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40" w:lineRule="auto"/>
              <w:ind w:right="0" w:firstLine="0" w:left="0"/>
              <w:jc w:val="center"/>
              <w:rPr/>
            </w:pPr>
            <w:r>
              <w:rPr>
                <w:rFonts w:ascii="Times New Roman" w:hAnsi="Times New Roman" w:eastAsia="Times New Roman" w:cs="Times New Roman"/>
                <w:color w:val="000000"/>
                <w:sz w:val="24"/>
              </w:rPr>
              <w:t xml:space="preserve">96%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right"/>
              <w:rPr/>
            </w:pPr>
            <w:r>
              <w:rPr>
                <w:rFonts w:ascii="Times New Roman" w:hAnsi="Times New Roman" w:eastAsia="Times New Roman" w:cs="Times New Roman"/>
                <w:color w:val="000000"/>
                <w:sz w:val="24"/>
              </w:rPr>
              <w:t xml:space="preserve">1.323.344.333</w:t>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89"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right"/>
              <w:rPr/>
            </w:pPr>
            <w:r>
              <w:rPr>
                <w:rFonts w:ascii="Times New Roman" w:hAnsi="Times New Roman" w:eastAsia="Times New Roman" w:cs="Times New Roman"/>
                <w:b/>
                <w:color w:val="000000"/>
                <w:sz w:val="24"/>
              </w:rPr>
              <w:t xml:space="preserve">5.002.424.333</w:t>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89"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7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right"/>
              <w:rPr/>
            </w:pPr>
            <w:r>
              <w:rPr>
                <w:rFonts w:ascii="Times New Roman" w:hAnsi="Times New Roman" w:eastAsia="Times New Roman" w:cs="Times New Roman"/>
                <w:b/>
                <w:color w:val="000000"/>
                <w:sz w:val="24"/>
              </w:rPr>
              <w:t xml:space="preserve">5.002.000.000</w:t>
            </w:r>
            <w:r/>
          </w:p>
        </w:tc>
      </w:tr>
      <w:tr>
        <w:trPr>
          <w:trHeight w:val="20"/>
        </w:trPr>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459" w:type="dxa"/>
            <w:vAlign w:val="top"/>
            <w:textDirection w:val="lrTb"/>
            <w:noWrap w:val="false"/>
          </w:tcPr>
          <w:p>
            <w:pPr>
              <w:pBdr>
                <w:top w:val="none" w:color="000000" w:sz="4" w:space="0"/>
                <w:left w:val="none" w:color="000000" w:sz="4" w:space="0"/>
                <w:bottom w:val="none" w:color="000000" w:sz="4" w:space="0"/>
                <w:right w:val="none" w:color="000000" w:sz="4" w:space="0"/>
              </w:pBdr>
              <w:spacing w:after="40" w:before="40" w:line="240" w:lineRule="auto"/>
              <w:ind w:right="0" w:firstLine="0" w:left="0"/>
              <w:jc w:val="center"/>
              <w:rPr/>
            </w:pPr>
            <w:r>
              <w:rPr>
                <w:rFonts w:ascii="Times New Roman" w:hAnsi="Times New Roman" w:eastAsia="Times New Roman" w:cs="Times New Roman"/>
                <w:b/>
                <w:i/>
                <w:color w:val="000000"/>
                <w:sz w:val="24"/>
              </w:rPr>
              <w:t xml:space="preserve">(Bằng chữ: Năm tỷ, hai triệu đồng chẵn./.)</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
    </w:p>
    <w:p>
      <w:p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right="0" w:firstLine="0" w:left="0"/>
        <w:jc w:val="both"/>
        <w:rPr/>
      </w:pPr>
      <w:r>
        <w:rPr>
          <w:rFonts w:ascii="Times New Roman" w:hAnsi="Times New Roman" w:eastAsia="Times New Roman" w:cs="Times New Roman"/>
          <w:b/>
          <w:color w:val="000000"/>
          <w:sz w:val="24"/>
        </w:rPr>
        <w:t xml:space="preserve">* Ghi chú: </w:t>
      </w:r>
      <w:r>
        <w:rPr>
          <w:rFonts w:ascii="Times New Roman" w:hAnsi="Times New Roman" w:eastAsia="Times New Roman" w:cs="Times New Roman"/>
          <w:i/>
          <w:color w:val="000000"/>
          <w:sz w:val="24"/>
        </w:rPr>
        <w:t xml:space="preserve">Có một phần diện tích đất khoảng 12m</w:t>
      </w:r>
      <w:r>
        <w:rPr>
          <w:rFonts w:ascii="Times New Roman" w:hAnsi="Times New Roman" w:eastAsia="Times New Roman" w:cs="Times New Roman"/>
          <w:i/>
          <w:color w:val="000000"/>
          <w:sz w:val="20"/>
          <w:vertAlign w:val="superscript"/>
        </w:rPr>
        <w:t xml:space="preserve">2</w:t>
      </w:r>
      <w:r>
        <w:rPr>
          <w:rFonts w:ascii="Times New Roman" w:hAnsi="Times New Roman" w:eastAsia="Times New Roman" w:cs="Times New Roman"/>
          <w:i/>
          <w:color w:val="000000"/>
          <w:sz w:val="24"/>
        </w:rPr>
        <w:t xml:space="preserve"> xây hợp thửa cùng với thửa bên cạch (có vách ngăn) do Mẹ ruột chủ tài sản sử dụng. Tổ Thẩm định tính giá trị CTXD theo phần diện tích được công nhận trên Giấy chứng nhận. Lưu ý Quý ngân hàng trong quá trình xét duyệt cho vay.</w:t>
      </w:r>
      <w:r>
        <w:rPr>
          <w:rFonts w:ascii="Times New Roman" w:hAnsi="Times New Roman" w:eastAsia="Times New Roman" w:cs="Times New Roman"/>
          <w:sz w:val="24"/>
        </w:rPr>
      </w:r>
      <w:r/>
    </w:p>
    <w:p>
      <w:pPr>
        <w:pStyle w:val="1037"/>
        <w:pBdr/>
        <w:tabs>
          <w:tab w:val="left" w:leader="none" w:pos="993"/>
        </w:tabs>
        <w:spacing w:after="120" w:before="120" w:line="310"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7"/>
        <w:numPr>
          <w:ilvl w:val="0"/>
          <w:numId w:val="4"/>
        </w:numPr>
        <w:pBdr/>
        <w:tabs>
          <w:tab w:val="left" w:leader="none" w:pos="993"/>
        </w:tabs>
        <w:spacing w:after="120" w:before="120" w:line="310"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7"/>
        <w:pBdr/>
        <w:tabs>
          <w:tab w:val="left" w:leader="none" w:pos="993"/>
        </w:tabs>
        <w:spacing w:after="120" w:before="120" w:line="310"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43"/>
        </w:numPr>
        <w:pBdr>
          <w:top w:val="none" w:color="000000" w:sz="4" w:space="0"/>
          <w:left w:val="none" w:color="000000" w:sz="4" w:space="0"/>
          <w:bottom w:val="none" w:color="000000" w:sz="4" w:space="0"/>
          <w:right w:val="none" w:color="000000" w:sz="4" w:space="0"/>
        </w:pBdr>
        <w:spacing w:after="120" w:before="120" w:line="310"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43"/>
        </w:numPr>
        <w:pBdr>
          <w:top w:val="none" w:color="000000" w:sz="4" w:space="0"/>
          <w:left w:val="none" w:color="000000" w:sz="4" w:space="0"/>
          <w:bottom w:val="none" w:color="000000" w:sz="4" w:space="0"/>
          <w:right w:val="none" w:color="000000" w:sz="4" w:space="0"/>
        </w:pBdr>
        <w:spacing w:after="120" w:before="120" w:line="310"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43"/>
        </w:numPr>
        <w:pBdr>
          <w:top w:val="none" w:color="000000" w:sz="4" w:space="0"/>
          <w:left w:val="none" w:color="000000" w:sz="4" w:space="0"/>
          <w:bottom w:val="none" w:color="000000" w:sz="4" w:space="0"/>
          <w:right w:val="none" w:color="000000" w:sz="4" w:space="0"/>
        </w:pBdr>
        <w:spacing w:after="120" w:before="120" w:line="310" w:lineRule="auto"/>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42"/>
        </w:numPr>
        <w:pBdr>
          <w:top w:val="none" w:color="000000" w:sz="4" w:space="0"/>
          <w:left w:val="none" w:color="000000" w:sz="4" w:space="0"/>
          <w:bottom w:val="none" w:color="000000" w:sz="4" w:space="0"/>
          <w:right w:val="none" w:color="000000" w:sz="4" w:space="0"/>
        </w:pBdr>
        <w:spacing w:after="120" w:before="120" w:line="310"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42"/>
        </w:numPr>
        <w:pBdr>
          <w:top w:val="none" w:color="000000" w:sz="4" w:space="0"/>
          <w:left w:val="none" w:color="000000" w:sz="4" w:space="0"/>
          <w:bottom w:val="none" w:color="000000" w:sz="4" w:space="0"/>
          <w:right w:val="none" w:color="000000" w:sz="4" w:space="0"/>
        </w:pBdr>
        <w:spacing w:after="120" w:before="120" w:line="310"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jc w:val="both"/>
        <w:rPr/>
      </w:pPr>
      <w:r>
        <w:rPr>
          <w:rFonts w:ascii="Times New Roman" w:hAnsi="Times New Roman" w:eastAsia="Times New Roman" w:cs="Times New Roman"/>
          <w:color w:val="000000"/>
          <w:spacing w:val="-2"/>
          <w:sz w:val="24"/>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 còn lại của Công trình xây dựng của chúng tôi chỉ dựa vào c</w:t>
      </w:r>
      <w:r>
        <w:rPr>
          <w:rFonts w:ascii="Times New Roman" w:hAnsi="Times New Roman" w:eastAsia="Times New Roman" w:cs="Times New Roman"/>
          <w:color w:val="000000"/>
          <w:spacing w:val="-2"/>
          <w:sz w:val="24"/>
        </w:rPr>
        <w:t xml:space="preserve">ác văn bản pháp quy hiện hành và qua khảo sát thực tế độc lập, minh bạch dưới sự hướng dẫn khảo sát của các bên liên quan. Vì vậy, chất lượng còn lại của tài sản được trình bày trên báo cáo này chỉ mang tính ước lượng chủ quan của Chúng tôi và nó không nhấ</w:t>
      </w:r>
      <w:r>
        <w:rPr>
          <w:rFonts w:ascii="Times New Roman" w:hAnsi="Times New Roman" w:eastAsia="Times New Roman" w:cs="Times New Roman"/>
          <w:color w:val="000000"/>
          <w:spacing w:val="-2"/>
          <w:sz w:val="24"/>
        </w:rPr>
        <w:t xml:space="preserve">t thiết phải trùng khớp kết quả với bất kỳ bên thứ ba nào khác cùng đưa ra các đánh giá này. Việc ảnh hưởng của các ước lượng này (nếu có) nó không thuộc nghĩa vụ bắt buộc liên quan đến chúng tôi.</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310" w:lineRule="auto"/>
        <w:ind w:right="0" w:firstLine="0" w:left="0"/>
        <w:rPr/>
      </w:pPr>
      <w:r>
        <w:rPr>
          <w:rFonts w:ascii="Times New Roman" w:hAnsi="Times New Roman" w:eastAsia="Times New Roman" w:cs="Times New Roman"/>
          <w:b/>
          <w:color w:val="000000"/>
          <w:sz w:val="24"/>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10"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rPr>
          <w:rFonts w:ascii="Times New Roman" w:hAnsi="Times New Roman" w:eastAsia="Times New Roman" w:cs="Times New Roman"/>
          <w:sz w:val="24"/>
        </w:rPr>
      </w:r>
      <w:r/>
    </w:p>
    <w:p>
      <w:pPr>
        <w:pStyle w:val="1037"/>
        <w:pBdr/>
        <w:tabs>
          <w:tab w:val="left" w:leader="none" w:pos="993"/>
        </w:tabs>
        <w:spacing w:after="120" w:before="120" w:line="288" w:lineRule="auto"/>
        <w:ind w:left="0"/>
        <w:jc w:val="both"/>
        <w:rPr>
          <w:lang w:val="pt-BR"/>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275/2026/0507/VFI-BC.51.A</w:t>
      </w:r>
      <w:r>
        <w:rPr>
          <w:color w:val="ff0000"/>
          <w:lang w:val="vi-VN"/>
        </w:rPr>
        <w:t xml:space="preserve"> </w:t>
      </w:r>
      <w:r>
        <w:rPr>
          <w:color w:val="000000" w:themeColor="text1"/>
        </w:rPr>
        <w:t xml:space="preserve">ngày 01 tháng 4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Thị Thanh Tâm</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275/2026/0507/VFI-BC.51.A</w:t>
      </w:r>
      <w:r>
        <w:rPr>
          <w:i/>
        </w:rPr>
        <w:t xml:space="preserve"> ngày</w:t>
      </w:r>
      <w:r>
        <w:rPr>
          <w:i/>
          <w:lang w:val="pt-BR"/>
        </w:rPr>
        <w:t xml:space="preserve"> </w:t>
      </w:r>
      <w:r>
        <w:rPr>
          <w:i/>
          <w:lang w:val="pt-BR"/>
        </w:rPr>
        <w:t xml:space="preserve">01 tháng 4 năm 2026</w:t>
      </w:r>
      <w:r>
        <w:rPr>
          <w:i/>
          <w:lang w:val="pt-BR"/>
        </w:rPr>
        <w:t xml:space="preserve"> </w:t>
      </w:r>
      <w:r>
        <w:rPr>
          <w:i/>
          <w:lang w:val="pt-BR"/>
        </w:rPr>
        <w:t xml:space="preserve">của </w:t>
      </w:r>
      <w:r>
        <w:rPr>
          <w:i/>
          <w:lang w:val="pt-BR"/>
        </w:rPr>
      </w:r>
      <w:r>
        <w:rPr>
          <w:i/>
          <w:lang w:val="pt-BR"/>
        </w:rPr>
      </w:r>
    </w:p>
    <w:p>
      <w:pPr>
        <w:pBdr/>
        <w:spacing w:after="120"/>
        <w:ind/>
        <w:jc w:val="center"/>
        <w:rPr>
          <w:bCs/>
          <w:i/>
          <w:highlight w:val="none"/>
          <w:lang w:val="pt-BR"/>
        </w:rPr>
      </w:pPr>
      <w:r>
        <w:rPr>
          <w:i/>
          <w:lang w:val="pt-BR"/>
        </w:rPr>
        <w:t xml:space="preserve">Công ty Cổ phần Thẩm định và Đầu tư Tài chính Hoa Sen)</w:t>
      </w:r>
      <w:r>
        <w:rPr>
          <w:bCs/>
          <w:i/>
          <w:highlight w:val="none"/>
          <w:lang w:val="pt-BR"/>
        </w:rPr>
      </w:r>
      <w:r>
        <w:rPr>
          <w:bCs/>
          <w:i/>
          <w:highlight w:val="none"/>
          <w:lang w:val="pt-BR"/>
        </w:rPr>
      </w:r>
    </w:p>
    <w:p>
      <w:pPr>
        <w:pBdr/>
        <w:spacing w:after="120"/>
        <w:ind/>
        <w:jc w:val="left"/>
        <w:rPr>
          <w:bCs/>
          <w:i/>
          <w:lang w:val="pt-BR"/>
        </w:rPr>
      </w:pPr>
      <w:r>
        <w:rPr>
          <w:i/>
          <w:highlight w:val="none"/>
          <w:lang w:val="pt-BR" w:bidi="pt-BR"/>
        </w:rPr>
      </w:r>
      <w:r>
        <w:rPr>
          <w:bCs/>
          <w:i/>
          <w:lang w:val="pt-BR"/>
        </w:rPr>
      </w:r>
      <w:r>
        <w:rPr>
          <w:bCs/>
          <w:i/>
          <w:lang w:val="pt-BR"/>
        </w:rPr>
      </w:r>
    </w:p>
    <w:tbl>
      <w:tblPr>
        <w:tblStyle w:val="104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1123950" cy="24288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22755" name=""/>
                              <pic:cNvPicPr>
                                <a:picLocks noChangeAspect="1"/>
                              </pic:cNvPicPr>
                              <pic:nvPr/>
                            </pic:nvPicPr>
                            <pic:blipFill rotWithShape="1">
                              <a:blip r:embed="rId18"/>
                              <a:stretch/>
                            </pic:blipFill>
                            <pic:spPr bwMode="auto">
                              <a:xfrm>
                                <a:off x="0" y="0"/>
                                <a:ext cx="1123949" cy="24288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88.50pt;height:191.25pt;mso-wrap-distance-left:0.00pt;mso-wrap-distance-top:0.00pt;mso-wrap-distance-right:0.00pt;mso-wrap-distance-bottom:0.00pt;z-index:1;" stroked="false">
                      <v:imagedata r:id="rId18"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1816712" cy="2415159"/>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35219" name=""/>
                              <pic:cNvPicPr>
                                <a:picLocks noChangeAspect="1"/>
                              </pic:cNvPicPr>
                              <pic:nvPr/>
                            </pic:nvPicPr>
                            <pic:blipFill rotWithShape="1">
                              <a:blip r:embed="rId19"/>
                              <a:stretch/>
                            </pic:blipFill>
                            <pic:spPr bwMode="auto">
                              <a:xfrm flipH="0" flipV="0">
                                <a:off x="0" y="0"/>
                                <a:ext cx="1816711" cy="241515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43.05pt;height:190.17pt;mso-wrap-distance-left:0.00pt;mso-wrap-distance-top:0.00pt;mso-wrap-distance-right:0.00pt;mso-wrap-distance-bottom:0.00pt;z-index:1;" stroked="false">
                      <v:imagedata r:id="rId19"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Mặt tiền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1771650" cy="23622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74630" name=""/>
                              <pic:cNvPicPr>
                                <a:picLocks noChangeAspect="1"/>
                              </pic:cNvPicPr>
                              <pic:nvPr/>
                            </pic:nvPicPr>
                            <pic:blipFill rotWithShape="1">
                              <a:blip r:embed="rId20"/>
                              <a:stretch/>
                            </pic:blipFill>
                            <pic:spPr bwMode="auto">
                              <a:xfrm>
                                <a:off x="0" y="0"/>
                                <a:ext cx="1771650" cy="23621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39.50pt;height:186.00pt;mso-wrap-distance-left:0.00pt;mso-wrap-distance-top:0.00pt;mso-wrap-distance-right:0.00pt;mso-wrap-distance-bottom:0.00pt;z-index:1;" stroked="false">
                      <v:imagedata r:id="rId20"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761236" cy="207645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73856" name=""/>
                              <pic:cNvPicPr>
                                <a:picLocks noChangeAspect="1"/>
                              </pic:cNvPicPr>
                              <pic:nvPr/>
                            </pic:nvPicPr>
                            <pic:blipFill rotWithShape="1">
                              <a:blip r:embed="rId21"/>
                              <a:stretch/>
                            </pic:blipFill>
                            <pic:spPr bwMode="auto">
                              <a:xfrm flipH="0" flipV="0">
                                <a:off x="0" y="0"/>
                                <a:ext cx="2761235" cy="20764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7.42pt;height:163.50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24125" cy="189547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9922" name=""/>
                              <pic:cNvPicPr>
                                <a:picLocks noChangeAspect="1"/>
                              </pic:cNvPicPr>
                              <pic:nvPr/>
                            </pic:nvPicPr>
                            <pic:blipFill rotWithShape="1">
                              <a:blip r:embed="rId22"/>
                              <a:stretch/>
                            </pic:blipFill>
                            <pic:spPr bwMode="auto">
                              <a:xfrm>
                                <a:off x="0" y="0"/>
                                <a:ext cx="2524124" cy="1895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98.75pt;height:149.25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1504950" cy="200025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67096" name=""/>
                              <pic:cNvPicPr>
                                <a:picLocks noChangeAspect="1"/>
                              </pic:cNvPicPr>
                              <pic:nvPr/>
                            </pic:nvPicPr>
                            <pic:blipFill rotWithShape="1">
                              <a:blip r:embed="rId23"/>
                              <a:stretch/>
                            </pic:blipFill>
                            <pic:spPr bwMode="auto">
                              <a:xfrm>
                                <a:off x="0" y="0"/>
                                <a:ext cx="1504949" cy="20002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18.50pt;height:157.50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275/2026/0507/VFI-BC.51.A</w:t>
      </w:r>
      <w:r>
        <w:rPr>
          <w:i/>
        </w:rPr>
        <w:t xml:space="preserve"> ngày</w:t>
      </w:r>
      <w:r>
        <w:rPr>
          <w:i/>
          <w:lang w:val="pt-BR"/>
        </w:rPr>
        <w:t xml:space="preserve"> </w:t>
      </w:r>
      <w:r>
        <w:rPr>
          <w:i/>
          <w:lang w:val="pt-BR"/>
        </w:rPr>
        <w:t xml:space="preserve">01 tháng 4 năm 2026</w:t>
      </w:r>
      <w:r>
        <w:rPr>
          <w:i/>
          <w:lang w:val="pt-BR"/>
        </w:rPr>
        <w:t xml:space="preserve"> </w:t>
      </w:r>
      <w:r>
        <w:rPr>
          <w:i/>
          <w:lang w:val="pt-BR"/>
        </w:rPr>
        <w:t xml:space="preserve">của </w:t>
      </w:r>
      <w:r>
        <w:rPr>
          <w:i/>
          <w:lang w:val="pt-BR"/>
        </w:rPr>
      </w:r>
      <w:r>
        <w:rPr>
          <w:i/>
          <w:lang w:val="pt-BR"/>
        </w:rPr>
      </w:r>
    </w:p>
    <w:p>
      <w:pPr>
        <w:pBdr/>
        <w:spacing w:after="120"/>
        <w:ind/>
        <w:jc w:val="center"/>
        <w:rPr>
          <w:bCs/>
          <w:i/>
          <w:highlight w:val="none"/>
          <w:lang w:val="pt-BR"/>
        </w:rPr>
      </w:pPr>
      <w:r>
        <w:rPr>
          <w:i/>
          <w:lang w:val="pt-BR"/>
        </w:rPr>
        <w:t xml:space="preserve">Công ty Cổ phần Thẩm định và Đầu tư Tài chính Hoa Sen)</w:t>
      </w:r>
      <w:r>
        <w:rPr>
          <w:bCs/>
          <w:i/>
          <w:highlight w:val="none"/>
          <w:lang w:val="pt-BR"/>
        </w:rPr>
      </w:r>
      <w:r>
        <w:rPr>
          <w:bCs/>
          <w:i/>
          <w:highlight w:val="none"/>
          <w:lang w:val="pt-BR"/>
        </w:rPr>
      </w:r>
    </w:p>
    <w:p>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b/>
          <w:color w:val="000000"/>
          <w:sz w:val="24"/>
        </w:rPr>
        <w:t xml:space="preserve">TSSS1</w:t>
      </w: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3"/>
        <w:gridCol w:w="2901"/>
        <w:gridCol w:w="1308"/>
        <w:gridCol w:w="3468"/>
        <w:gridCol w:w="1215"/>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gridSpan w:val="2"/>
            <w:tcBorders>
              <w:top w:val="single" w:color="000000" w:sz="8" w:space="0"/>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gridSpan w:val="2"/>
            <w:tcBorders>
              <w:top w:val="single" w:color="000000" w:sz="8" w:space="0"/>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gridSpan w:val="2"/>
            <w:tcBorders>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gridSpan w:val="2"/>
            <w:tcBorders>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gridSpan w:val="2"/>
            <w:tcBorders>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gridSpan w:val="2"/>
            <w:tcBorders>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https://www.facebook.com/share/p/1FUrBpvThG/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gridSpan w:val="2"/>
            <w:tcBorders>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gridSpan w:val="2"/>
            <w:tcBorders>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3.500.000.000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gridSpan w:val="2"/>
            <w:tcBorders>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gridSpan w:val="2"/>
            <w:tcBorders>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3.150.000.000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gridSpan w:val="2"/>
            <w:tcBorders>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gridSpan w:val="2"/>
            <w:tcBorders>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gridSpan w:val="2"/>
            <w:tcBorders>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gridSpan w:val="2"/>
            <w:tcBorders>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gridSpan w:val="2"/>
            <w:tcBorders>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gridSpan w:val="2"/>
            <w:tcBorders>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gridSpan w:val="2"/>
            <w:tcBorders>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(51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gridSpan w:val="2"/>
            <w:tcBorders>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gridSpan w:val="2"/>
            <w:tcBorders>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gridSpan w:val="2"/>
            <w:tcBorders>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gridSpan w:val="2"/>
            <w:tcBorders>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500 Tôn Đản, Phường Hòa An, Quận Cẩm Lệ, Thành phố Đà Nẵng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i/>
                <w:color w:val="000000"/>
                <w:sz w:val="22"/>
              </w:rPr>
              <w:t xml:space="preserve">(nay là phường An Khê, thành phố Đà Nẵng)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gridSpan w:val="2"/>
            <w:tcBorders>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gridSpan w:val="2"/>
            <w:tcBorders>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gridSpan w:val="2"/>
            <w:tcBorders>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gridSpan w:val="2"/>
            <w:tcBorders>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51,0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gridSpan w:val="2"/>
            <w:tcBorders>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gridSpan w:val="2"/>
            <w:tcBorders>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gridSpan w:val="2"/>
            <w:tcBorders>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gridSpan w:val="2"/>
            <w:tcBorders>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gridSpan w:val="2"/>
            <w:tcBorders>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gridSpan w:val="2"/>
            <w:tcBorders>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Nở hậu</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gridSpan w:val="2"/>
            <w:tcBorders>
              <w:bottom w:val="single" w:color="000000" w:sz="8" w:space="0"/>
              <w:right w:val="single" w:color="000000" w:sz="8" w:space="0"/>
            </w:tcBorders>
            <w:tcMar>
              <w:left w:w="108" w:type="dxa"/>
              <w:top w:w="0" w:type="dxa"/>
              <w:right w:w="108" w:type="dxa"/>
              <w:bottom w:w="0" w:type="dxa"/>
            </w:tcMar>
            <w:tcW w:w="420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gridSpan w:val="2"/>
            <w:tcBorders>
              <w:bottom w:val="single" w:color="000000" w:sz="8" w:space="0"/>
              <w:right w:val="single" w:color="000000" w:sz="8" w:space="0"/>
            </w:tcBorders>
            <w:tcMar>
              <w:left w:w="108" w:type="dxa"/>
              <w:top w:w="0" w:type="dxa"/>
              <w:right w:w="108" w:type="dxa"/>
              <w:bottom w:w="0" w:type="dxa"/>
            </w:tcMar>
            <w:tcW w:w="468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89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2838450" cy="227647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5641" name=""/>
                              <pic:cNvPicPr>
                                <a:picLocks noChangeAspect="1"/>
                              </pic:cNvPicPr>
                              <pic:nvPr/>
                            </pic:nvPicPr>
                            <pic:blipFill rotWithShape="1">
                              <a:blip r:embed="rId24"/>
                              <a:stretch/>
                            </pic:blipFill>
                            <pic:spPr bwMode="auto">
                              <a:xfrm>
                                <a:off x="0" y="0"/>
                                <a:ext cx="2838449" cy="2276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3.50pt;height:179.25pt;mso-wrap-distance-left:0.00pt;mso-wrap-distance-top:0.00pt;mso-wrap-distance-right:0.00pt;mso-wrap-distance-bottom:0.00pt;z-index:1;" stroked="false">
                      <v:imagedata r:id="rId24" o:title=""/>
                      <o:lock v:ext="edit" rotation="t"/>
                    </v:shape>
                  </w:pict>
                </mc:Fallback>
              </mc:AlternateContent>
            </w:r>
            <w:r>
              <mc:AlternateContent>
                <mc:Choice Requires="wpg">
                  <w:drawing>
                    <wp:inline xmlns:wp="http://schemas.openxmlformats.org/drawingml/2006/wordprocessingDrawing" distT="0" distB="0" distL="0" distR="0">
                      <wp:extent cx="2466975" cy="234315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84231" name=""/>
                              <pic:cNvPicPr>
                                <a:picLocks noChangeAspect="1"/>
                              </pic:cNvPicPr>
                              <pic:nvPr/>
                            </pic:nvPicPr>
                            <pic:blipFill rotWithShape="1">
                              <a:blip r:embed="rId25"/>
                              <a:stretch/>
                            </pic:blipFill>
                            <pic:spPr bwMode="auto">
                              <a:xfrm>
                                <a:off x="0" y="0"/>
                                <a:ext cx="2466973" cy="23431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94.25pt;height:184.50pt;mso-wrap-distance-left:0.00pt;mso-wrap-distance-top:0.00pt;mso-wrap-distance-right:0.00pt;mso-wrap-distance-bottom:0.00pt;z-index:1;" stroked="false">
                      <v:imagedata r:id="rId25" o:title=""/>
                      <o:lock v:ext="edit" rotation="t"/>
                    </v:shape>
                  </w:pict>
                </mc:Fallback>
              </mc:AlternateContent>
            </w:r>
            <w:r>
              <w:rPr>
                <w:rFonts w:ascii="Times New Roman" w:hAnsi="Times New Roman" w:eastAsia="Times New Roman" w:cs="Times New Roman"/>
                <w:color w:val="000000"/>
                <w:sz w:val="22"/>
              </w:rPr>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r>
        <w:trPr>
          <w:gridAfter w:val="1"/>
          <w:trHeight w:val="283"/>
        </w:trPr>
        <w:tc>
          <w:tcPr>
            <w:gridSpan w:val="2"/>
            <w:tcBorders/>
            <w:tcMar>
              <w:left w:w="108" w:type="dxa"/>
              <w:top w:w="0" w:type="dxa"/>
              <w:right w:w="108" w:type="dxa"/>
              <w:bottom w:w="0" w:type="dxa"/>
            </w:tcMar>
            <w:tcW w:w="353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2"/>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Người thu thập thông tin</w:t>
            </w:r>
            <w:r/>
          </w:p>
        </w:tc>
      </w:tr>
    </w:tbl>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highlight w:val="none"/>
        </w:rPr>
      </w:pPr>
      <w:r>
        <w:rPr>
          <w:highlight w:val="none"/>
        </w:rPr>
      </w:r>
      <w:r>
        <w:rPr>
          <w:highlight w:val="none"/>
        </w:rPr>
      </w:r>
      <w:r>
        <w:rPr>
          <w:highlight w:val="none"/>
        </w:rPr>
      </w:r>
    </w:p>
    <w:p>
      <w:pPr>
        <w:pBdr>
          <w:top w:val="none" w:color="000000" w:sz="4" w:space="0"/>
          <w:left w:val="none" w:color="000000" w:sz="4" w:space="0"/>
          <w:bottom w:val="none" w:color="000000" w:sz="4" w:space="0"/>
          <w:right w:val="none" w:color="000000" w:sz="4" w:space="0"/>
        </w:pBdr>
        <w:spacing/>
        <w:ind w:right="0" w:firstLine="0" w:left="0"/>
        <w:rPr>
          <w:highlight w:val="none"/>
        </w:rPr>
      </w:pPr>
      <w:r>
        <w:rPr>
          <w:highlight w:val="none"/>
        </w:rPr>
      </w:r>
      <w:r>
        <w:rPr>
          <w:highlight w:val="none"/>
        </w:rPr>
      </w:r>
      <w:r>
        <w:rPr>
          <w:highlight w:val="none"/>
        </w:rPr>
      </w:r>
    </w:p>
    <w:p>
      <w:pPr>
        <w:pBdr>
          <w:top w:val="none" w:color="000000" w:sz="4" w:space="0"/>
          <w:left w:val="none" w:color="000000" w:sz="4" w:space="0"/>
          <w:bottom w:val="none" w:color="000000" w:sz="4" w:space="0"/>
          <w:right w:val="none" w:color="000000" w:sz="4" w:space="0"/>
        </w:pBdr>
        <w:spacing/>
        <w:ind w:right="0" w:firstLine="0" w:left="0"/>
        <w:rPr>
          <w:highlight w:val="none"/>
        </w:rPr>
      </w:pPr>
      <w:r>
        <w:rPr>
          <w:highlight w:val="none"/>
        </w:rPr>
      </w:r>
      <w:r>
        <w:rPr>
          <w:highlight w:val="none"/>
        </w:rPr>
      </w:r>
      <w:r>
        <w:rPr>
          <w:highlight w:val="none"/>
        </w:rPr>
      </w:r>
    </w:p>
    <w:p>
      <w:pPr>
        <w:pBdr>
          <w:top w:val="none" w:color="000000" w:sz="4" w:space="0"/>
          <w:left w:val="none" w:color="000000" w:sz="4" w:space="0"/>
          <w:bottom w:val="none" w:color="000000" w:sz="4" w:space="0"/>
          <w:right w:val="none" w:color="000000" w:sz="4" w:space="0"/>
        </w:pBdr>
        <w:spacing/>
        <w:ind w:right="0" w:firstLine="0" w:left="0"/>
        <w:rPr>
          <w:highlight w:val="none"/>
        </w:rPr>
      </w:pPr>
      <w:r>
        <w:rPr>
          <w:highlight w:val="none"/>
        </w:rPr>
      </w:r>
      <w:r>
        <w:rPr>
          <w:highlight w:val="none"/>
        </w:rPr>
      </w:r>
      <w:r>
        <w:rPr>
          <w:highlight w:val="none"/>
        </w:rPr>
      </w:r>
    </w:p>
    <w:p>
      <w:pPr>
        <w:pBdr>
          <w:top w:val="none" w:color="000000" w:sz="4" w:space="0"/>
          <w:left w:val="none" w:color="000000" w:sz="4" w:space="0"/>
          <w:bottom w:val="none" w:color="000000" w:sz="4" w:space="0"/>
          <w:right w:val="none" w:color="000000" w:sz="4" w:space="0"/>
        </w:pBdr>
        <w:spacing/>
        <w:ind w:right="0" w:firstLine="0" w:left="0"/>
        <w:rPr>
          <w:highlight w:val="none"/>
        </w:rPr>
      </w:pPr>
      <w:r>
        <w:rPr>
          <w:highlight w:val="none"/>
        </w:rPr>
        <w:t xml:space="preserve">                                                                                                   Trần Thị Thanh Tâm</w:t>
      </w:r>
      <w:r>
        <w:rPr>
          <w:highlight w:val="none"/>
        </w:rPr>
      </w:r>
      <w:r>
        <w:rPr>
          <w:highlight w:val="none"/>
        </w:rP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sz w:val="24"/>
        </w:rPr>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TSSS2</w:t>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3726"/>
        <w:gridCol w:w="767"/>
        <w:gridCol w:w="3934"/>
        <w:gridCol w:w="56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gridSpan w:val="2"/>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gridSpan w:val="2"/>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Nguồn tham khảo</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https://www.facebook.com/share/p/1F6kSRQKBd/</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3.230.000.000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2.907.000.000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408 Tôn Đản, Phường Hòa An, Quận Cẩm Lệ, Thành phố Đà Nẵng </w:t>
            </w:r>
            <w:r>
              <w:rPr>
                <w:rFonts w:ascii="Times New Roman" w:hAnsi="Times New Roman" w:eastAsia="Times New Roman" w:cs="Times New Roman"/>
                <w:i/>
                <w:color w:val="000000"/>
                <w:sz w:val="22"/>
              </w:rPr>
              <w:t xml:space="preserve">(nay là phường An Khê, thành phố Đà Nẵng)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58,0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19400" cy="212407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71989" name=""/>
                              <pic:cNvPicPr>
                                <a:picLocks noChangeAspect="1"/>
                              </pic:cNvPicPr>
                              <pic:nvPr/>
                            </pic:nvPicPr>
                            <pic:blipFill rotWithShape="1">
                              <a:blip r:embed="rId26"/>
                              <a:stretch/>
                            </pic:blipFill>
                            <pic:spPr bwMode="auto">
                              <a:xfrm>
                                <a:off x="0" y="0"/>
                                <a:ext cx="2819399"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2.00pt;height:167.25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2571750" cy="25527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37663" name=""/>
                              <pic:cNvPicPr>
                                <a:picLocks noChangeAspect="1"/>
                              </pic:cNvPicPr>
                              <pic:nvPr/>
                            </pic:nvPicPr>
                            <pic:blipFill rotWithShape="1">
                              <a:blip r:embed="rId27"/>
                              <a:stretch/>
                            </pic:blipFill>
                            <pic:spPr bwMode="auto">
                              <a:xfrm>
                                <a:off x="0" y="0"/>
                                <a:ext cx="2571750" cy="25526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02.50pt;height:201.00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eastAsia="Times New Roman" w:cs="Times New Roman"/>
                <w:color w:val="000000"/>
                <w:sz w:val="22"/>
              </w:rPr>
            </w:r>
            <w:r/>
          </w:p>
        </w:tc>
      </w:tr>
      <w:tr>
        <w:trPr>
          <w:gridAfter w:val="1"/>
          <w:trHeight w:val="298"/>
        </w:trPr>
        <w:tc>
          <w:tcPr>
            <w:gridSpan w:val="2"/>
            <w:tcBorders/>
            <w:tcMar>
              <w:left w:w="108" w:type="dxa"/>
              <w:top w:w="0" w:type="dxa"/>
              <w:right w:w="108" w:type="dxa"/>
              <w:bottom w:w="0" w:type="dxa"/>
            </w:tcMar>
            <w:tcW w:w="435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gridSpan w:val="2"/>
            <w:tcBorders/>
            <w:tcMar>
              <w:left w:w="108" w:type="dxa"/>
              <w:top w:w="0" w:type="dxa"/>
              <w:right w:w="108" w:type="dxa"/>
              <w:bottom w:w="0" w:type="dxa"/>
            </w:tcMar>
            <w:tcW w:w="470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Người thu thập thông tin</w:t>
            </w:r>
            <w:r/>
          </w:p>
        </w:tc>
      </w:tr>
      <w:tr>
        <w:trPr>
          <w:gridAfter w:val="1"/>
          <w:trHeight w:val="308"/>
        </w:trPr>
        <w:tc>
          <w:tcPr>
            <w:gridSpan w:val="2"/>
            <w:tcBorders/>
            <w:tcMar>
              <w:left w:w="108" w:type="dxa"/>
              <w:top w:w="0" w:type="dxa"/>
              <w:right w:w="108" w:type="dxa"/>
              <w:bottom w:w="0" w:type="dxa"/>
            </w:tcMar>
            <w:tcW w:w="435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2"/>
            <w:tcBorders/>
            <w:tcMar>
              <w:left w:w="108" w:type="dxa"/>
              <w:top w:w="0" w:type="dxa"/>
              <w:right w:w="108" w:type="dxa"/>
              <w:bottom w:w="0" w:type="dxa"/>
            </w:tcMar>
            <w:tcW w:w="470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r>
      <w:tr>
        <w:trPr>
          <w:gridAfter w:val="1"/>
          <w:trHeight w:val="298"/>
        </w:trPr>
        <w:tc>
          <w:tcPr>
            <w:gridSpan w:val="2"/>
            <w:tcBorders/>
            <w:tcMar>
              <w:left w:w="108" w:type="dxa"/>
              <w:top w:w="0" w:type="dxa"/>
              <w:right w:w="108" w:type="dxa"/>
              <w:bottom w:w="0" w:type="dxa"/>
            </w:tcMar>
            <w:tcW w:w="4358"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gridSpan w:val="2"/>
            <w:tcBorders/>
            <w:tcMar>
              <w:left w:w="108" w:type="dxa"/>
              <w:top w:w="0" w:type="dxa"/>
              <w:right w:w="108" w:type="dxa"/>
              <w:bottom w:w="0" w:type="dxa"/>
            </w:tcMar>
            <w:tcW w:w="4701"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Trần Thị Thanh Tâm</w:t>
            </w:r>
            <w:r/>
          </w:p>
        </w:tc>
      </w:tr>
      <w:tr>
        <w:trPr/>
        <w:tc>
          <w:tcPr>
            <w:tcBorders/>
            <w:tcMar>
              <w:left w:w="0" w:type="dxa"/>
              <w:top w:w="0" w:type="dxa"/>
              <w:right w:w="0" w:type="dxa"/>
              <w:bottom w:w="0" w:type="dxa"/>
            </w:tcMar>
            <w:tcW w:w="632"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3726"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767"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3934" w:type="dxa"/>
            <w:vAlign w:val="center"/>
            <w:textDirection w:val="lrTb"/>
            <w:noWrap w:val="false"/>
          </w:tcPr>
          <w:p>
            <w:pPr>
              <w:pBdr/>
              <w:spacing w:after="0" w:before="0" w:line="240" w:lineRule="auto"/>
              <w:ind/>
              <w:rPr/>
            </w:pPr>
            <w:r/>
            <w:r/>
          </w:p>
        </w:tc>
        <w:tc>
          <w:tcPr>
            <w:tcBorders/>
            <w:tcMar>
              <w:left w:w="0" w:type="dxa"/>
              <w:top w:w="0" w:type="dxa"/>
              <w:right w:w="0" w:type="dxa"/>
              <w:bottom w:w="0" w:type="dxa"/>
            </w:tcMar>
            <w:tcW w:w="560"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3795"/>
        <w:gridCol w:w="698"/>
        <w:gridCol w:w="4078"/>
        <w:gridCol w:w="416"/>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gridSpan w:val="2"/>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gridSpan w:val="2"/>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5.640.000.000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5.076.000.000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(60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428 Đường Tôn Đản, Phường Hòa An, Quận Cẩm Lệ, Thành phố Đà Nẵng </w:t>
            </w:r>
            <w:r>
              <w:rPr>
                <w:rFonts w:ascii="Times New Roman" w:hAnsi="Times New Roman" w:eastAsia="Times New Roman" w:cs="Times New Roman"/>
                <w:i/>
                <w:color w:val="000000"/>
                <w:sz w:val="22"/>
              </w:rPr>
              <w:t xml:space="preserve">(nay là Phường An Khê, Thành phố Đà Nẵng)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không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gridSpan w:val="2"/>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gridSpan w:val="2"/>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2609850" cy="235267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01166" name=""/>
                              <pic:cNvPicPr>
                                <a:picLocks noChangeAspect="1"/>
                              </pic:cNvPicPr>
                              <pic:nvPr/>
                            </pic:nvPicPr>
                            <pic:blipFill rotWithShape="1">
                              <a:blip r:embed="rId28"/>
                              <a:stretch/>
                            </pic:blipFill>
                            <pic:spPr bwMode="auto">
                              <a:xfrm>
                                <a:off x="0" y="0"/>
                                <a:ext cx="2609848" cy="2352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05.50pt;height:185.25pt;mso-wrap-distance-left:0.00pt;mso-wrap-distance-top:0.00pt;mso-wrap-distance-right:0.00pt;mso-wrap-distance-bottom:0.00pt;z-index:1;" stroked="false">
                      <v:imagedata r:id="rId28" o:title=""/>
                      <o:lock v:ext="edit" rotation="t"/>
                    </v:shape>
                  </w:pict>
                </mc:Fallback>
              </mc:AlternateContent>
            </w:r>
            <w:r>
              <mc:AlternateContent>
                <mc:Choice Requires="wpg">
                  <w:drawing>
                    <wp:inline xmlns:wp="http://schemas.openxmlformats.org/drawingml/2006/wordprocessingDrawing" distT="0" distB="0" distL="0" distR="0">
                      <wp:extent cx="2381250" cy="248602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71624" name=""/>
                              <pic:cNvPicPr>
                                <a:picLocks noChangeAspect="1"/>
                              </pic:cNvPicPr>
                              <pic:nvPr/>
                            </pic:nvPicPr>
                            <pic:blipFill rotWithShape="1">
                              <a:blip r:embed="rId29"/>
                              <a:stretch/>
                            </pic:blipFill>
                            <pic:spPr bwMode="auto">
                              <a:xfrm>
                                <a:off x="0" y="0"/>
                                <a:ext cx="2381249" cy="24860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87.50pt;height:195.75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eastAsia="Times New Roman" w:cs="Times New Roman"/>
                <w:color w:val="000000"/>
                <w:sz w:val="22"/>
              </w:rPr>
            </w:r>
            <w:r/>
          </w:p>
        </w:tc>
      </w:tr>
      <w:tr>
        <w:trPr>
          <w:gridAfter w:val="1"/>
          <w:trHeight w:val="312"/>
        </w:trPr>
        <w:tc>
          <w:tcPr>
            <w:gridSpan w:val="2"/>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2"/>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Người thu thập thông tin</w:t>
            </w:r>
            <w:r/>
          </w:p>
        </w:tc>
      </w:tr>
      <w:tr>
        <w:trPr>
          <w:gridAfter w:val="1"/>
          <w:trHeight w:val="322"/>
        </w:trPr>
        <w:tc>
          <w:tcPr>
            <w:gridSpan w:val="2"/>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2"/>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Trần Thị Thanh Tâm</w:t>
            </w:r>
            <w:r/>
          </w:p>
        </w:tc>
      </w:tr>
    </w:tbl>
    <w:p>
      <w:pPr>
        <w:pBdr/>
        <w:spacing w:after="120"/>
        <w:ind/>
        <w:jc w:val="center"/>
        <w:rPr>
          <w:bCs/>
          <w:i/>
          <w:lang w:val="pt-BR"/>
        </w:rPr>
      </w:pPr>
      <w:r>
        <w:rPr>
          <w:bCs/>
          <w:i/>
          <w:lang w:val="pt-BR"/>
        </w:rPr>
      </w:r>
      <w:r>
        <w:rPr>
          <w:bCs/>
          <w:i/>
          <w:lang w:val="pt-BR"/>
        </w:rPr>
      </w:r>
      <w:r>
        <w:rPr>
          <w:bCs/>
          <w:i/>
          <w:lang w:val="pt-BR"/>
        </w:rPr>
      </w:r>
    </w:p>
    <w:p>
      <w:pPr>
        <w:pBdr/>
        <w:spacing w:after="120"/>
        <w:ind/>
        <w:jc w:val="center"/>
        <w:rPr>
          <w:bCs/>
          <w:i/>
          <w:lang w:val="pt-BR"/>
        </w:rPr>
      </w:pPr>
      <w:r>
        <w:rPr>
          <w:bCs/>
          <w:i/>
          <w:lang w:val="pt-BR"/>
        </w:rPr>
      </w:r>
      <w:r>
        <w:rPr>
          <w:bCs/>
          <w:i/>
          <w:lang w:val="pt-BR"/>
        </w:rPr>
      </w:r>
      <w:r>
        <w:rPr>
          <w:bCs/>
          <w:i/>
          <w:lang w:val="pt-BR"/>
        </w:rPr>
      </w:r>
    </w:p>
    <w:p>
      <w:pPr>
        <w:pBdr/>
        <w:spacing w:after="120"/>
        <w:ind/>
        <w:jc w:val="center"/>
        <w:rPr>
          <w:bCs/>
          <w:i/>
          <w:lang w:val="pt-BR"/>
        </w:rPr>
      </w:pPr>
      <w:r>
        <w:rPr>
          <w:bCs/>
          <w:i/>
          <w:lang w:val="pt-BR"/>
        </w:rPr>
      </w:r>
      <w:r>
        <w:rPr>
          <w:bCs/>
          <w:i/>
          <w:lang w:val="pt-BR"/>
        </w:rPr>
      </w:r>
      <w:r>
        <w:rPr>
          <w:bCs/>
          <w:i/>
          <w:lang w:val="pt-BR"/>
        </w:rPr>
      </w:r>
    </w:p>
    <w:p>
      <w:pPr>
        <w:pBdr/>
        <w:spacing w:after="120"/>
        <w:ind/>
        <w:jc w:val="center"/>
        <w:rPr>
          <w:bCs/>
          <w:i/>
          <w:lang w:val="pt-BR"/>
        </w:rPr>
      </w:pPr>
      <w:r>
        <w:rPr>
          <w:bCs/>
          <w:i/>
          <w:lang w:val="pt-BR"/>
        </w:rPr>
      </w:r>
      <w:r>
        <w:rPr>
          <w:bCs/>
          <w:i/>
          <w:lang w:val="pt-BR"/>
        </w:rPr>
      </w:r>
      <w:r>
        <w:rPr>
          <w:bCs/>
          <w:i/>
          <w:lang w:val="pt-BR"/>
        </w:rPr>
      </w:r>
    </w:p>
    <w:p>
      <w:pPr>
        <w:pBdr/>
        <w:spacing w:after="120"/>
        <w:ind/>
        <w:jc w:val="center"/>
        <w:rPr>
          <w:bCs/>
          <w:i/>
          <w:lang w:val="pt-BR"/>
        </w:rPr>
      </w:pPr>
      <w:r>
        <w:rPr>
          <w:bCs/>
          <w:i/>
          <w:lang w:val="pt-BR"/>
        </w:rPr>
      </w:r>
      <w:r>
        <w:rPr>
          <w:bCs/>
          <w:i/>
          <w:lang w:val="pt-BR"/>
        </w:rPr>
      </w:r>
      <w:r>
        <w:rPr>
          <w:bCs/>
          <w:i/>
          <w:lang w:val="pt-BR"/>
        </w:rPr>
      </w:r>
    </w:p>
    <w:p>
      <w:pPr>
        <w:pBdr/>
        <w:spacing w:after="120"/>
        <w:ind/>
        <w:jc w:val="center"/>
        <w:rPr>
          <w:b/>
          <w:bCs w:val="0"/>
          <w:i w:val="0"/>
          <w:highlight w:val="none"/>
          <w:lang w:val="pt-BR" w:bidi="pt-BR"/>
        </w:rPr>
      </w:pPr>
      <w:r>
        <w:rPr>
          <w:b/>
          <w:bCs/>
          <w:i w:val="0"/>
          <w:iCs w:val="0"/>
          <w:highlight w:val="none"/>
          <w:lang w:val="pt-BR" w:bidi="pt-BR"/>
        </w:rPr>
        <w:t xml:space="preserve">HỒ SƠ PHÁP LÝ </w:t>
      </w:r>
      <w:r>
        <w:rPr>
          <w:b/>
          <w:bCs w:val="0"/>
          <w:i w:val="0"/>
          <w:highlight w:val="none"/>
          <w:lang w:val="pt-BR" w:bidi="pt-BR"/>
        </w:rPr>
      </w:r>
      <w:r>
        <w:rPr>
          <w:b/>
          <w:bCs w:val="0"/>
          <w:i w:val="0"/>
          <w:highlight w:val="none"/>
          <w:lang w:val="pt-BR" w:bidi="pt-BR"/>
        </w:rPr>
      </w:r>
    </w:p>
    <w:p>
      <w:pPr>
        <w:pBdr/>
        <w:spacing w:after="120"/>
        <w:ind/>
        <w:jc w:val="center"/>
        <w:rPr>
          <w:b/>
          <w:bCs w:val="0"/>
          <w:i w:val="0"/>
          <w:highlight w:val="none"/>
          <w:lang w:val="pt-BR" w:bidi="pt-BR"/>
        </w:rPr>
      </w:pPr>
      <w:r>
        <w:rPr>
          <w:b/>
          <w:bCs/>
          <w:i w:val="0"/>
          <w:iCs w:val="0"/>
          <w:highlight w:val="none"/>
          <w:lang w:val="pt-BR" w:bidi="pt-BR"/>
        </w:rPr>
      </w:r>
      <w:r>
        <mc:AlternateContent>
          <mc:Choice Requires="wpg">
            <w:drawing>
              <wp:inline xmlns:wp="http://schemas.openxmlformats.org/drawingml/2006/wordprocessingDrawing" distT="0" distB="0" distL="0" distR="0">
                <wp:extent cx="8749140" cy="5659429"/>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59989" name=""/>
                        <pic:cNvPicPr>
                          <a:picLocks noChangeAspect="1"/>
                        </pic:cNvPicPr>
                        <pic:nvPr/>
                      </pic:nvPicPr>
                      <pic:blipFill rotWithShape="1">
                        <a:blip r:embed="rId30"/>
                        <a:stretch/>
                      </pic:blipFill>
                      <pic:spPr bwMode="auto">
                        <a:xfrm rot="5399976" flipH="0" flipV="0">
                          <a:off x="0" y="0"/>
                          <a:ext cx="8749139" cy="56594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688.91pt;height:445.62pt;mso-wrap-distance-left:0.00pt;mso-wrap-distance-top:0.00pt;mso-wrap-distance-right:0.00pt;mso-wrap-distance-bottom:0.00pt;rotation:89;z-index:1;" stroked="false">
                <v:imagedata r:id="rId30" o:title=""/>
                <o:lock v:ext="edit" rotation="t"/>
              </v:shape>
            </w:pict>
          </mc:Fallback>
        </mc:AlternateContent>
      </w:r>
      <w:r>
        <w:rPr>
          <w:b/>
          <w:bCs w:val="0"/>
          <w:i w:val="0"/>
          <w:highlight w:val="none"/>
          <w:lang w:val="pt-BR" w:bidi="pt-BR"/>
        </w:rPr>
      </w:r>
      <w:r>
        <w:rPr>
          <w:b/>
          <w:bCs w:val="0"/>
          <w:i w:val="0"/>
          <w:highlight w:val="none"/>
          <w:lang w:val="pt-BR" w:bidi="pt-BR"/>
        </w:rPr>
      </w:r>
    </w:p>
    <w:p>
      <w:pPr>
        <w:pBdr/>
        <w:spacing w:after="120"/>
        <w:ind/>
        <w:jc w:val="center"/>
        <w:rPr>
          <w:b/>
          <w:bCs w:val="0"/>
          <w:i w:val="0"/>
        </w:rPr>
      </w:pPr>
      <w:r>
        <w:rPr>
          <w:b/>
          <w:bCs w:val="0"/>
          <w:i w:val="0"/>
        </w:rPr>
      </w:r>
      <w:r>
        <w:rPr>
          <w:b/>
          <w:bCs w:val="0"/>
          <w:i w:val="0"/>
        </w:rPr>
      </w:r>
      <w:r>
        <w:rPr>
          <w:b/>
          <w:bCs w:val="0"/>
          <w:i w:val="0"/>
        </w:rPr>
      </w:r>
    </w:p>
    <w:p>
      <w:pPr>
        <w:pBdr/>
        <w:spacing w:after="120"/>
        <w:ind/>
        <w:jc w:val="center"/>
        <w:rPr>
          <w:b/>
          <w:bCs w:val="0"/>
          <w:i w:val="0"/>
          <w:highlight w:val="none"/>
          <w:lang w:val="pt-BR" w:bidi="pt-BR"/>
        </w:rPr>
      </w:pPr>
      <w:r>
        <w:rPr>
          <w:b/>
          <w:bCs/>
          <w:i w:val="0"/>
          <w:iCs w:val="0"/>
          <w:highlight w:val="none"/>
          <w:lang w:val="pt-BR" w:bidi="pt-BR"/>
        </w:rPr>
      </w:r>
      <w:r>
        <mc:AlternateContent>
          <mc:Choice Requires="wpg">
            <w:drawing>
              <wp:inline xmlns:wp="http://schemas.openxmlformats.org/drawingml/2006/wordprocessingDrawing" distT="0" distB="0" distL="0" distR="0">
                <wp:extent cx="9057735" cy="572858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96016" name=""/>
                        <pic:cNvPicPr>
                          <a:picLocks noChangeAspect="1"/>
                        </pic:cNvPicPr>
                        <pic:nvPr/>
                      </pic:nvPicPr>
                      <pic:blipFill rotWithShape="1">
                        <a:blip r:embed="rId31"/>
                        <a:stretch/>
                      </pic:blipFill>
                      <pic:spPr bwMode="auto">
                        <a:xfrm rot="5399976" flipH="0" flipV="0">
                          <a:off x="0" y="0"/>
                          <a:ext cx="9057735" cy="57285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713.21pt;height:451.07pt;mso-wrap-distance-left:0.00pt;mso-wrap-distance-top:0.00pt;mso-wrap-distance-right:0.00pt;mso-wrap-distance-bottom:0.00pt;rotation:89;z-index:1;" stroked="false">
                <v:imagedata r:id="rId31" o:title=""/>
                <o:lock v:ext="edit" rotation="t"/>
              </v:shape>
            </w:pict>
          </mc:Fallback>
        </mc:AlternateContent>
      </w:r>
      <w:r>
        <w:rPr>
          <w:b/>
          <w:bCs w:val="0"/>
          <w:i w:val="0"/>
          <w:highlight w:val="none"/>
          <w:lang w:val="pt-BR" w:bidi="pt-BR"/>
        </w:rPr>
      </w:r>
      <w:r>
        <w:rPr>
          <w:b/>
          <w:bCs w:val="0"/>
          <w:i w:val="0"/>
          <w:highlight w:val="none"/>
          <w:lang w:val="pt-BR" w:bidi="pt-BR"/>
        </w:rPr>
      </w:r>
    </w:p>
    <w:p>
      <w:pPr>
        <w:pBdr/>
        <w:spacing w:after="120"/>
        <w:ind/>
        <w:jc w:val="center"/>
        <w:rPr>
          <w:b/>
          <w:bCs w:val="0"/>
          <w:i w:val="0"/>
          <w:highlight w:val="none"/>
          <w:lang w:val="pt-BR" w:bidi="pt-BR"/>
        </w:rPr>
      </w:pPr>
      <w:r>
        <w:rPr>
          <w:b/>
          <w:bCs/>
          <w:i w:val="0"/>
          <w:iCs w:val="0"/>
          <w:highlight w:val="none"/>
          <w:lang w:val="pt-BR" w:bidi="pt-BR"/>
        </w:rPr>
        <w:t xml:space="preserve">BIÊN BẢN KHẢO SÁT </w:t>
      </w:r>
      <w:r>
        <w:rPr>
          <w:b/>
          <w:bCs w:val="0"/>
          <w:i w:val="0"/>
          <w:highlight w:val="none"/>
          <w:lang w:val="pt-BR" w:bidi="pt-BR"/>
        </w:rPr>
      </w:r>
      <w:r>
        <w:rPr>
          <w:b/>
          <w:bCs w:val="0"/>
          <w:i w:val="0"/>
          <w:highlight w:val="none"/>
          <w:lang w:val="pt-BR" w:bidi="pt-BR"/>
        </w:rPr>
      </w:r>
    </w:p>
    <w:p>
      <w:pPr>
        <w:pBdr/>
        <w:spacing w:after="120"/>
        <w:ind/>
        <w:jc w:val="center"/>
        <w:rPr>
          <w:b/>
          <w:bCs w:val="0"/>
          <w:i w:val="0"/>
        </w:rPr>
      </w:pPr>
      <w:r>
        <w:rPr>
          <w:b/>
          <w:bCs/>
          <w:i w:val="0"/>
          <w:iCs w:val="0"/>
          <w:highlight w:val="none"/>
          <w:lang w:val="pt-BR" w:bidi="pt-BR"/>
        </w:rPr>
      </w:r>
      <w:r>
        <mc:AlternateContent>
          <mc:Choice Requires="wpg">
            <w:drawing>
              <wp:inline xmlns:wp="http://schemas.openxmlformats.org/drawingml/2006/wordprocessingDrawing" distT="0" distB="0" distL="0" distR="0">
                <wp:extent cx="5879661" cy="8668903"/>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98930" name=""/>
                        <pic:cNvPicPr>
                          <a:picLocks noChangeAspect="1"/>
                        </pic:cNvPicPr>
                        <pic:nvPr/>
                      </pic:nvPicPr>
                      <pic:blipFill rotWithShape="1">
                        <a:blip r:embed="rId32"/>
                        <a:srcRect l="3756" t="5487" r="7489" b="5022"/>
                        <a:stretch/>
                      </pic:blipFill>
                      <pic:spPr bwMode="auto">
                        <a:xfrm flipH="0" flipV="0">
                          <a:off x="0" y="0"/>
                          <a:ext cx="5879659" cy="866890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62.97pt;height:682.59pt;mso-wrap-distance-left:0.00pt;mso-wrap-distance-top:0.00pt;mso-wrap-distance-right:0.00pt;mso-wrap-distance-bottom:0.00pt;z-index:1;" stroked="false">
                <v:imagedata r:id="rId32" o:title="" croptop="3596f" cropleft="2462f" cropbottom="3291f" cropright="4908f"/>
                <o:lock v:ext="edit" rotation="t"/>
              </v:shape>
            </w:pict>
          </mc:Fallback>
        </mc:AlternateContent>
      </w:r>
      <w:r>
        <w:rPr>
          <w:b/>
          <w:bCs w:val="0"/>
          <w:i w:val="0"/>
        </w:rPr>
      </w:r>
      <w:r>
        <w:rPr>
          <w:b/>
          <w:bCs w:val="0"/>
          <w:i w:val="0"/>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68BE0AEC"/>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6B88F827"/>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39">
    <w:nsid w:val="38396A26"/>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0">
    <w:nsid w:val="77655B4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1">
    <w:nsid w:val="6819FDD2"/>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2">
    <w:nsid w:val="09AEAAE8"/>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9">
    <w:name w:val="Table Grid Light"/>
    <w:basedOn w:val="102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1"/>
    <w:basedOn w:val="102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2"/>
    <w:basedOn w:val="102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3"/>
    <w:basedOn w:val="102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Plain Table 4"/>
    <w:basedOn w:val="102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Plain Table 5"/>
    <w:basedOn w:val="102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w:basedOn w:val="102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1"/>
    <w:basedOn w:val="102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2"/>
    <w:basedOn w:val="102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3"/>
    <w:basedOn w:val="102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4"/>
    <w:basedOn w:val="102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1 Light - Accent 5"/>
    <w:basedOn w:val="102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1 Light - Accent 6"/>
    <w:basedOn w:val="102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w:basedOn w:val="102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1"/>
    <w:basedOn w:val="102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2"/>
    <w:basedOn w:val="102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3"/>
    <w:basedOn w:val="102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4"/>
    <w:basedOn w:val="102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2 - Accent 5"/>
    <w:basedOn w:val="102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2 - Accent 6"/>
    <w:basedOn w:val="102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w:basedOn w:val="102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1"/>
    <w:basedOn w:val="102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2"/>
    <w:basedOn w:val="102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3"/>
    <w:basedOn w:val="102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4"/>
    <w:basedOn w:val="102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3 - Accent 5"/>
    <w:basedOn w:val="102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3 - Accent 6"/>
    <w:basedOn w:val="102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w:basedOn w:val="102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1"/>
    <w:basedOn w:val="102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2"/>
    <w:basedOn w:val="102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3"/>
    <w:basedOn w:val="102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4"/>
    <w:basedOn w:val="102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4 - Accent 5"/>
    <w:basedOn w:val="102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4 - Accent 6"/>
    <w:basedOn w:val="102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Accent 1"/>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 Accent 2"/>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3"/>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Accent 4"/>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5 Dark - Accent 5"/>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5 Dark - Accent 6"/>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6 Colorful"/>
    <w:basedOn w:val="102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1">
    <w:name w:val="Grid Table 6 Colorful - Accent 1"/>
    <w:basedOn w:val="102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2">
    <w:name w:val="Grid Table 6 Colorful - Accent 2"/>
    <w:basedOn w:val="102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3">
    <w:name w:val="Grid Table 6 Colorful - Accent 3"/>
    <w:basedOn w:val="102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4">
    <w:name w:val="Grid Table 6 Colorful - Accent 4"/>
    <w:basedOn w:val="102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5">
    <w:name w:val="Grid Table 6 Colorful - Accent 5"/>
    <w:basedOn w:val="102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6">
    <w:name w:val="Grid Table 6 Colorful - Accent 6"/>
    <w:basedOn w:val="102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7">
    <w:name w:val="Grid Table 7 Colorful"/>
    <w:basedOn w:val="102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1"/>
    <w:basedOn w:val="102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2"/>
    <w:basedOn w:val="102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3"/>
    <w:basedOn w:val="102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4"/>
    <w:basedOn w:val="102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7 Colorful - Accent 5"/>
    <w:basedOn w:val="102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7 Colorful - Accent 6"/>
    <w:basedOn w:val="102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1"/>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2"/>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3"/>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4"/>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1 Light - Accent 5"/>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1 Light - Accent 6"/>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w:basedOn w:val="102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1"/>
    <w:basedOn w:val="102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2"/>
    <w:basedOn w:val="102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3"/>
    <w:basedOn w:val="102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4"/>
    <w:basedOn w:val="102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2 - Accent 5"/>
    <w:basedOn w:val="102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2 - Accent 6"/>
    <w:basedOn w:val="102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w:basedOn w:val="102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1"/>
    <w:basedOn w:val="102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2"/>
    <w:basedOn w:val="102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3"/>
    <w:basedOn w:val="102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4"/>
    <w:basedOn w:val="102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3 - Accent 5"/>
    <w:basedOn w:val="102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3 - Accent 6"/>
    <w:basedOn w:val="102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w:basedOn w:val="102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1"/>
    <w:basedOn w:val="102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2"/>
    <w:basedOn w:val="102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3"/>
    <w:basedOn w:val="102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4"/>
    <w:basedOn w:val="102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4 - Accent 5"/>
    <w:basedOn w:val="102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4 - Accent 6"/>
    <w:basedOn w:val="102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5 Dark"/>
    <w:basedOn w:val="102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1"/>
    <w:basedOn w:val="102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2"/>
    <w:basedOn w:val="102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3"/>
    <w:basedOn w:val="102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4"/>
    <w:basedOn w:val="102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5 Dark - Accent 5"/>
    <w:basedOn w:val="102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8">
    <w:name w:val="List Table 5 Dark - Accent 6"/>
    <w:basedOn w:val="102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9">
    <w:name w:val="List Table 6 Colorful"/>
    <w:basedOn w:val="102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1"/>
    <w:basedOn w:val="102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2"/>
    <w:basedOn w:val="102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3"/>
    <w:basedOn w:val="102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4"/>
    <w:basedOn w:val="102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6 Colorful - Accent 5"/>
    <w:basedOn w:val="102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6 Colorful - Accent 6"/>
    <w:basedOn w:val="102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7 Colorful"/>
    <w:basedOn w:val="102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7">
    <w:name w:val="List Table 7 Colorful - Accent 1"/>
    <w:basedOn w:val="102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8">
    <w:name w:val="List Table 7 Colorful - Accent 2"/>
    <w:basedOn w:val="102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9">
    <w:name w:val="List Table 7 Colorful - Accent 3"/>
    <w:basedOn w:val="102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0">
    <w:name w:val="List Table 7 Colorful - Accent 4"/>
    <w:basedOn w:val="102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1">
    <w:name w:val="List Table 7 Colorful - Accent 5"/>
    <w:basedOn w:val="102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2">
    <w:name w:val="List Table 7 Colorful - Accent 6"/>
    <w:basedOn w:val="102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3">
    <w:name w:val="Lined - Accent"/>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1"/>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2"/>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3"/>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4"/>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ned - Accent 5"/>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ned - Accent 6"/>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w:basedOn w:val="102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1"/>
    <w:basedOn w:val="102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2"/>
    <w:basedOn w:val="102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3"/>
    <w:basedOn w:val="102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4"/>
    <w:basedOn w:val="102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amp; Lined - Accent 5"/>
    <w:basedOn w:val="102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amp; Lined - Accent 6"/>
    <w:basedOn w:val="102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w:basedOn w:val="102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1"/>
    <w:basedOn w:val="102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2"/>
    <w:basedOn w:val="102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3"/>
    <w:basedOn w:val="102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4"/>
    <w:basedOn w:val="102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 Accent 5"/>
    <w:basedOn w:val="102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 Accent 6"/>
    <w:basedOn w:val="102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4">
    <w:name w:val="Heading 5"/>
    <w:basedOn w:val="1015"/>
    <w:next w:val="1015"/>
    <w:link w:val="97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5">
    <w:name w:val="Heading 6"/>
    <w:basedOn w:val="1015"/>
    <w:next w:val="1015"/>
    <w:link w:val="98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6">
    <w:name w:val="Heading 7"/>
    <w:basedOn w:val="1015"/>
    <w:next w:val="1015"/>
    <w:link w:val="98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7">
    <w:name w:val="Heading 8"/>
    <w:basedOn w:val="1015"/>
    <w:next w:val="1015"/>
    <w:link w:val="98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8">
    <w:name w:val="Heading 9"/>
    <w:basedOn w:val="1015"/>
    <w:next w:val="1015"/>
    <w:link w:val="98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9">
    <w:name w:val="Heading 5 Char"/>
    <w:basedOn w:val="1020"/>
    <w:link w:val="974"/>
    <w:uiPriority w:val="9"/>
    <w:pPr>
      <w:pBdr/>
      <w:spacing/>
      <w:ind/>
    </w:pPr>
    <w:rPr>
      <w:rFonts w:ascii="Arial" w:hAnsi="Arial" w:eastAsia="Arial" w:cs="Arial"/>
      <w:color w:val="0f4761" w:themeColor="accent1" w:themeShade="BF"/>
    </w:rPr>
  </w:style>
  <w:style w:type="character" w:styleId="980">
    <w:name w:val="Heading 6 Char"/>
    <w:basedOn w:val="1020"/>
    <w:link w:val="975"/>
    <w:uiPriority w:val="9"/>
    <w:pPr>
      <w:pBdr/>
      <w:spacing/>
      <w:ind/>
    </w:pPr>
    <w:rPr>
      <w:rFonts w:ascii="Arial" w:hAnsi="Arial" w:eastAsia="Arial" w:cs="Arial"/>
      <w:i/>
      <w:iCs/>
      <w:color w:val="595959" w:themeColor="text1" w:themeTint="A6"/>
    </w:rPr>
  </w:style>
  <w:style w:type="character" w:styleId="981">
    <w:name w:val="Heading 7 Char"/>
    <w:basedOn w:val="1020"/>
    <w:link w:val="976"/>
    <w:uiPriority w:val="9"/>
    <w:pPr>
      <w:pBdr/>
      <w:spacing/>
      <w:ind/>
    </w:pPr>
    <w:rPr>
      <w:rFonts w:ascii="Arial" w:hAnsi="Arial" w:eastAsia="Arial" w:cs="Arial"/>
      <w:color w:val="595959" w:themeColor="text1" w:themeTint="A6"/>
    </w:rPr>
  </w:style>
  <w:style w:type="character" w:styleId="982">
    <w:name w:val="Heading 8 Char"/>
    <w:basedOn w:val="1020"/>
    <w:link w:val="977"/>
    <w:uiPriority w:val="9"/>
    <w:pPr>
      <w:pBdr/>
      <w:spacing/>
      <w:ind/>
    </w:pPr>
    <w:rPr>
      <w:rFonts w:ascii="Arial" w:hAnsi="Arial" w:eastAsia="Arial" w:cs="Arial"/>
      <w:i/>
      <w:iCs/>
      <w:color w:val="272727" w:themeColor="text1" w:themeTint="D8"/>
    </w:rPr>
  </w:style>
  <w:style w:type="character" w:styleId="983">
    <w:name w:val="Heading 9 Char"/>
    <w:basedOn w:val="1020"/>
    <w:link w:val="978"/>
    <w:uiPriority w:val="9"/>
    <w:pPr>
      <w:pBdr/>
      <w:spacing/>
      <w:ind/>
    </w:pPr>
    <w:rPr>
      <w:rFonts w:ascii="Arial" w:hAnsi="Arial" w:eastAsia="Arial" w:cs="Arial"/>
      <w:i/>
      <w:iCs/>
      <w:color w:val="272727" w:themeColor="text1" w:themeTint="D8"/>
    </w:rPr>
  </w:style>
  <w:style w:type="paragraph" w:styleId="984">
    <w:name w:val="Subtitle"/>
    <w:basedOn w:val="1015"/>
    <w:next w:val="1015"/>
    <w:link w:val="985"/>
    <w:uiPriority w:val="11"/>
    <w:qFormat/>
    <w:pPr>
      <w:numPr>
        <w:ilvl w:val="1"/>
      </w:numPr>
      <w:pBdr/>
      <w:spacing/>
      <w:ind/>
    </w:pPr>
    <w:rPr>
      <w:color w:val="595959" w:themeColor="text1" w:themeTint="A6"/>
      <w:spacing w:val="15"/>
      <w:sz w:val="28"/>
      <w:szCs w:val="28"/>
    </w:rPr>
  </w:style>
  <w:style w:type="character" w:styleId="985">
    <w:name w:val="Subtitle Char"/>
    <w:basedOn w:val="1020"/>
    <w:link w:val="984"/>
    <w:uiPriority w:val="11"/>
    <w:pPr>
      <w:pBdr/>
      <w:spacing/>
      <w:ind/>
    </w:pPr>
    <w:rPr>
      <w:color w:val="595959" w:themeColor="text1" w:themeTint="A6"/>
      <w:spacing w:val="15"/>
      <w:sz w:val="28"/>
      <w:szCs w:val="28"/>
    </w:rPr>
  </w:style>
  <w:style w:type="paragraph" w:styleId="986">
    <w:name w:val="Quote"/>
    <w:basedOn w:val="1015"/>
    <w:next w:val="1015"/>
    <w:link w:val="987"/>
    <w:uiPriority w:val="29"/>
    <w:qFormat/>
    <w:pPr>
      <w:pBdr/>
      <w:spacing w:before="160"/>
      <w:ind/>
      <w:jc w:val="center"/>
    </w:pPr>
    <w:rPr>
      <w:i/>
      <w:iCs/>
      <w:color w:val="404040" w:themeColor="text1" w:themeTint="BF"/>
    </w:rPr>
  </w:style>
  <w:style w:type="character" w:styleId="987">
    <w:name w:val="Quote Char"/>
    <w:basedOn w:val="1020"/>
    <w:link w:val="986"/>
    <w:uiPriority w:val="29"/>
    <w:pPr>
      <w:pBdr/>
      <w:spacing/>
      <w:ind/>
    </w:pPr>
    <w:rPr>
      <w:i/>
      <w:iCs/>
      <w:color w:val="404040" w:themeColor="text1" w:themeTint="BF"/>
    </w:rPr>
  </w:style>
  <w:style w:type="character" w:styleId="988">
    <w:name w:val="Intense Emphasis"/>
    <w:basedOn w:val="1020"/>
    <w:uiPriority w:val="21"/>
    <w:qFormat/>
    <w:pPr>
      <w:pBdr/>
      <w:spacing/>
      <w:ind/>
    </w:pPr>
    <w:rPr>
      <w:i/>
      <w:iCs/>
      <w:color w:val="0f4761" w:themeColor="accent1" w:themeShade="BF"/>
    </w:rPr>
  </w:style>
  <w:style w:type="paragraph" w:styleId="989">
    <w:name w:val="Intense Quote"/>
    <w:basedOn w:val="1015"/>
    <w:next w:val="1015"/>
    <w:link w:val="99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0">
    <w:name w:val="Intense Quote Char"/>
    <w:basedOn w:val="1020"/>
    <w:link w:val="989"/>
    <w:uiPriority w:val="30"/>
    <w:pPr>
      <w:pBdr/>
      <w:spacing/>
      <w:ind/>
    </w:pPr>
    <w:rPr>
      <w:i/>
      <w:iCs/>
      <w:color w:val="0f4761" w:themeColor="accent1" w:themeShade="BF"/>
    </w:rPr>
  </w:style>
  <w:style w:type="character" w:styleId="991">
    <w:name w:val="Intense Reference"/>
    <w:basedOn w:val="1020"/>
    <w:uiPriority w:val="32"/>
    <w:qFormat/>
    <w:pPr>
      <w:pBdr/>
      <w:spacing/>
      <w:ind/>
    </w:pPr>
    <w:rPr>
      <w:b/>
      <w:bCs/>
      <w:smallCaps/>
      <w:color w:val="0f4761" w:themeColor="accent1" w:themeShade="BF"/>
      <w:spacing w:val="5"/>
    </w:rPr>
  </w:style>
  <w:style w:type="paragraph" w:styleId="992">
    <w:name w:val="No Spacing"/>
    <w:basedOn w:val="1015"/>
    <w:uiPriority w:val="1"/>
    <w:qFormat/>
    <w:pPr>
      <w:pBdr/>
      <w:spacing w:after="0" w:line="240" w:lineRule="auto"/>
      <w:ind/>
    </w:pPr>
  </w:style>
  <w:style w:type="character" w:styleId="993">
    <w:name w:val="Subtle Emphasis"/>
    <w:basedOn w:val="1020"/>
    <w:uiPriority w:val="19"/>
    <w:qFormat/>
    <w:pPr>
      <w:pBdr/>
      <w:spacing/>
      <w:ind/>
    </w:pPr>
    <w:rPr>
      <w:i/>
      <w:iCs/>
      <w:color w:val="404040" w:themeColor="text1" w:themeTint="BF"/>
    </w:rPr>
  </w:style>
  <w:style w:type="character" w:styleId="994">
    <w:name w:val="Subtle Reference"/>
    <w:basedOn w:val="1020"/>
    <w:uiPriority w:val="31"/>
    <w:qFormat/>
    <w:pPr>
      <w:pBdr/>
      <w:spacing/>
      <w:ind/>
    </w:pPr>
    <w:rPr>
      <w:smallCaps/>
      <w:color w:val="5a5a5a" w:themeColor="text1" w:themeTint="A5"/>
    </w:rPr>
  </w:style>
  <w:style w:type="character" w:styleId="995">
    <w:name w:val="Book Title"/>
    <w:basedOn w:val="1020"/>
    <w:uiPriority w:val="33"/>
    <w:qFormat/>
    <w:pPr>
      <w:pBdr/>
      <w:spacing/>
      <w:ind/>
    </w:pPr>
    <w:rPr>
      <w:b/>
      <w:bCs/>
      <w:i/>
      <w:iCs/>
      <w:spacing w:val="5"/>
    </w:rPr>
  </w:style>
  <w:style w:type="paragraph" w:styleId="996">
    <w:name w:val="Caption"/>
    <w:basedOn w:val="1015"/>
    <w:next w:val="1015"/>
    <w:uiPriority w:val="35"/>
    <w:unhideWhenUsed/>
    <w:qFormat/>
    <w:pPr>
      <w:pBdr/>
      <w:spacing w:after="200" w:line="240" w:lineRule="auto"/>
      <w:ind/>
    </w:pPr>
    <w:rPr>
      <w:i/>
      <w:iCs/>
      <w:color w:val="0e2841" w:themeColor="text2"/>
      <w:sz w:val="18"/>
      <w:szCs w:val="18"/>
    </w:rPr>
  </w:style>
  <w:style w:type="paragraph" w:styleId="997">
    <w:name w:val="footnote text"/>
    <w:basedOn w:val="1015"/>
    <w:link w:val="998"/>
    <w:uiPriority w:val="99"/>
    <w:semiHidden/>
    <w:unhideWhenUsed/>
    <w:pPr>
      <w:pBdr/>
      <w:spacing w:after="0" w:line="240" w:lineRule="auto"/>
      <w:ind/>
    </w:pPr>
    <w:rPr>
      <w:sz w:val="20"/>
      <w:szCs w:val="20"/>
    </w:rPr>
  </w:style>
  <w:style w:type="character" w:styleId="998">
    <w:name w:val="Footnote Text Char"/>
    <w:basedOn w:val="1020"/>
    <w:link w:val="997"/>
    <w:uiPriority w:val="99"/>
    <w:semiHidden/>
    <w:pPr>
      <w:pBdr/>
      <w:spacing/>
      <w:ind/>
    </w:pPr>
    <w:rPr>
      <w:sz w:val="20"/>
      <w:szCs w:val="20"/>
    </w:rPr>
  </w:style>
  <w:style w:type="character" w:styleId="999">
    <w:name w:val="footnote reference"/>
    <w:basedOn w:val="1020"/>
    <w:uiPriority w:val="99"/>
    <w:semiHidden/>
    <w:unhideWhenUsed/>
    <w:pPr>
      <w:pBdr/>
      <w:spacing/>
      <w:ind/>
    </w:pPr>
    <w:rPr>
      <w:vertAlign w:val="superscript"/>
    </w:rPr>
  </w:style>
  <w:style w:type="paragraph" w:styleId="1000">
    <w:name w:val="endnote text"/>
    <w:basedOn w:val="1015"/>
    <w:link w:val="1001"/>
    <w:uiPriority w:val="99"/>
    <w:semiHidden/>
    <w:unhideWhenUsed/>
    <w:pPr>
      <w:pBdr/>
      <w:spacing w:after="0" w:line="240" w:lineRule="auto"/>
      <w:ind/>
    </w:pPr>
    <w:rPr>
      <w:sz w:val="20"/>
      <w:szCs w:val="20"/>
    </w:rPr>
  </w:style>
  <w:style w:type="character" w:styleId="1001">
    <w:name w:val="Endnote Text Char"/>
    <w:basedOn w:val="1020"/>
    <w:link w:val="1000"/>
    <w:uiPriority w:val="99"/>
    <w:semiHidden/>
    <w:pPr>
      <w:pBdr/>
      <w:spacing/>
      <w:ind/>
    </w:pPr>
    <w:rPr>
      <w:sz w:val="20"/>
      <w:szCs w:val="20"/>
    </w:rPr>
  </w:style>
  <w:style w:type="character" w:styleId="1002">
    <w:name w:val="endnote reference"/>
    <w:basedOn w:val="1020"/>
    <w:uiPriority w:val="99"/>
    <w:semiHidden/>
    <w:unhideWhenUsed/>
    <w:pPr>
      <w:pBdr/>
      <w:spacing/>
      <w:ind/>
    </w:pPr>
    <w:rPr>
      <w:vertAlign w:val="superscript"/>
    </w:rPr>
  </w:style>
  <w:style w:type="paragraph" w:styleId="1003">
    <w:name w:val="toc 1"/>
    <w:basedOn w:val="1015"/>
    <w:next w:val="1015"/>
    <w:uiPriority w:val="39"/>
    <w:unhideWhenUsed/>
    <w:pPr>
      <w:pBdr/>
      <w:spacing w:after="100"/>
      <w:ind/>
    </w:pPr>
  </w:style>
  <w:style w:type="paragraph" w:styleId="1004">
    <w:name w:val="toc 2"/>
    <w:basedOn w:val="1015"/>
    <w:next w:val="1015"/>
    <w:uiPriority w:val="39"/>
    <w:unhideWhenUsed/>
    <w:pPr>
      <w:pBdr/>
      <w:spacing w:after="100"/>
      <w:ind w:left="220"/>
    </w:pPr>
  </w:style>
  <w:style w:type="paragraph" w:styleId="1005">
    <w:name w:val="toc 3"/>
    <w:basedOn w:val="1015"/>
    <w:next w:val="1015"/>
    <w:uiPriority w:val="39"/>
    <w:unhideWhenUsed/>
    <w:pPr>
      <w:pBdr/>
      <w:spacing w:after="100"/>
      <w:ind w:left="440"/>
    </w:pPr>
  </w:style>
  <w:style w:type="paragraph" w:styleId="1006">
    <w:name w:val="toc 4"/>
    <w:basedOn w:val="1015"/>
    <w:next w:val="1015"/>
    <w:uiPriority w:val="39"/>
    <w:unhideWhenUsed/>
    <w:pPr>
      <w:pBdr/>
      <w:spacing w:after="100"/>
      <w:ind w:left="660"/>
    </w:pPr>
  </w:style>
  <w:style w:type="paragraph" w:styleId="1007">
    <w:name w:val="toc 5"/>
    <w:basedOn w:val="1015"/>
    <w:next w:val="1015"/>
    <w:uiPriority w:val="39"/>
    <w:unhideWhenUsed/>
    <w:pPr>
      <w:pBdr/>
      <w:spacing w:after="100"/>
      <w:ind w:left="880"/>
    </w:pPr>
  </w:style>
  <w:style w:type="paragraph" w:styleId="1008">
    <w:name w:val="toc 6"/>
    <w:basedOn w:val="1015"/>
    <w:next w:val="1015"/>
    <w:uiPriority w:val="39"/>
    <w:unhideWhenUsed/>
    <w:pPr>
      <w:pBdr/>
      <w:spacing w:after="100"/>
      <w:ind w:left="1100"/>
    </w:pPr>
  </w:style>
  <w:style w:type="paragraph" w:styleId="1009">
    <w:name w:val="toc 7"/>
    <w:basedOn w:val="1015"/>
    <w:next w:val="1015"/>
    <w:uiPriority w:val="39"/>
    <w:unhideWhenUsed/>
    <w:pPr>
      <w:pBdr/>
      <w:spacing w:after="100"/>
      <w:ind w:left="1320"/>
    </w:pPr>
  </w:style>
  <w:style w:type="paragraph" w:styleId="1010">
    <w:name w:val="toc 8"/>
    <w:basedOn w:val="1015"/>
    <w:next w:val="1015"/>
    <w:uiPriority w:val="39"/>
    <w:unhideWhenUsed/>
    <w:pPr>
      <w:pBdr/>
      <w:spacing w:after="100"/>
      <w:ind w:left="1540"/>
    </w:pPr>
  </w:style>
  <w:style w:type="paragraph" w:styleId="1011">
    <w:name w:val="toc 9"/>
    <w:basedOn w:val="1015"/>
    <w:next w:val="1015"/>
    <w:uiPriority w:val="39"/>
    <w:unhideWhenUsed/>
    <w:pPr>
      <w:pBdr/>
      <w:spacing w:after="100"/>
      <w:ind w:left="1760"/>
    </w:pPr>
  </w:style>
  <w:style w:type="character" w:styleId="1012">
    <w:name w:val="Placeholder Text"/>
    <w:basedOn w:val="1020"/>
    <w:uiPriority w:val="99"/>
    <w:semiHidden/>
    <w:pPr>
      <w:pBdr/>
      <w:spacing/>
      <w:ind/>
    </w:pPr>
    <w:rPr>
      <w:color w:val="666666"/>
    </w:rPr>
  </w:style>
  <w:style w:type="paragraph" w:styleId="1013">
    <w:name w:val="TOC Heading"/>
    <w:uiPriority w:val="39"/>
    <w:unhideWhenUsed/>
    <w:pPr>
      <w:pBdr/>
      <w:spacing/>
      <w:ind/>
    </w:pPr>
  </w:style>
  <w:style w:type="paragraph" w:styleId="1014">
    <w:name w:val="table of figures"/>
    <w:basedOn w:val="1015"/>
    <w:next w:val="1015"/>
    <w:uiPriority w:val="99"/>
    <w:unhideWhenUsed/>
    <w:pPr>
      <w:pBdr/>
      <w:spacing w:after="0" w:afterAutospacing="0"/>
      <w:ind/>
    </w:pPr>
  </w:style>
  <w:style w:type="paragraph" w:styleId="1015" w:default="1">
    <w:name w:val="Normal"/>
    <w:qFormat/>
    <w:pPr>
      <w:pBdr/>
      <w:spacing w:after="0" w:line="240" w:lineRule="auto"/>
      <w:ind/>
    </w:pPr>
    <w:rPr>
      <w:rFonts w:ascii="Times New Roman" w:hAnsi="Times New Roman" w:eastAsia="Times New Roman" w:cs="Times New Roman"/>
      <w:sz w:val="24"/>
      <w:szCs w:val="24"/>
    </w:rPr>
  </w:style>
  <w:style w:type="paragraph" w:styleId="1016">
    <w:name w:val="Heading 1"/>
    <w:basedOn w:val="1015"/>
    <w:next w:val="1015"/>
    <w:link w:val="1023"/>
    <w:qFormat/>
    <w:pPr>
      <w:keepNext w:val="true"/>
      <w:pBdr/>
      <w:spacing w:after="120" w:before="120"/>
      <w:ind/>
      <w:jc w:val="center"/>
      <w:outlineLvl w:val="0"/>
    </w:pPr>
    <w:rPr>
      <w:b/>
      <w:bCs/>
      <w:sz w:val="27"/>
      <w:szCs w:val="27"/>
    </w:rPr>
  </w:style>
  <w:style w:type="paragraph" w:styleId="1017">
    <w:name w:val="Heading 2"/>
    <w:basedOn w:val="1015"/>
    <w:next w:val="1015"/>
    <w:link w:val="102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8">
    <w:name w:val="Heading 3"/>
    <w:basedOn w:val="1015"/>
    <w:next w:val="1015"/>
    <w:link w:val="1025"/>
    <w:qFormat/>
    <w:pPr>
      <w:keepNext w:val="true"/>
      <w:pBdr/>
      <w:spacing w:before="60"/>
      <w:ind/>
      <w:outlineLvl w:val="2"/>
    </w:pPr>
    <w:rPr>
      <w:sz w:val="28"/>
      <w:szCs w:val="28"/>
    </w:rPr>
  </w:style>
  <w:style w:type="paragraph" w:styleId="1019">
    <w:name w:val="Heading 4"/>
    <w:basedOn w:val="1015"/>
    <w:next w:val="1015"/>
    <w:link w:val="1026"/>
    <w:qFormat/>
    <w:pPr>
      <w:keepNext w:val="true"/>
      <w:pBdr/>
      <w:spacing/>
      <w:ind/>
      <w:jc w:val="center"/>
      <w:outlineLvl w:val="3"/>
    </w:pPr>
    <w:rPr>
      <w:b/>
      <w:bCs/>
    </w:rPr>
  </w:style>
  <w:style w:type="character" w:styleId="1020" w:default="1">
    <w:name w:val="Default Paragraph Font"/>
    <w:uiPriority w:val="1"/>
    <w:semiHidden/>
    <w:unhideWhenUsed/>
    <w:pPr>
      <w:pBdr/>
      <w:spacing/>
      <w:ind/>
    </w:pPr>
  </w:style>
  <w:style w:type="table" w:styleId="102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2" w:default="1">
    <w:name w:val="No List"/>
    <w:uiPriority w:val="99"/>
    <w:semiHidden/>
    <w:unhideWhenUsed/>
    <w:pPr>
      <w:pBdr/>
      <w:spacing/>
      <w:ind/>
    </w:pPr>
  </w:style>
  <w:style w:type="character" w:styleId="1023" w:customStyle="1">
    <w:name w:val="Heading 1 Char"/>
    <w:basedOn w:val="1020"/>
    <w:link w:val="1016"/>
    <w:pPr>
      <w:pBdr/>
      <w:spacing/>
      <w:ind/>
    </w:pPr>
    <w:rPr>
      <w:rFonts w:ascii="Times New Roman" w:hAnsi="Times New Roman" w:eastAsia="Times New Roman" w:cs="Times New Roman"/>
      <w:b/>
      <w:bCs/>
      <w:sz w:val="27"/>
      <w:szCs w:val="27"/>
    </w:rPr>
  </w:style>
  <w:style w:type="character" w:styleId="1024" w:customStyle="1">
    <w:name w:val="Heading 2 Char"/>
    <w:basedOn w:val="1020"/>
    <w:link w:val="1017"/>
    <w:uiPriority w:val="9"/>
    <w:pPr>
      <w:pBdr/>
      <w:spacing/>
      <w:ind/>
    </w:pPr>
    <w:rPr>
      <w:rFonts w:asciiTheme="majorHAnsi" w:hAnsiTheme="majorHAnsi" w:eastAsiaTheme="majorEastAsia" w:cstheme="majorBidi"/>
      <w:color w:val="365f91" w:themeColor="accent1" w:themeShade="BF"/>
      <w:sz w:val="26"/>
      <w:szCs w:val="26"/>
    </w:rPr>
  </w:style>
  <w:style w:type="character" w:styleId="1025" w:customStyle="1">
    <w:name w:val="Heading 3 Char"/>
    <w:basedOn w:val="1020"/>
    <w:link w:val="1018"/>
    <w:pPr>
      <w:pBdr/>
      <w:spacing/>
      <w:ind/>
    </w:pPr>
    <w:rPr>
      <w:rFonts w:ascii="Times New Roman" w:hAnsi="Times New Roman" w:eastAsia="Times New Roman" w:cs="Times New Roman"/>
      <w:sz w:val="28"/>
      <w:szCs w:val="28"/>
    </w:rPr>
  </w:style>
  <w:style w:type="character" w:styleId="1026" w:customStyle="1">
    <w:name w:val="Heading 4 Char"/>
    <w:basedOn w:val="1020"/>
    <w:link w:val="1019"/>
    <w:pPr>
      <w:pBdr/>
      <w:spacing/>
      <w:ind/>
    </w:pPr>
    <w:rPr>
      <w:rFonts w:ascii="Times New Roman" w:hAnsi="Times New Roman" w:eastAsia="Times New Roman" w:cs="Times New Roman"/>
      <w:b/>
      <w:bCs/>
      <w:sz w:val="24"/>
      <w:szCs w:val="24"/>
    </w:rPr>
  </w:style>
  <w:style w:type="character" w:styleId="1027">
    <w:name w:val="Hyperlink"/>
    <w:uiPriority w:val="99"/>
    <w:pPr>
      <w:pBdr/>
      <w:spacing/>
      <w:ind/>
    </w:pPr>
    <w:rPr>
      <w:color w:val="000000"/>
      <w:u w:val="single"/>
    </w:rPr>
  </w:style>
  <w:style w:type="character" w:styleId="1028">
    <w:name w:val="Strong"/>
    <w:uiPriority w:val="22"/>
    <w:qFormat/>
    <w:pPr>
      <w:pBdr/>
      <w:spacing/>
      <w:ind/>
    </w:pPr>
    <w:rPr>
      <w:b/>
      <w:bCs/>
    </w:rPr>
  </w:style>
  <w:style w:type="paragraph" w:styleId="1029">
    <w:name w:val="Balloon Text"/>
    <w:basedOn w:val="1015"/>
    <w:link w:val="1030"/>
    <w:uiPriority w:val="99"/>
    <w:semiHidden/>
    <w:unhideWhenUsed/>
    <w:pPr>
      <w:pBdr/>
      <w:spacing/>
      <w:ind/>
    </w:pPr>
    <w:rPr>
      <w:rFonts w:ascii="Tahoma" w:hAnsi="Tahoma" w:cs="Tahoma"/>
      <w:sz w:val="16"/>
      <w:szCs w:val="16"/>
    </w:rPr>
  </w:style>
  <w:style w:type="character" w:styleId="1030" w:customStyle="1">
    <w:name w:val="Balloon Text Char"/>
    <w:basedOn w:val="1020"/>
    <w:link w:val="1029"/>
    <w:uiPriority w:val="99"/>
    <w:semiHidden/>
    <w:pPr>
      <w:pBdr/>
      <w:spacing/>
      <w:ind/>
    </w:pPr>
    <w:rPr>
      <w:rFonts w:ascii="Tahoma" w:hAnsi="Tahoma" w:eastAsia="Times New Roman" w:cs="Tahoma"/>
      <w:sz w:val="16"/>
      <w:szCs w:val="16"/>
    </w:rPr>
  </w:style>
  <w:style w:type="paragraph" w:styleId="1031">
    <w:name w:val="Header"/>
    <w:basedOn w:val="1015"/>
    <w:link w:val="1032"/>
    <w:unhideWhenUsed/>
    <w:pPr>
      <w:pBdr/>
      <w:tabs>
        <w:tab w:val="center" w:leader="none" w:pos="4680"/>
        <w:tab w:val="right" w:leader="none" w:pos="9360"/>
      </w:tabs>
      <w:spacing/>
      <w:ind/>
    </w:pPr>
  </w:style>
  <w:style w:type="character" w:styleId="1032" w:customStyle="1">
    <w:name w:val="Header Char"/>
    <w:basedOn w:val="1020"/>
    <w:link w:val="1031"/>
    <w:pPr>
      <w:pBdr/>
      <w:spacing/>
      <w:ind/>
    </w:pPr>
    <w:rPr>
      <w:rFonts w:ascii="Times New Roman" w:hAnsi="Times New Roman" w:eastAsia="Times New Roman" w:cs="Times New Roman"/>
      <w:sz w:val="24"/>
      <w:szCs w:val="24"/>
    </w:rPr>
  </w:style>
  <w:style w:type="paragraph" w:styleId="1033">
    <w:name w:val="Footer"/>
    <w:basedOn w:val="1015"/>
    <w:link w:val="1034"/>
    <w:uiPriority w:val="99"/>
    <w:unhideWhenUsed/>
    <w:pPr>
      <w:pBdr/>
      <w:tabs>
        <w:tab w:val="center" w:leader="none" w:pos="4680"/>
        <w:tab w:val="right" w:leader="none" w:pos="9360"/>
      </w:tabs>
      <w:spacing/>
      <w:ind/>
    </w:pPr>
  </w:style>
  <w:style w:type="character" w:styleId="1034" w:customStyle="1">
    <w:name w:val="Footer Char"/>
    <w:basedOn w:val="1020"/>
    <w:link w:val="1033"/>
    <w:uiPriority w:val="99"/>
    <w:pPr>
      <w:pBdr/>
      <w:spacing/>
      <w:ind/>
    </w:pPr>
    <w:rPr>
      <w:rFonts w:ascii="Times New Roman" w:hAnsi="Times New Roman" w:eastAsia="Times New Roman" w:cs="Times New Roman"/>
      <w:sz w:val="24"/>
      <w:szCs w:val="24"/>
    </w:rPr>
  </w:style>
  <w:style w:type="character" w:styleId="1035" w:customStyle="1">
    <w:name w:val="normal-h1"/>
    <w:pPr>
      <w:pBdr/>
      <w:spacing/>
      <w:ind/>
    </w:pPr>
    <w:rPr>
      <w:rFonts w:hint="default" w:ascii=".VnTime" w:hAnsi=".VnTime"/>
      <w:color w:val="0000ff"/>
      <w:sz w:val="24"/>
      <w:szCs w:val="24"/>
    </w:rPr>
  </w:style>
  <w:style w:type="paragraph" w:styleId="1036" w:customStyle="1">
    <w:name w:val="normal-p"/>
    <w:basedOn w:val="1015"/>
    <w:pPr>
      <w:pBdr/>
      <w:spacing/>
      <w:ind/>
      <w:jc w:val="both"/>
    </w:pPr>
    <w:rPr>
      <w:sz w:val="20"/>
      <w:szCs w:val="20"/>
    </w:rPr>
  </w:style>
  <w:style w:type="paragraph" w:styleId="1037">
    <w:name w:val="List Paragraph"/>
    <w:basedOn w:val="1015"/>
    <w:link w:val="1124"/>
    <w:uiPriority w:val="34"/>
    <w:qFormat/>
    <w:pPr>
      <w:pBdr/>
      <w:spacing/>
      <w:ind w:left="720"/>
    </w:pPr>
  </w:style>
  <w:style w:type="paragraph" w:styleId="1038">
    <w:name w:val="Normal (Web)"/>
    <w:basedOn w:val="1015"/>
    <w:uiPriority w:val="99"/>
    <w:pPr>
      <w:pBdr/>
      <w:spacing w:after="100" w:afterAutospacing="1" w:before="100" w:beforeAutospacing="1"/>
      <w:ind/>
    </w:pPr>
  </w:style>
  <w:style w:type="paragraph" w:styleId="1039">
    <w:name w:val="Body Text"/>
    <w:basedOn w:val="1015"/>
    <w:link w:val="1040"/>
    <w:pPr>
      <w:pBdr/>
      <w:spacing w:after="120"/>
      <w:ind/>
      <w:jc w:val="both"/>
    </w:pPr>
  </w:style>
  <w:style w:type="character" w:styleId="1040" w:customStyle="1">
    <w:name w:val="Body Text Char"/>
    <w:basedOn w:val="1020"/>
    <w:link w:val="1039"/>
    <w:pPr>
      <w:pBdr/>
      <w:spacing/>
      <w:ind/>
    </w:pPr>
    <w:rPr>
      <w:rFonts w:ascii="Times New Roman" w:hAnsi="Times New Roman" w:eastAsia="Times New Roman" w:cs="Times New Roman"/>
      <w:sz w:val="24"/>
      <w:szCs w:val="24"/>
    </w:rPr>
  </w:style>
  <w:style w:type="table" w:styleId="1041">
    <w:name w:val="Table Grid"/>
    <w:basedOn w:val="102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3">
    <w:name w:val="annotation reference"/>
    <w:basedOn w:val="1020"/>
    <w:uiPriority w:val="99"/>
    <w:semiHidden/>
    <w:unhideWhenUsed/>
    <w:pPr>
      <w:pBdr/>
      <w:spacing/>
      <w:ind/>
    </w:pPr>
    <w:rPr>
      <w:sz w:val="16"/>
      <w:szCs w:val="16"/>
    </w:rPr>
  </w:style>
  <w:style w:type="paragraph" w:styleId="1044">
    <w:name w:val="annotation text"/>
    <w:basedOn w:val="1015"/>
    <w:link w:val="1045"/>
    <w:uiPriority w:val="99"/>
    <w:unhideWhenUsed/>
    <w:pPr>
      <w:pBdr/>
      <w:spacing/>
      <w:ind/>
    </w:pPr>
    <w:rPr>
      <w:sz w:val="20"/>
      <w:szCs w:val="20"/>
    </w:rPr>
  </w:style>
  <w:style w:type="character" w:styleId="1045" w:customStyle="1">
    <w:name w:val="Comment Text Char"/>
    <w:basedOn w:val="1020"/>
    <w:link w:val="1044"/>
    <w:uiPriority w:val="99"/>
    <w:pPr>
      <w:pBdr/>
      <w:spacing/>
      <w:ind/>
    </w:pPr>
    <w:rPr>
      <w:rFonts w:ascii="Times New Roman" w:hAnsi="Times New Roman" w:eastAsia="Times New Roman" w:cs="Times New Roman"/>
      <w:sz w:val="20"/>
      <w:szCs w:val="20"/>
    </w:rPr>
  </w:style>
  <w:style w:type="paragraph" w:styleId="1046">
    <w:name w:val="annotation subject"/>
    <w:basedOn w:val="1044"/>
    <w:next w:val="1044"/>
    <w:link w:val="1047"/>
    <w:uiPriority w:val="99"/>
    <w:semiHidden/>
    <w:unhideWhenUsed/>
    <w:pPr>
      <w:pBdr/>
      <w:spacing/>
      <w:ind/>
    </w:pPr>
    <w:rPr>
      <w:b/>
      <w:bCs/>
    </w:rPr>
  </w:style>
  <w:style w:type="character" w:styleId="1047" w:customStyle="1">
    <w:name w:val="Comment Subject Char"/>
    <w:basedOn w:val="1045"/>
    <w:link w:val="1046"/>
    <w:uiPriority w:val="99"/>
    <w:semiHidden/>
    <w:pPr>
      <w:pBdr/>
      <w:spacing/>
      <w:ind/>
    </w:pPr>
    <w:rPr>
      <w:rFonts w:ascii="Times New Roman" w:hAnsi="Times New Roman" w:eastAsia="Times New Roman" w:cs="Times New Roman"/>
      <w:b/>
      <w:bCs/>
      <w:sz w:val="20"/>
      <w:szCs w:val="20"/>
    </w:rPr>
  </w:style>
  <w:style w:type="paragraph" w:styleId="1048" w:customStyle="1">
    <w:name w:val="font5"/>
    <w:basedOn w:val="1015"/>
    <w:pPr>
      <w:pBdr/>
      <w:spacing w:after="100" w:afterAutospacing="1" w:before="100" w:beforeAutospacing="1"/>
      <w:ind/>
    </w:pPr>
    <w:rPr>
      <w:rFonts w:ascii="Tahoma" w:hAnsi="Tahoma" w:cs="Tahoma"/>
      <w:color w:val="000000"/>
      <w:sz w:val="18"/>
      <w:szCs w:val="18"/>
    </w:rPr>
  </w:style>
  <w:style w:type="paragraph" w:styleId="1049" w:customStyle="1">
    <w:name w:val="font6"/>
    <w:basedOn w:val="1015"/>
    <w:pPr>
      <w:pBdr/>
      <w:spacing w:after="100" w:afterAutospacing="1" w:before="100" w:beforeAutospacing="1"/>
      <w:ind/>
    </w:pPr>
    <w:rPr>
      <w:rFonts w:ascii="Tahoma" w:hAnsi="Tahoma" w:cs="Tahoma"/>
      <w:b/>
      <w:bCs/>
      <w:color w:val="000000"/>
      <w:sz w:val="18"/>
      <w:szCs w:val="18"/>
    </w:rPr>
  </w:style>
  <w:style w:type="paragraph" w:styleId="1050" w:customStyle="1">
    <w:name w:val="xl233"/>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1" w:customStyle="1">
    <w:name w:val="xl234"/>
    <w:basedOn w:val="1015"/>
    <w:pPr>
      <w:pBdr/>
      <w:spacing w:after="100" w:afterAutospacing="1" w:before="100" w:beforeAutospacing="1"/>
      <w:ind/>
      <w:jc w:val="center"/>
    </w:pPr>
  </w:style>
  <w:style w:type="paragraph" w:styleId="1052" w:customStyle="1">
    <w:name w:val="xl235"/>
    <w:basedOn w:val="1015"/>
    <w:pPr>
      <w:pBdr/>
      <w:spacing w:after="100" w:afterAutospacing="1" w:before="100" w:beforeAutospacing="1"/>
      <w:ind/>
      <w:jc w:val="center"/>
    </w:pPr>
    <w:rPr>
      <w:b/>
      <w:bCs/>
    </w:rPr>
  </w:style>
  <w:style w:type="paragraph" w:styleId="1053" w:customStyle="1">
    <w:name w:val="xl236"/>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4" w:customStyle="1">
    <w:name w:val="xl237"/>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5" w:customStyle="1">
    <w:name w:val="xl238"/>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6" w:customStyle="1">
    <w:name w:val="xl23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7" w:customStyle="1">
    <w:name w:val="xl240"/>
    <w:basedOn w:val="1015"/>
    <w:pPr>
      <w:pBdr/>
      <w:spacing w:after="100" w:afterAutospacing="1" w:before="100" w:beforeAutospacing="1"/>
      <w:ind/>
    </w:pPr>
  </w:style>
  <w:style w:type="paragraph" w:styleId="1058" w:customStyle="1">
    <w:name w:val="xl241"/>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9" w:customStyle="1">
    <w:name w:val="xl242"/>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43"/>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44"/>
    <w:basedOn w:val="1015"/>
    <w:pPr>
      <w:pBdr/>
      <w:spacing w:after="100" w:afterAutospacing="1" w:before="100" w:beforeAutospacing="1"/>
      <w:ind/>
    </w:pPr>
    <w:rPr>
      <w:b/>
      <w:bCs/>
    </w:rPr>
  </w:style>
  <w:style w:type="paragraph" w:styleId="1062" w:customStyle="1">
    <w:name w:val="xl245"/>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46"/>
    <w:basedOn w:val="101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47"/>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5" w:customStyle="1">
    <w:name w:val="xl248"/>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6" w:customStyle="1">
    <w:name w:val="xl24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7" w:customStyle="1">
    <w:name w:val="xl250"/>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8" w:customStyle="1">
    <w:name w:val="xl251"/>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9" w:customStyle="1">
    <w:name w:val="xl252"/>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3"/>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1" w:customStyle="1">
    <w:name w:val="xl254"/>
    <w:basedOn w:val="101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2" w:customStyle="1">
    <w:name w:val="xl255"/>
    <w:basedOn w:val="101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3" w:customStyle="1">
    <w:name w:val="xl256"/>
    <w:basedOn w:val="101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4" w:customStyle="1">
    <w:name w:val="xl257"/>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58"/>
    <w:basedOn w:val="101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6" w:customStyle="1">
    <w:name w:val="xl25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7" w:customStyle="1">
    <w:name w:val="xl260"/>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8" w:customStyle="1">
    <w:name w:val="xl261"/>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9" w:customStyle="1">
    <w:name w:val="xl262"/>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3"/>
    <w:basedOn w:val="1015"/>
    <w:pPr>
      <w:pBdr/>
      <w:shd w:val="clear" w:color="000000" w:fill="ffffff"/>
      <w:spacing w:after="100" w:afterAutospacing="1" w:before="100" w:beforeAutospacing="1"/>
      <w:ind/>
    </w:pPr>
  </w:style>
  <w:style w:type="paragraph" w:styleId="1081" w:customStyle="1">
    <w:name w:val="xl264"/>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65"/>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3" w:customStyle="1">
    <w:name w:val="xl266"/>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4" w:customStyle="1">
    <w:name w:val="xl267"/>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5" w:customStyle="1">
    <w:name w:val="xl268"/>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6" w:customStyle="1">
    <w:name w:val="xl269"/>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7" w:customStyle="1">
    <w:name w:val="xl270"/>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71"/>
    <w:basedOn w:val="101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9" w:customStyle="1">
    <w:name w:val="xl272"/>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73"/>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1" w:customStyle="1">
    <w:name w:val="xl274"/>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75"/>
    <w:basedOn w:val="1015"/>
    <w:pPr>
      <w:pBdr/>
      <w:spacing w:after="100" w:afterAutospacing="1" w:before="100" w:beforeAutospacing="1"/>
      <w:ind/>
    </w:pPr>
  </w:style>
  <w:style w:type="paragraph" w:styleId="1093" w:customStyle="1">
    <w:name w:val="xl276"/>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4" w:customStyle="1">
    <w:name w:val="xl277"/>
    <w:basedOn w:val="101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5" w:customStyle="1">
    <w:name w:val="xl278"/>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7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7" w:customStyle="1">
    <w:name w:val="xl280"/>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8" w:customStyle="1">
    <w:name w:val="xl281"/>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9" w:customStyle="1">
    <w:name w:val="xl282"/>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0" w:customStyle="1">
    <w:name w:val="xl283"/>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84"/>
    <w:basedOn w:val="1015"/>
    <w:pPr>
      <w:pBdr>
        <w:left w:val="single" w:color="000000" w:sz="4" w:space="0"/>
        <w:bottom w:val="single" w:color="000000" w:sz="4" w:space="0"/>
        <w:right w:val="single" w:color="000000" w:sz="4" w:space="0"/>
      </w:pBdr>
      <w:spacing w:after="100" w:afterAutospacing="1" w:before="100" w:beforeAutospacing="1"/>
      <w:ind/>
    </w:pPr>
  </w:style>
  <w:style w:type="paragraph" w:styleId="1102" w:customStyle="1">
    <w:name w:val="xl285"/>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3" w:customStyle="1">
    <w:name w:val="xl286"/>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customStyle="1">
    <w:name w:val="xl287"/>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88"/>
    <w:basedOn w:val="1015"/>
    <w:pPr>
      <w:pBdr>
        <w:top w:val="single" w:color="000000" w:sz="4" w:space="0"/>
        <w:left w:val="single" w:color="000000" w:sz="4" w:space="0"/>
        <w:right w:val="single" w:color="000000" w:sz="4" w:space="0"/>
      </w:pBdr>
      <w:spacing w:after="100" w:afterAutospacing="1" w:before="100" w:beforeAutospacing="1"/>
      <w:ind/>
    </w:pPr>
  </w:style>
  <w:style w:type="paragraph" w:styleId="1106" w:customStyle="1">
    <w:name w:val="xl289"/>
    <w:basedOn w:val="1015"/>
    <w:pPr>
      <w:pBdr>
        <w:left w:val="single" w:color="000000" w:sz="4" w:space="0"/>
        <w:right w:val="single" w:color="000000" w:sz="4" w:space="0"/>
      </w:pBdr>
      <w:spacing w:after="100" w:afterAutospacing="1" w:before="100" w:beforeAutospacing="1"/>
      <w:ind/>
    </w:pPr>
    <w:rPr>
      <w:b/>
      <w:bCs/>
    </w:rPr>
  </w:style>
  <w:style w:type="paragraph" w:styleId="1107" w:customStyle="1">
    <w:name w:val="xl290"/>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8" w:customStyle="1">
    <w:name w:val="xl291"/>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9" w:customStyle="1">
    <w:name w:val="xl292"/>
    <w:basedOn w:val="1015"/>
    <w:pPr>
      <w:pBdr>
        <w:top w:val="single" w:color="000000" w:sz="4" w:space="0"/>
        <w:left w:val="single" w:color="000000" w:sz="4" w:space="0"/>
        <w:right w:val="single" w:color="000000" w:sz="4" w:space="0"/>
      </w:pBdr>
      <w:spacing w:after="100" w:afterAutospacing="1" w:before="100" w:beforeAutospacing="1"/>
      <w:ind/>
    </w:pPr>
  </w:style>
  <w:style w:type="paragraph" w:styleId="1110" w:customStyle="1">
    <w:name w:val="xl293"/>
    <w:basedOn w:val="1015"/>
    <w:pPr>
      <w:pBdr>
        <w:left w:val="single" w:color="000000" w:sz="4" w:space="0"/>
        <w:bottom w:val="single" w:color="000000" w:sz="4" w:space="0"/>
        <w:right w:val="single" w:color="000000" w:sz="4" w:space="0"/>
      </w:pBdr>
      <w:spacing w:after="100" w:afterAutospacing="1" w:before="100" w:beforeAutospacing="1"/>
      <w:ind/>
    </w:pPr>
  </w:style>
  <w:style w:type="paragraph" w:styleId="1111" w:customStyle="1">
    <w:name w:val="xl294"/>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2">
    <w:name w:val="Title"/>
    <w:basedOn w:val="1015"/>
    <w:link w:val="1113"/>
    <w:qFormat/>
    <w:pPr>
      <w:pBdr/>
      <w:spacing/>
      <w:ind/>
      <w:jc w:val="center"/>
    </w:pPr>
    <w:rPr>
      <w:b/>
      <w:bCs/>
      <w:sz w:val="32"/>
      <w:szCs w:val="26"/>
    </w:rPr>
  </w:style>
  <w:style w:type="character" w:styleId="1113" w:customStyle="1">
    <w:name w:val="Title Char"/>
    <w:basedOn w:val="1020"/>
    <w:link w:val="1112"/>
    <w:pPr>
      <w:pBdr/>
      <w:spacing/>
      <w:ind/>
    </w:pPr>
    <w:rPr>
      <w:rFonts w:ascii="Times New Roman" w:hAnsi="Times New Roman" w:eastAsia="Times New Roman" w:cs="Times New Roman"/>
      <w:b/>
      <w:bCs/>
      <w:sz w:val="32"/>
      <w:szCs w:val="26"/>
    </w:rPr>
  </w:style>
  <w:style w:type="character" w:styleId="1114" w:customStyle="1">
    <w:name w:val="Unresolved Mention1"/>
    <w:basedOn w:val="1020"/>
    <w:uiPriority w:val="99"/>
    <w:semiHidden/>
    <w:unhideWhenUsed/>
    <w:pPr>
      <w:pBdr/>
      <w:spacing/>
      <w:ind/>
    </w:pPr>
    <w:rPr>
      <w:color w:val="605e5c"/>
      <w:shd w:val="clear" w:color="auto" w:fill="e1dfdd"/>
    </w:rPr>
  </w:style>
  <w:style w:type="character" w:styleId="1115" w:customStyle="1">
    <w:name w:val="Body text (3)_"/>
    <w:link w:val="1116"/>
    <w:pPr>
      <w:pBdr/>
      <w:spacing/>
      <w:ind/>
    </w:pPr>
    <w:rPr>
      <w:rFonts w:ascii="Times New Roman" w:hAnsi="Times New Roman" w:cs="Times New Roman"/>
      <w:i/>
      <w:iCs/>
      <w:spacing w:val="4"/>
      <w:shd w:val="clear" w:color="auto" w:fill="ffffff"/>
    </w:rPr>
  </w:style>
  <w:style w:type="paragraph" w:styleId="1116" w:customStyle="1">
    <w:name w:val="Body text (3)1"/>
    <w:basedOn w:val="1015"/>
    <w:link w:val="111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7" w:customStyle="1">
    <w:name w:val="t-j"/>
    <w:basedOn w:val="1015"/>
    <w:pPr>
      <w:pBdr/>
      <w:spacing w:after="100" w:afterAutospacing="1" w:before="100" w:beforeAutospacing="1"/>
      <w:ind/>
    </w:pPr>
  </w:style>
  <w:style w:type="character" w:styleId="1118" w:customStyle="1">
    <w:name w:val="Unresolved Mention2"/>
    <w:basedOn w:val="1020"/>
    <w:uiPriority w:val="99"/>
    <w:semiHidden/>
    <w:unhideWhenUsed/>
    <w:pPr>
      <w:pBdr/>
      <w:spacing/>
      <w:ind/>
    </w:pPr>
    <w:rPr>
      <w:color w:val="605e5c"/>
      <w:shd w:val="clear" w:color="auto" w:fill="e1dfdd"/>
    </w:rPr>
  </w:style>
  <w:style w:type="character" w:styleId="1119">
    <w:name w:val="FollowedHyperlink"/>
    <w:basedOn w:val="1020"/>
    <w:uiPriority w:val="99"/>
    <w:semiHidden/>
    <w:unhideWhenUsed/>
    <w:pPr>
      <w:pBdr/>
      <w:spacing/>
      <w:ind/>
    </w:pPr>
    <w:rPr>
      <w:color w:val="800080" w:themeColor="followedHyperlink"/>
      <w:u w:val="single"/>
    </w:rPr>
  </w:style>
  <w:style w:type="character" w:styleId="1120" w:customStyle="1">
    <w:name w:val="text"/>
    <w:basedOn w:val="1020"/>
    <w:pPr>
      <w:pBdr/>
      <w:spacing/>
      <w:ind/>
    </w:pPr>
  </w:style>
  <w:style w:type="character" w:styleId="1121" w:customStyle="1">
    <w:name w:val="card-send-time__sendtime"/>
    <w:basedOn w:val="1020"/>
    <w:pPr>
      <w:pBdr/>
      <w:spacing/>
      <w:ind/>
    </w:pPr>
  </w:style>
  <w:style w:type="character" w:styleId="1122" w:customStyle="1">
    <w:name w:val="Đề cập Chưa giải quyết1"/>
    <w:basedOn w:val="1020"/>
    <w:uiPriority w:val="99"/>
    <w:semiHidden/>
    <w:unhideWhenUsed/>
    <w:pPr>
      <w:pBdr/>
      <w:spacing/>
      <w:ind/>
    </w:pPr>
    <w:rPr>
      <w:color w:val="605e5c"/>
      <w:shd w:val="clear" w:color="auto" w:fill="e1dfdd"/>
    </w:rPr>
  </w:style>
  <w:style w:type="paragraph" w:styleId="1123" w:customStyle="1">
    <w:name w:val="nqtitle"/>
    <w:basedOn w:val="1015"/>
    <w:pPr>
      <w:pBdr/>
      <w:spacing w:after="100" w:afterAutospacing="1" w:before="100" w:beforeAutospacing="1"/>
      <w:ind/>
    </w:pPr>
    <w:rPr>
      <w:lang w:val="vi-VN" w:eastAsia="vi-VN"/>
    </w:rPr>
  </w:style>
  <w:style w:type="character" w:styleId="1124" w:customStyle="1">
    <w:name w:val="List Paragraph Char"/>
    <w:link w:val="1037"/>
    <w:uiPriority w:val="34"/>
    <w:qFormat/>
    <w:pPr>
      <w:pBdr/>
      <w:spacing/>
      <w:ind/>
    </w:pPr>
    <w:rPr>
      <w:rFonts w:ascii="Times New Roman" w:hAnsi="Times New Roman" w:eastAsia="Times New Roman" w:cs="Times New Roman"/>
      <w:sz w:val="24"/>
      <w:szCs w:val="24"/>
    </w:rPr>
  </w:style>
  <w:style w:type="character" w:styleId="1125" w:customStyle="1">
    <w:name w:val="Đề cập Chưa giải quyết2"/>
    <w:basedOn w:val="1020"/>
    <w:uiPriority w:val="99"/>
    <w:semiHidden/>
    <w:unhideWhenUsed/>
    <w:pPr>
      <w:pBdr/>
      <w:spacing/>
      <w:ind/>
    </w:pPr>
    <w:rPr>
      <w:color w:val="605e5c"/>
      <w:shd w:val="clear" w:color="auto" w:fill="e1dfdd"/>
    </w:rPr>
  </w:style>
  <w:style w:type="character" w:styleId="1126" w:customStyle="1">
    <w:name w:val="Unresolved Mention3"/>
    <w:basedOn w:val="1020"/>
    <w:uiPriority w:val="99"/>
    <w:semiHidden/>
    <w:unhideWhenUsed/>
    <w:pPr>
      <w:pBdr/>
      <w:spacing/>
      <w:ind/>
    </w:pPr>
    <w:rPr>
      <w:color w:val="605e5c"/>
      <w:shd w:val="clear" w:color="auto" w:fill="e1dfdd"/>
    </w:rPr>
  </w:style>
  <w:style w:type="character" w:styleId="1127" w:customStyle="1">
    <w:name w:val="copy"/>
    <w:basedOn w:val="1020"/>
    <w:pPr>
      <w:pBdr/>
      <w:spacing/>
      <w:ind/>
    </w:pPr>
  </w:style>
  <w:style w:type="paragraph" w:styleId="1128" w:customStyle="1">
    <w:name w:val="align-justify"/>
    <w:basedOn w:val="1015"/>
    <w:pPr>
      <w:pBdr/>
      <w:spacing w:after="100" w:afterAutospacing="1" w:before="100" w:beforeAutospacing="1"/>
      <w:ind/>
    </w:pPr>
  </w:style>
  <w:style w:type="character" w:styleId="1129" w:customStyle="1">
    <w:name w:val="btn"/>
    <w:basedOn w:val="1020"/>
    <w:pPr>
      <w:pBdr/>
      <w:spacing/>
      <w:ind/>
    </w:pPr>
  </w:style>
  <w:style w:type="character" w:styleId="1130" w:customStyle="1">
    <w:name w:val="hide_mobile"/>
    <w:basedOn w:val="1020"/>
    <w:pPr>
      <w:pBdr/>
      <w:spacing/>
      <w:ind/>
    </w:pPr>
  </w:style>
  <w:style w:type="character" w:styleId="1131">
    <w:name w:val="Emphasis"/>
    <w:basedOn w:val="1020"/>
    <w:uiPriority w:val="20"/>
    <w:qFormat/>
    <w:pPr>
      <w:pBdr/>
      <w:spacing/>
      <w:ind/>
    </w:pPr>
    <w:rPr>
      <w:i/>
      <w:iCs/>
    </w:rPr>
  </w:style>
  <w:style w:type="character" w:styleId="1132" w:customStyle="1">
    <w:name w:val="t1"/>
    <w:basedOn w:val="1020"/>
    <w:pPr>
      <w:pBdr/>
      <w:spacing/>
      <w:ind/>
    </w:pPr>
  </w:style>
  <w:style w:type="character" w:styleId="1133" w:customStyle="1">
    <w:name w:val="Unresolved Mention4"/>
    <w:basedOn w:val="1020"/>
    <w:uiPriority w:val="99"/>
    <w:semiHidden/>
    <w:unhideWhenUsed/>
    <w:pPr>
      <w:pBdr/>
      <w:spacing/>
      <w:ind/>
    </w:pPr>
    <w:rPr>
      <w:color w:val="605e5c"/>
      <w:shd w:val="clear" w:color="auto" w:fill="e1dfdd"/>
    </w:rPr>
  </w:style>
  <w:style w:type="character" w:styleId="1134">
    <w:name w:val="Unresolved Mention"/>
    <w:basedOn w:val="102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Thịnh</cp:lastModifiedBy>
  <cp:revision>513</cp:revision>
  <dcterms:created xsi:type="dcterms:W3CDTF">2025-09-15T02:01:00Z</dcterms:created>
  <dcterms:modified xsi:type="dcterms:W3CDTF">2026-04-23T01:45:53Z</dcterms:modified>
</cp:coreProperties>
</file>