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43541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43541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275/2026/0521/VFI-CT.51.A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ĐẦU TƯ VÀ XÂY DỰNG VINA2</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i/>
                                <w:iCs/>
                                <w:highlight w:val="none"/>
                              </w:rPr>
                            </w:pPr>
                            <w:r>
                              <w:rPr>
                                <w:b/>
                              </w:rPr>
                              <w:t xml:space="preserve">Tài sản thẩm </w:t>
                            </w:r>
                            <w:r>
                              <w:rPr>
                                <w:b/>
                              </w:rPr>
                              <w:t xml:space="preserve">định: </w:t>
                            </w:r>
                            <w:r>
                              <w:rPr>
                                <w:rFonts w:ascii="Times New Roman" w:hAnsi="Times New Roman" w:eastAsia="Times New Roman" w:cs="Times New Roman"/>
                                <w:color w:val="000000"/>
                                <w:sz w:val="24"/>
                              </w:rPr>
                              <w:t xml:space="preserve">Căn hộ chung cư số 805, Tòa nhà hỗn hợp dịch vụ công công, Văn phòng làm việc và nhà ở, số 61, tổ 15, phường Cầu Diễn, quận Nam Từ Liêm, Thành phố Hà Nội (</w:t>
                            </w:r>
                            <w:r>
                              <w:rPr>
                                <w:rFonts w:ascii="Times New Roman" w:hAnsi="Times New Roman" w:eastAsia="Times New Roman" w:cs="Times New Roman"/>
                                <w:i/>
                                <w:iCs/>
                                <w:color w:val="000000"/>
                                <w:sz w:val="24"/>
                              </w:rPr>
                              <w:t xml:space="preserve">Nay là phường Mỹ Đình 1, Thành phố Hà Nội</w:t>
                            </w:r>
                            <w:r>
                              <w:rPr>
                                <w:rFonts w:ascii="Times New Roman" w:hAnsi="Times New Roman" w:eastAsia="Times New Roman" w:cs="Times New Roman"/>
                                <w:color w:val="000000"/>
                                <w:sz w:val="24"/>
                              </w:rPr>
                              <w:t xml:space="preserve">).  theo Giấy chứng nhận Quyền sử dụng đất</w:t>
                            </w:r>
                            <w:r>
                              <w:rPr>
                                <w:rFonts w:ascii="Times New Roman" w:hAnsi="Times New Roman" w:eastAsia="Times New Roman" w:cs="Times New Roman"/>
                                <w:color w:val="000000"/>
                                <w:sz w:val="24"/>
                              </w:rPr>
                              <w:t xml:space="preserve">, quyền sở hữu nhà ở và tài sản khác gắn liền với đất số: DP 476194, số vào sổ cấp Giấy chứng nhận: VP 00403 do Văn phòng đăng ký đất đai Hà Nội cấp ngày  11/06/2024 cho Ông Vũ Thái Trung và bà</w:t>
                            </w:r>
                            <w:r>
                              <w:rPr>
                                <w:bCs/>
                                <w:i/>
                                <w:iCs/>
                              </w:rPr>
                              <w:t xml:space="preserve"> </w:t>
                            </w:r>
                            <w:r>
                              <w:rPr>
                                <w:bCs/>
                                <w:i w:val="0"/>
                                <w:iCs w:val="0"/>
                              </w:rPr>
                              <w:t xml:space="preserve">Phạm Thanh Tú.</w:t>
                            </w:r>
                            <w:r>
                              <w:rPr>
                                <w:i/>
                                <w:iCs/>
                                <w:highlight w:val="none"/>
                              </w:rPr>
                            </w:r>
                            <w:r>
                              <w:rPr>
                                <w:i/>
                                <w:iCs/>
                                <w:highlight w:val="none"/>
                              </w:rPr>
                            </w:r>
                          </w:p>
                          <w:p>
                            <w:pPr>
                              <w:pBdr/>
                              <w:spacing w:after="120" w:before="120" w:line="360" w:lineRule="auto"/>
                              <w:ind/>
                              <w:jc w:val="both"/>
                              <w:rPr>
                                <w:bCs/>
                                <w:i/>
                              </w:rPr>
                            </w:pPr>
                            <w:r>
                              <w:rPr>
                                <w:bCs/>
                                <w:i/>
                                <w:iCs/>
                                <w:highlight w:val="none"/>
                              </w:rPr>
                            </w:r>
                            <w:r>
                              <w:rPr>
                                <w:bCs/>
                                <w:i/>
                              </w:rPr>
                            </w:r>
                            <w:r>
                              <w:rPr>
                                <w:bCs/>
                                <w:i/>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42.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275/2026/0521/VFI-CT.51.A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CỔ PHẦN ĐẦU TƯ VÀ XÂY DỰNG VINA2</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i/>
                          <w:iCs/>
                          <w:highlight w:val="none"/>
                        </w:rPr>
                      </w:pPr>
                      <w:r>
                        <w:rPr>
                          <w:b/>
                        </w:rPr>
                        <w:t xml:space="preserve">Tài sản thẩm </w:t>
                      </w:r>
                      <w:r>
                        <w:rPr>
                          <w:b/>
                        </w:rPr>
                        <w:t xml:space="preserve">định: </w:t>
                      </w:r>
                      <w:r>
                        <w:rPr>
                          <w:rFonts w:ascii="Times New Roman" w:hAnsi="Times New Roman" w:eastAsia="Times New Roman" w:cs="Times New Roman"/>
                          <w:color w:val="000000"/>
                          <w:sz w:val="24"/>
                        </w:rPr>
                        <w:t xml:space="preserve">Căn hộ chung cư số 805, Tòa nhà hỗn hợp dịch vụ công công, Văn phòng làm việc và nhà ở, số 61, tổ 15, phường Cầu Diễn, quận Nam Từ Liêm, Thành phố Hà Nội (</w:t>
                      </w:r>
                      <w:r>
                        <w:rPr>
                          <w:rFonts w:ascii="Times New Roman" w:hAnsi="Times New Roman" w:eastAsia="Times New Roman" w:cs="Times New Roman"/>
                          <w:i/>
                          <w:iCs/>
                          <w:color w:val="000000"/>
                          <w:sz w:val="24"/>
                        </w:rPr>
                        <w:t xml:space="preserve">Nay là phường Mỹ Đình 1, Thành phố Hà Nội</w:t>
                      </w:r>
                      <w:r>
                        <w:rPr>
                          <w:rFonts w:ascii="Times New Roman" w:hAnsi="Times New Roman" w:eastAsia="Times New Roman" w:cs="Times New Roman"/>
                          <w:color w:val="000000"/>
                          <w:sz w:val="24"/>
                        </w:rPr>
                        <w:t xml:space="preserve">).  theo Giấy chứng nhận Quyền sử dụng đất</w:t>
                      </w:r>
                      <w:r>
                        <w:rPr>
                          <w:rFonts w:ascii="Times New Roman" w:hAnsi="Times New Roman" w:eastAsia="Times New Roman" w:cs="Times New Roman"/>
                          <w:color w:val="000000"/>
                          <w:sz w:val="24"/>
                        </w:rPr>
                        <w:t xml:space="preserve">, quyền sở hữu nhà ở và tài sản khác gắn liền với đất số: DP 476194, số vào sổ cấp Giấy chứng nhận: VP 00403 do Văn phòng đăng ký đất đai Hà Nội cấp ngày  11/06/2024 cho Ông Vũ Thái Trung và bà</w:t>
                      </w:r>
                      <w:r>
                        <w:rPr>
                          <w:bCs/>
                          <w:i/>
                          <w:iCs/>
                        </w:rPr>
                        <w:t xml:space="preserve"> </w:t>
                      </w:r>
                      <w:r>
                        <w:rPr>
                          <w:bCs/>
                          <w:i w:val="0"/>
                          <w:iCs w:val="0"/>
                        </w:rPr>
                        <w:t xml:space="preserve">Phạm Thanh Tú.</w:t>
                      </w:r>
                      <w:r>
                        <w:rPr>
                          <w:i/>
                          <w:iCs/>
                          <w:highlight w:val="none"/>
                        </w:rPr>
                      </w:r>
                      <w:r>
                        <w:rPr>
                          <w:i/>
                          <w:iCs/>
                          <w:highlight w:val="none"/>
                        </w:rPr>
                      </w:r>
                    </w:p>
                    <w:p>
                      <w:pPr>
                        <w:pBdr/>
                        <w:spacing w:after="120" w:before="120" w:line="360" w:lineRule="auto"/>
                        <w:ind/>
                        <w:jc w:val="both"/>
                        <w:rPr>
                          <w:bCs/>
                          <w:i/>
                        </w:rPr>
                      </w:pPr>
                      <w:r>
                        <w:rPr>
                          <w:bCs/>
                          <w:i/>
                          <w:iCs/>
                          <w:highlight w:val="none"/>
                        </w:rPr>
                      </w:r>
                      <w:r>
                        <w:rPr>
                          <w:bCs/>
                          <w:i/>
                        </w:rPr>
                      </w:r>
                      <w:r>
                        <w:rPr>
                          <w:bCs/>
                          <w:i/>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27"/>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6"/>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275/2026/0521/VFI-CT.51.A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3 tháng 4 năm 2026</w:t>
            </w:r>
            <w:r>
              <w:rPr>
                <w:color w:val="000000" w:themeColor="text1"/>
                <w:sz w:val="24"/>
                <w:szCs w:val="24"/>
                <w:lang w:val="vi-VN"/>
              </w:rPr>
            </w:r>
            <w:r>
              <w:rPr>
                <w:color w:val="000000" w:themeColor="text1"/>
                <w:sz w:val="24"/>
                <w:szCs w:val="24"/>
                <w:lang w:val="vi-VN"/>
              </w:rPr>
            </w:r>
          </w:p>
        </w:tc>
      </w:tr>
    </w:tbl>
    <w:p>
      <w:pPr>
        <w:pStyle w:val="1026"/>
        <w:pBdr/>
        <w:spacing w:after="120" w:before="200" w:line="288" w:lineRule="auto"/>
        <w:ind/>
        <w:jc w:val="center"/>
        <w:rPr>
          <w:rStyle w:val="1025"/>
          <w:rFonts w:ascii="Times New Roman" w:hAnsi="Times New Roman"/>
          <w:b/>
          <w:bCs/>
          <w:color w:val="auto"/>
          <w:sz w:val="30"/>
          <w:szCs w:val="30"/>
          <w:lang w:val="vi-VN"/>
        </w:rPr>
      </w:pPr>
      <w:r>
        <w:rPr>
          <w:rStyle w:val="1025"/>
          <w:rFonts w:ascii="Times New Roman" w:hAnsi="Times New Roman"/>
          <w:b/>
          <w:bCs/>
          <w:color w:val="auto"/>
          <w:sz w:val="30"/>
          <w:szCs w:val="30"/>
          <w:lang w:val="vi-VN"/>
        </w:rPr>
        <w:t xml:space="preserve">CHỨNG THƯ THẨM ĐỊNH GIÁ</w:t>
      </w:r>
      <w:r>
        <w:rPr>
          <w:rStyle w:val="1025"/>
          <w:rFonts w:ascii="Times New Roman" w:hAnsi="Times New Roman"/>
          <w:b/>
          <w:bCs/>
          <w:color w:val="auto"/>
          <w:sz w:val="30"/>
          <w:szCs w:val="30"/>
          <w:lang w:val="vi-VN"/>
        </w:rPr>
      </w:r>
      <w:r>
        <w:rPr>
          <w:rStyle w:val="1025"/>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CỔ PHẦN ĐẦU TƯ VÀ XÂY DỰNG VINA2</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275/2026/0521VFI-HĐTĐ.51.A</w:t>
      </w:r>
      <w:r>
        <w:rPr>
          <w:spacing w:val="-4"/>
          <w:lang w:val="vi-VN"/>
        </w:rPr>
        <w:t xml:space="preserve"> ký ngày </w:t>
      </w:r>
      <w:r>
        <w:rPr>
          <w:color w:val="000000" w:themeColor="text1"/>
          <w:spacing w:val="-4"/>
        </w:rPr>
        <w:t xml:space="preserve">2 tháng 4 năm 2026</w:t>
      </w:r>
      <w:r>
        <w:rPr>
          <w:spacing w:val="-4"/>
          <w:lang w:val="vi-VN"/>
        </w:rPr>
        <w:t xml:space="preserve"> </w:t>
      </w:r>
      <w:r>
        <w:rPr>
          <w:spacing w:val="-4"/>
          <w:lang w:val="vi-VN"/>
        </w:rPr>
        <w:t xml:space="preserve">giữa </w:t>
      </w:r>
      <w:r>
        <w:rPr>
          <w:color w:val="000000" w:themeColor="text1"/>
          <w:spacing w:val="-4"/>
        </w:rPr>
        <w:t xml:space="preserve">Công ty Cổ phần Đầu tư và Xây dựng VINA2</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275/2026/0521/VFI-BC.51.A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3 tháng 4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ayout w:type="fixed"/>
        <w:tblLook w:val="04A0" w:firstRow="1" w:lastRow="0" w:firstColumn="1" w:lastColumn="0" w:noHBand="0" w:noVBand="1"/>
      </w:tblPr>
      <w:tblGrid>
        <w:gridCol w:w="2113"/>
        <w:gridCol w:w="472"/>
        <w:gridCol w:w="2687"/>
        <w:gridCol w:w="1940"/>
        <w:gridCol w:w="2313"/>
      </w:tblGrid>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gridSpan w:val="3"/>
            <w:tcBorders/>
            <w:tcW w:w="6940" w:type="dxa"/>
            <w:vAlign w:val="center"/>
            <w:textDirection w:val="lrTb"/>
            <w:noWrap w:val="false"/>
          </w:tcPr>
          <w:p>
            <w:pPr>
              <w:pBdr/>
              <w:spacing/>
              <w:ind/>
              <w:rPr/>
            </w:pPr>
            <w:r>
              <w:rPr>
                <w:b/>
                <w:bCs/>
              </w:rPr>
              <w:t xml:space="preserve">CÔNG TY CỔ PHẦN ĐẦU TƯ VÀ XÂY DỰNG VINA2</w:t>
            </w:r>
            <w:r/>
          </w:p>
        </w:tc>
      </w:tr>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gridSpan w:val="3"/>
            <w:tcBorders/>
            <w:tcW w:w="6940"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0100105895</w:t>
            </w:r>
            <w:r>
              <w:rPr>
                <w:color w:val="ff0000"/>
                <w:lang w:val="pt-BR"/>
              </w:rPr>
            </w:r>
            <w:r>
              <w:rPr>
                <w:color w:val="ff0000"/>
                <w:lang w:val="pt-BR"/>
              </w:rPr>
            </w:r>
          </w:p>
        </w:tc>
      </w:tr>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 trụ sở</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gridSpan w:val="3"/>
            <w:tcBorders/>
            <w:tcW w:w="6940" w:type="dxa"/>
            <w:vAlign w:val="center"/>
            <w:textDirection w:val="lrTb"/>
            <w:noWrap w:val="false"/>
          </w:tcPr>
          <w:p>
            <w:pPr>
              <w:pBdr/>
              <w:spacing w:after="40" w:before="40" w:line="276" w:lineRule="auto"/>
              <w:ind/>
              <w:jc w:val="both"/>
              <w:rPr>
                <w:color w:val="ff0000"/>
                <w:lang w:val="pt-BR"/>
              </w:rPr>
            </w:pPr>
            <w:r>
              <w:rPr>
                <w:color w:val="000000" w:themeColor="text1"/>
                <w:lang w:val="vi-VN"/>
              </w:rPr>
            </w:r>
            <w:r>
              <w:t xml:space="preserve">Tầng 2 - 4, tòa nhà B - KĐTM Kim Văn - Kim Lũ, Phường Định Công, Thành phố Hà Nội, Việt Nam</w:t>
            </w:r>
            <w:r>
              <w:rPr>
                <w:color w:val="ff0000"/>
                <w:lang w:val="pt-BR"/>
              </w:rPr>
            </w:r>
            <w:r>
              <w:rPr>
                <w:color w:val="ff0000"/>
                <w:lang w:val="pt-BR"/>
              </w:rPr>
            </w:r>
          </w:p>
        </w:tc>
      </w:tr>
      <w:tr>
        <w:trPr>
          <w:trHeight w:val="20"/>
        </w:trPr>
        <w:tc>
          <w:tcPr>
            <w:shd w:val="clear" w:color="auto" w:fill="auto"/>
            <w:tcBorders/>
            <w:tcW w:w="2113"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Người đại diện</w:t>
            </w:r>
            <w:r>
              <w:rPr>
                <w:bCs/>
                <w:color w:val="000000" w:themeColor="text1"/>
                <w:lang w:val="pt-BR"/>
              </w:rPr>
            </w:r>
            <w:r>
              <w:rPr>
                <w:bCs/>
                <w:color w:val="000000" w:themeColor="text1"/>
                <w:lang w:val="pt-BR"/>
              </w:rPr>
            </w:r>
          </w:p>
        </w:tc>
        <w:tc>
          <w:tcPr>
            <w:shd w:val="clear" w:color="auto" w:fill="auto"/>
            <w:tcBorders/>
            <w:tcW w:w="472"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2687"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Ông Vũ Trọng Hùng</w:t>
            </w:r>
            <w:r>
              <w:rPr>
                <w:color w:val="ff0000"/>
                <w:lang w:val="pt-BR"/>
              </w:rPr>
            </w:r>
            <w:r>
              <w:rPr>
                <w:color w:val="ff0000"/>
                <w:lang w:val="pt-BR"/>
              </w:rPr>
            </w:r>
          </w:p>
        </w:tc>
        <w:tc>
          <w:tcPr>
            <w:tcBorders/>
            <w:tcW w:w="1940" w:type="dxa"/>
            <w:vAlign w:val="center"/>
            <w:textDirection w:val="lrTb"/>
            <w:noWrap w:val="false"/>
          </w:tcPr>
          <w:p>
            <w:pPr>
              <w:pBdr/>
              <w:spacing w:after="40" w:before="40" w:line="276" w:lineRule="auto"/>
              <w:ind/>
              <w:jc w:val="right"/>
              <w:rPr>
                <w:color w:val="000000" w:themeColor="text1"/>
                <w:lang w:val="vi-VN"/>
              </w:rPr>
            </w:pPr>
            <w:r>
              <w:rPr>
                <w:color w:val="000000" w:themeColor="text1"/>
                <w:lang w:val="vi-VN"/>
              </w:rPr>
              <w:t xml:space="preserve">Chức danh:</w:t>
            </w:r>
            <w:r>
              <w:rPr>
                <w:color w:val="000000" w:themeColor="text1"/>
                <w:lang w:val="vi-VN"/>
              </w:rPr>
            </w:r>
            <w:r>
              <w:rPr>
                <w:color w:val="000000" w:themeColor="text1"/>
                <w:lang w:val="vi-VN"/>
              </w:rPr>
            </w:r>
          </w:p>
        </w:tc>
        <w:tc>
          <w:tcPr>
            <w:tcBorders/>
            <w:tcW w:w="2313" w:type="dxa"/>
            <w:vAlign w:val="center"/>
            <w:textDirection w:val="lrTb"/>
            <w:noWrap w:val="false"/>
          </w:tcPr>
          <w:p>
            <w:pPr>
              <w:pBdr/>
              <w:spacing w:after="40" w:before="40" w:line="276" w:lineRule="auto"/>
              <w:ind/>
              <w:jc w:val="both"/>
              <w:rPr>
                <w:color w:val="000000" w:themeColor="text1"/>
                <w:lang w:val="vi-VN"/>
              </w:rPr>
            </w:pPr>
            <w:r>
              <w:rPr>
                <w:color w:val="000000" w:themeColor="text1"/>
                <w:lang w:val="vi-VN"/>
              </w:rPr>
              <w:t xml:space="preserve">Tổng giám đốc</w:t>
            </w:r>
            <w:r>
              <w:rPr>
                <w:color w:val="000000" w:themeColor="text1"/>
                <w:lang w:val="vi-VN"/>
              </w:rPr>
            </w:r>
            <w:r>
              <w:rPr>
                <w:color w:val="000000" w:themeColor="text1"/>
                <w:lang w:val="vi-VN"/>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Căn hộ chung cư số 805, Tòa nhà hỗn hợp dịch vụ công công, Văn phòng làm việc và nhà ở, số 61, tổ 15, phường Cầu Diễn, quận Nam Từ Liêm, Thành phố Hà Nội (</w:t>
      </w:r>
      <w:r>
        <w:rPr>
          <w:rFonts w:ascii="Times New Roman" w:hAnsi="Times New Roman" w:eastAsia="Times New Roman" w:cs="Times New Roman"/>
          <w:i/>
          <w:iCs/>
          <w:color w:val="000000"/>
          <w:sz w:val="24"/>
        </w:rPr>
        <w:t xml:space="preserve">Nay là phường Mỹ Đình 1, Thành phố Hà Nội</w:t>
      </w:r>
      <w:r>
        <w:rPr>
          <w:rFonts w:ascii="Times New Roman" w:hAnsi="Times New Roman" w:eastAsia="Times New Roman" w:cs="Times New Roman"/>
          <w:color w:val="000000"/>
          <w:sz w:val="24"/>
        </w:rPr>
        <w:t xml:space="preserve">).  theo Giấy chứng nhận Quyền sử dụng đất</w:t>
      </w:r>
      <w:r>
        <w:rPr>
          <w:rFonts w:ascii="Times New Roman" w:hAnsi="Times New Roman" w:eastAsia="Times New Roman" w:cs="Times New Roman"/>
          <w:color w:val="000000"/>
          <w:sz w:val="24"/>
        </w:rPr>
        <w:t xml:space="preserve">, quyền sở hữu nhà ở và tài sản khác gắn liền với đất số: DP 476194, số vào sổ cấp Giấy chứng nhận: VP 00403 do Văn phòng đăng ký đất đai Hà Nội cấp ngày  11/06/2024 cho Ông Vũ Thái Trung và bà</w:t>
      </w:r>
      <w:r>
        <w:rPr>
          <w:bCs/>
          <w:i/>
          <w:iCs/>
        </w:rPr>
        <w:t xml:space="preserve"> </w:t>
      </w:r>
      <w:r>
        <w:rPr>
          <w:bCs/>
          <w:i w:val="0"/>
          <w:iCs w:val="0"/>
        </w:rPr>
        <w:t xml:space="preserve">Phạm Thanh Tú</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04/2026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04/2026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Căn hộ chung cư số 805, Tòa nhà hỗn hợp dịch vụ công công, Văn phòng làm việc và nhà ở, số 61, tổ 15, phường Cầu Diễn, quận Nam Từ Liêm, Thành phố Hà Nội (</w:t>
            </w:r>
            <w:r>
              <w:rPr>
                <w:rFonts w:ascii="Times New Roman" w:hAnsi="Times New Roman" w:eastAsia="Times New Roman" w:cs="Times New Roman"/>
                <w:b/>
                <w:bCs/>
                <w:i/>
                <w:iCs/>
                <w:color w:val="000000"/>
                <w:sz w:val="24"/>
              </w:rPr>
              <w:t xml:space="preserve">Nay là phường Mỹ Đình 1, Thành phố Hà Nội</w:t>
            </w:r>
            <w:r>
              <w:rPr>
                <w:rFonts w:ascii="Times New Roman" w:hAnsi="Times New Roman" w:eastAsia="Times New Roman" w:cs="Times New Roman"/>
                <w:b/>
                <w:bCs/>
                <w:color w:val="000000"/>
                <w:sz w:val="24"/>
              </w:rPr>
              <w:t xml:space="preserve">).  theo Giấy chứng nhận Quyền sử dụng đất</w:t>
            </w:r>
            <w:r>
              <w:rPr>
                <w:rFonts w:ascii="Times New Roman" w:hAnsi="Times New Roman" w:eastAsia="Times New Roman" w:cs="Times New Roman"/>
                <w:b/>
                <w:bCs/>
                <w:color w:val="000000"/>
                <w:sz w:val="24"/>
              </w:rPr>
              <w:t xml:space="preserve">, quyền sở hữu nhà ở và tài sản khác gắn liền với đất số: DP 476194, số vào sổ cấp Giấy chứng nhận: VP 00403 do Văn phòng đăng ký đất đai Hà Nội cấp ngày  11/06/2024 cho Ông Vũ Thái Trung và bà</w:t>
            </w:r>
            <w:r>
              <w:rPr>
                <w:b/>
                <w:bCs/>
                <w:i/>
                <w:iCs/>
              </w:rPr>
              <w:t xml:space="preserve"> </w:t>
            </w:r>
            <w:r>
              <w:rPr>
                <w:b/>
                <w:bCs/>
                <w:i w:val="0"/>
                <w:iCs w:val="0"/>
              </w:rPr>
              <w:t xml:space="preserve">Phạm Thanh Tú</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Căn hộ chung cư</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87,67</w:t>
            </w:r>
            <w:r>
              <w:rPr>
                <w:color w:val="000000"/>
              </w:rPr>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78.000.000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6.838.260.000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6.838.300.000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Sáu tỷ tám trăm ba mươi tám triệu ba trăm nghìn đồng chẵn</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7"/>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6"/>
              <w:pBdr/>
              <w:spacing w:after="60"/>
              <w:ind/>
              <w:rPr>
                <w:color w:val="000000" w:themeColor="text1"/>
                <w:sz w:val="24"/>
                <w:szCs w:val="24"/>
              </w:rPr>
            </w:pPr>
            <w:r>
              <w:rPr>
                <w:rStyle w:val="1025"/>
                <w:rFonts w:ascii="Times New Roman" w:hAnsi="Times New Roman"/>
                <w:color w:val="000000" w:themeColor="text1"/>
                <w:lang w:val="pt-BR"/>
              </w:rPr>
              <w:t xml:space="preserve">Số: </w:t>
            </w:r>
            <w:r>
              <w:rPr>
                <w:rStyle w:val="1025"/>
                <w:rFonts w:ascii="Times New Roman" w:hAnsi="Times New Roman"/>
                <w:color w:val="000000" w:themeColor="text1"/>
                <w:lang w:val="pt-BR"/>
              </w:rPr>
              <w:t xml:space="preserve">275/2026/0521/VFI-CT.51.A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1026"/>
              <w:pBdr/>
              <w:spacing w:after="60"/>
              <w:ind w:right="-56"/>
              <w:jc w:val="right"/>
              <w:rPr>
                <w:color w:val="000000" w:themeColor="text1"/>
                <w:sz w:val="24"/>
                <w:szCs w:val="24"/>
                <w:lang w:val="vi-VN"/>
              </w:rPr>
            </w:pPr>
            <w:r>
              <w:rPr>
                <w:rStyle w:val="1025"/>
                <w:rFonts w:ascii="Times New Roman" w:hAnsi="Times New Roman"/>
                <w:i/>
                <w:color w:val="auto"/>
              </w:rPr>
              <w:t xml:space="preserve">TP. Hà Nội</w:t>
            </w:r>
            <w:r>
              <w:rPr>
                <w:rStyle w:val="1025"/>
                <w:rFonts w:ascii="Times New Roman" w:hAnsi="Times New Roman"/>
                <w:i/>
                <w:color w:val="auto"/>
                <w:lang w:val="vi-VN"/>
              </w:rPr>
              <w:t xml:space="preserve">, </w:t>
            </w:r>
            <w:r>
              <w:rPr>
                <w:rStyle w:val="1025"/>
                <w:rFonts w:ascii="Times New Roman" w:hAnsi="Times New Roman"/>
                <w:i/>
                <w:color w:val="000000" w:themeColor="text1"/>
                <w:lang w:val="vi-VN"/>
              </w:rPr>
              <w:t xml:space="preserve">ngày 3 tháng 4 năm 2026</w:t>
            </w:r>
            <w:r>
              <w:rPr>
                <w:color w:val="000000" w:themeColor="text1"/>
                <w:sz w:val="24"/>
                <w:szCs w:val="24"/>
                <w:lang w:val="vi-VN"/>
              </w:rPr>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1026"/>
              <w:pBdr/>
              <w:spacing w:after="60"/>
              <w:ind/>
              <w:rPr>
                <w:rStyle w:val="1025"/>
                <w:rFonts w:ascii="Times New Roman" w:hAnsi="Times New Roman"/>
                <w:color w:val="000000" w:themeColor="text1"/>
                <w:lang w:val="pt-BR"/>
              </w:rPr>
            </w:pPr>
            <w:r>
              <w:rPr>
                <w:rStyle w:val="1025"/>
                <w:rFonts w:ascii="Times New Roman" w:hAnsi="Times New Roman"/>
                <w:color w:val="000000" w:themeColor="text1"/>
                <w:lang w:val="pt-BR"/>
              </w:rPr>
            </w:r>
            <w:r>
              <w:rPr>
                <w:rStyle w:val="1025"/>
                <w:rFonts w:ascii="Times New Roman" w:hAnsi="Times New Roman"/>
                <w:color w:val="000000" w:themeColor="text1"/>
                <w:lang w:val="pt-BR"/>
              </w:rPr>
            </w:r>
            <w:r>
              <w:rPr>
                <w:rStyle w:val="1025"/>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1026"/>
              <w:pBdr/>
              <w:spacing w:after="60"/>
              <w:ind w:right="-56"/>
              <w:rPr>
                <w:rStyle w:val="1025"/>
                <w:rFonts w:ascii="Times New Roman" w:hAnsi="Times New Roman"/>
                <w:i/>
                <w:color w:val="auto"/>
              </w:rPr>
            </w:pPr>
            <w:r>
              <w:rPr>
                <w:rFonts w:ascii="Times New Roman" w:hAnsi="Times New Roman"/>
                <w:i/>
                <w:color w:val="auto"/>
              </w:rPr>
            </w:r>
            <w:r>
              <w:rPr>
                <w:rStyle w:val="1025"/>
                <w:rFonts w:ascii="Times New Roman" w:hAnsi="Times New Roman"/>
                <w:i/>
                <w:color w:val="auto"/>
              </w:rPr>
            </w:r>
            <w:r>
              <w:rPr>
                <w:rStyle w:val="1025"/>
                <w:rFonts w:ascii="Times New Roman" w:hAnsi="Times New Roman"/>
                <w:i/>
                <w:color w:val="auto"/>
              </w:rPr>
            </w:r>
          </w:p>
        </w:tc>
      </w:tr>
    </w:tbl>
    <w:p>
      <w:pPr>
        <w:pStyle w:val="1026"/>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6"/>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275/2026/0521/VFI-CT.51.A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3 tháng 4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6"/>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27"/>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2315"/>
        <w:gridCol w:w="2315"/>
        <w:gridCol w:w="231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gridSpan w:val="3"/>
            <w:tcBorders/>
            <w:tcW w:w="6945" w:type="dxa"/>
            <w:vAlign w:val="center"/>
            <w:textDirection w:val="lrTb"/>
            <w:noWrap w:val="false"/>
          </w:tcPr>
          <w:p>
            <w:pPr>
              <w:pBdr/>
              <w:spacing/>
              <w:ind/>
              <w:rPr/>
            </w:pPr>
            <w:r>
              <w:rPr>
                <w:b/>
                <w:bCs/>
              </w:rPr>
              <w:t xml:space="preserve">CÔNG TY CỔ PHẦN ĐẦU TƯ VÀ XÂY DỰNG VINA2</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Mã số thuế</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gridSpan w:val="3"/>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0100105895</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 trụ sở</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gridSpan w:val="3"/>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t xml:space="preserve">Tầng 2 - 4, tòa nhà B - KĐTM Kim Văn - Kim Lũ, Phường Định Công, Thành phố Hà Nội, Việt Nam</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Người đại diện</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231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Ông Vũ Trọng Hùng</w:t>
            </w:r>
            <w:r>
              <w:rPr>
                <w:color w:val="ff0000"/>
                <w:lang w:val="pt-BR"/>
              </w:rPr>
            </w:r>
            <w:r>
              <w:rPr>
                <w:color w:val="ff0000"/>
                <w:lang w:val="pt-BR"/>
              </w:rPr>
            </w:r>
          </w:p>
        </w:tc>
        <w:tc>
          <w:tcPr>
            <w:tcBorders/>
            <w:tcW w:w="2315" w:type="dxa"/>
            <w:vAlign w:val="center"/>
            <w:textDirection w:val="lrTb"/>
            <w:noWrap w:val="false"/>
          </w:tcPr>
          <w:p>
            <w:pPr>
              <w:pBdr/>
              <w:spacing w:after="40" w:before="40" w:line="276" w:lineRule="auto"/>
              <w:ind/>
              <w:jc w:val="right"/>
              <w:rPr>
                <w:color w:val="000000" w:themeColor="text1"/>
                <w:lang w:val="vi-VN"/>
              </w:rPr>
            </w:pPr>
            <w:r>
              <w:rPr>
                <w:color w:val="000000" w:themeColor="text1"/>
                <w:lang w:val="vi-VN"/>
              </w:rPr>
              <w:t xml:space="preserve">Chức danh:</w:t>
            </w:r>
            <w:r>
              <w:rPr>
                <w:color w:val="000000" w:themeColor="text1"/>
                <w:lang w:val="vi-VN"/>
              </w:rPr>
            </w:r>
            <w:r>
              <w:rPr>
                <w:color w:val="000000" w:themeColor="text1"/>
                <w:lang w:val="vi-VN"/>
              </w:rPr>
            </w:r>
          </w:p>
        </w:tc>
        <w:tc>
          <w:tcPr>
            <w:tcBorders/>
            <w:tcW w:w="2315" w:type="dxa"/>
            <w:vAlign w:val="center"/>
            <w:textDirection w:val="lrTb"/>
            <w:noWrap w:val="false"/>
          </w:tcPr>
          <w:p>
            <w:pPr>
              <w:pBdr/>
              <w:spacing w:after="40" w:before="40" w:line="276" w:lineRule="auto"/>
              <w:ind/>
              <w:jc w:val="both"/>
              <w:rPr>
                <w:color w:val="000000" w:themeColor="text1"/>
                <w:lang w:val="vi-VN"/>
              </w:rPr>
            </w:pPr>
            <w:r>
              <w:rPr>
                <w:color w:val="000000" w:themeColor="text1"/>
                <w:lang w:val="vi-VN"/>
              </w:rPr>
              <w:t xml:space="preserve">Tổng giám đốc</w:t>
            </w:r>
            <w:r>
              <w:rPr>
                <w:color w:val="000000" w:themeColor="text1"/>
                <w:lang w:val="vi-VN"/>
              </w:rPr>
            </w:r>
            <w:r>
              <w:rPr>
                <w:color w:val="000000" w:themeColor="text1"/>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spacing w:after="40" w:before="40" w:line="288" w:lineRule="auto"/>
              <w:ind/>
              <w:jc w:val="both"/>
              <w:rPr>
                <w:b w:val="0"/>
                <w:bCs w:val="0"/>
              </w:rPr>
            </w:pPr>
            <w:r>
              <w:rPr>
                <w:color w:val="000000"/>
              </w:rPr>
            </w:r>
            <w:r>
              <w:rPr>
                <w:rFonts w:ascii="Times New Roman" w:hAnsi="Times New Roman" w:eastAsia="Times New Roman" w:cs="Times New Roman"/>
                <w:b w:val="0"/>
                <w:bCs w:val="0"/>
                <w:color w:val="000000"/>
                <w:sz w:val="24"/>
              </w:rPr>
              <w:t xml:space="preserve">Căn hộ chung cư số 805, Tòa nhà hỗn hợp dịch vụ công công, Văn phòng làm việc và nhà ở, số 61, tổ 15, phường Cầu Diễn, quận Nam Từ Liêm, Thành phố Hà Nội (</w:t>
            </w:r>
            <w:r>
              <w:rPr>
                <w:rFonts w:ascii="Times New Roman" w:hAnsi="Times New Roman" w:eastAsia="Times New Roman" w:cs="Times New Roman"/>
                <w:b w:val="0"/>
                <w:bCs w:val="0"/>
                <w:i/>
                <w:iCs/>
                <w:color w:val="000000"/>
                <w:sz w:val="24"/>
              </w:rPr>
              <w:t xml:space="preserve">Nay là phường Mỹ Đình 1, Thành phố Hà Nội</w:t>
            </w:r>
            <w:r>
              <w:rPr>
                <w:rFonts w:ascii="Times New Roman" w:hAnsi="Times New Roman" w:eastAsia="Times New Roman" w:cs="Times New Roman"/>
                <w:b w:val="0"/>
                <w:bCs w:val="0"/>
                <w:color w:val="000000"/>
                <w:sz w:val="24"/>
              </w:rPr>
              <w:t xml:space="preserve">).  theo Giấy chứng nhận Quyền sử dụng đất</w:t>
            </w:r>
            <w:r>
              <w:rPr>
                <w:rFonts w:ascii="Times New Roman" w:hAnsi="Times New Roman" w:eastAsia="Times New Roman" w:cs="Times New Roman"/>
                <w:b w:val="0"/>
                <w:bCs w:val="0"/>
                <w:color w:val="000000"/>
                <w:sz w:val="24"/>
              </w:rPr>
              <w:t xml:space="preserve">, quyền sở hữu nhà ở và tài sản khác gắn liền với đất số: DP 476194, số vào sổ cấp Giấy chứng nhận: VP 00403 do Văn phòng đăng ký đất đai Hà Nội cấp ngày  11/06/2024 cho Ông Vũ Thái Trung và bà</w:t>
            </w:r>
            <w:r>
              <w:rPr>
                <w:b w:val="0"/>
                <w:bCs w:val="0"/>
                <w:i/>
                <w:iCs/>
              </w:rPr>
              <w:t xml:space="preserve"> </w:t>
            </w:r>
            <w:r>
              <w:rPr>
                <w:b w:val="0"/>
                <w:bCs w:val="0"/>
                <w:i w:val="0"/>
                <w:iCs w:val="0"/>
              </w:rPr>
              <w:t xml:space="preserve">Phạm Thanh Tú</w:t>
            </w:r>
            <w:r>
              <w:rPr>
                <w:b w:val="0"/>
                <w:bCs w:val="0"/>
              </w:rPr>
              <w:t xml:space="preserve">.</w:t>
            </w:r>
            <w:r>
              <w:rPr>
                <w:b w:val="0"/>
                <w:bCs w:val="0"/>
              </w:rPr>
            </w:r>
            <w:r>
              <w:rPr>
                <w:b w:val="0"/>
                <w:bCs w:val="0"/>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04/2026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spacing w:after="60" w:before="60" w:line="276" w:lineRule="auto"/>
              <w:ind/>
              <w:jc w:val="both"/>
              <w:rPr>
                <w:bCs w:val="0"/>
                <w:i w:val="0"/>
                <w:color w:val="ee0000"/>
              </w:rPr>
            </w:pPr>
            <w:r>
              <w:rPr>
                <w:color w:val="000000" w:themeColor="text1"/>
                <w:lang w:val="pt-BR"/>
              </w:rPr>
            </w:r>
            <w:r>
              <w:rPr>
                <w:rFonts w:ascii="Times New Roman" w:hAnsi="Times New Roman" w:eastAsia="Times New Roman" w:cs="Times New Roman"/>
                <w:b w:val="0"/>
                <w:bCs w:val="0"/>
                <w:i w:val="0"/>
                <w:iCs w:val="0"/>
                <w:color w:val="000000"/>
                <w:sz w:val="24"/>
              </w:rPr>
              <w:t xml:space="preserve"> Phường Mỹ Đình 1, Thành phố Hà Nội</w:t>
            </w:r>
            <w:r>
              <w:rPr>
                <w:bCs w:val="0"/>
                <w:i w:val="0"/>
                <w:color w:val="ee0000"/>
              </w:rPr>
            </w:r>
            <w:r>
              <w:rPr>
                <w:bCs w:val="0"/>
                <w:i w:val="0"/>
                <w:color w:val="ee0000"/>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Style w:val="1007"/>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21.0339259, 105.7599204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7"/>
              <w:pBdr/>
              <w:spacing w:after="60" w:before="60" w:line="276" w:lineRule="auto"/>
              <w:ind w:left="0"/>
              <w:rPr>
                <w:bCs/>
                <w:lang w:val="pt-BR"/>
              </w:rPr>
            </w:pPr>
            <w:r>
              <w:rPr>
                <w:bCs/>
                <w:lang w:val="pt-BR"/>
              </w:rPr>
              <w:t xml:space="preserve">:</w:t>
            </w:r>
            <w:r>
              <w:rPr>
                <w:bCs/>
                <w:lang w:val="pt-BR"/>
              </w:rPr>
            </w:r>
            <w:r>
              <w:rPr>
                <w:bCs/>
                <w:lang w:val="pt-BR"/>
              </w:rPr>
            </w:r>
          </w:p>
        </w:tc>
        <w:tc>
          <w:tcPr>
            <w:gridSpan w:val="3"/>
            <w:tcBorders/>
            <w:tcW w:w="6945" w:type="dxa"/>
            <w:vAlign w:val="center"/>
            <w:textDirection w:val="lrTb"/>
            <w:noWrap w:val="false"/>
          </w:tcPr>
          <w:p>
            <w:pPr>
              <w:pBdr/>
              <w:spacing w:after="60" w:before="60" w:line="276" w:lineRule="auto"/>
              <w:ind/>
              <w:jc w:val="both"/>
              <w:rPr>
                <w:lang w:val="pt-BR"/>
              </w:rPr>
            </w:pPr>
            <w:r>
              <w:rPr>
                <w:lang w:val="pt-BR"/>
              </w:rPr>
              <w:t xml:space="preserve">Tháng 04/2026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7"/>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7"/>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7"/>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7"/>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7"/>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7"/>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7"/>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7"/>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pPr>
        <w:pStyle w:val="1027"/>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7"/>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7"/>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7"/>
        <w:numPr>
          <w:ilvl w:val="0"/>
          <w:numId w:val="2"/>
        </w:numPr>
        <w:pBdr/>
        <w:tabs>
          <w:tab w:val="left" w:leader="none" w:pos="993"/>
        </w:tabs>
        <w:spacing w:after="120" w:before="120" w:line="276" w:lineRule="auto"/>
        <w:ind/>
        <w:jc w:val="both"/>
        <w:rPr>
          <w:i/>
          <w:iCs/>
          <w:lang w:val="pt-BR"/>
        </w:rPr>
      </w:pPr>
      <w:r>
        <w:rPr>
          <w:bCs/>
          <w:color w:val="000000" w:themeColor="text1"/>
          <w:lang w:val="pt-BR"/>
        </w:rPr>
      </w:r>
      <w:r>
        <w:rPr>
          <w:rFonts w:ascii="Times New Roman" w:hAnsi="Times New Roman" w:eastAsia="Times New Roman" w:cs="Times New Roman"/>
          <w:b w:val="0"/>
          <w:bCs w:val="0"/>
          <w:color w:val="000000"/>
          <w:sz w:val="24"/>
        </w:rPr>
        <w:t xml:space="preserve">Giấy chứng nhận Quyền sử dụng đất</w:t>
      </w:r>
      <w:r>
        <w:rPr>
          <w:rFonts w:ascii="Times New Roman" w:hAnsi="Times New Roman" w:eastAsia="Times New Roman" w:cs="Times New Roman"/>
          <w:b w:val="0"/>
          <w:bCs w:val="0"/>
          <w:color w:val="000000"/>
          <w:sz w:val="24"/>
        </w:rPr>
        <w:t xml:space="preserve">, quyền sở hữu nhà ở và tài sản khác gắn liền với đất số: DP 476194, số vào sổ cấp Giấy chứng nhận: VP 00403 do Văn phòng đăng ký đất đai Hà Nội cấp ngày  11/06/2024 cho Ông Vũ Thái Trung và bà</w:t>
      </w:r>
      <w:r>
        <w:rPr>
          <w:b w:val="0"/>
          <w:bCs w:val="0"/>
          <w:i/>
          <w:iCs/>
        </w:rPr>
        <w:t xml:space="preserve"> </w:t>
      </w:r>
      <w:r>
        <w:rPr>
          <w:b w:val="0"/>
          <w:bCs w:val="0"/>
          <w:i w:val="0"/>
          <w:iCs w:val="0"/>
        </w:rPr>
        <w:t xml:space="preserve">Phạm Thanh Tú</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7"/>
        <w:numPr>
          <w:ilvl w:val="0"/>
          <w:numId w:val="2"/>
        </w:numPr>
        <w:pBdr/>
        <w:tabs>
          <w:tab w:val="left" w:leader="none" w:pos="993"/>
        </w:tabs>
        <w:spacing w:after="120" w:before="120" w:line="276" w:lineRule="auto"/>
        <w:ind/>
        <w:jc w:val="both"/>
        <w:rPr>
          <w:b/>
          <w:lang w:val="pt-BR"/>
        </w:rPr>
      </w:pPr>
      <w:r>
        <w:rPr>
          <w:color w:val="000000" w:themeColor="text1"/>
          <w:lang w:val="pt-BR"/>
        </w:rPr>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275/2026/0521VFI-HĐTĐ.51.A</w:t>
      </w:r>
      <w:r>
        <w:rPr>
          <w:spacing w:val="-4"/>
          <w:lang w:val="vi-VN"/>
        </w:rPr>
        <w:t xml:space="preserve"> ký ngày </w:t>
      </w:r>
      <w:r>
        <w:rPr>
          <w:color w:val="000000" w:themeColor="text1"/>
          <w:spacing w:val="-4"/>
        </w:rPr>
        <w:t xml:space="preserve">2 tháng 4 năm 2026</w:t>
      </w:r>
      <w:r>
        <w:rPr>
          <w:spacing w:val="-4"/>
          <w:lang w:val="vi-VN"/>
        </w:rPr>
        <w:t xml:space="preserve"> </w:t>
      </w:r>
      <w:r>
        <w:rPr>
          <w:spacing w:val="-4"/>
          <w:lang w:val="vi-VN"/>
        </w:rPr>
        <w:t xml:space="preserve">giữa </w:t>
      </w:r>
      <w:r>
        <w:rPr>
          <w:color w:val="000000" w:themeColor="text1"/>
          <w:spacing w:val="-4"/>
        </w:rPr>
        <w:t xml:space="preserve">Công ty Cổ phần Đầu tư và Xây dựng VINA2</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color w:val="000000" w:themeColor="text1"/>
          <w:lang w:val="pt-BR"/>
        </w:rPr>
        <w:t xml:space="preserve">.</w:t>
      </w:r>
      <w:r>
        <w:rPr>
          <w:b/>
          <w:lang w:val="pt-BR"/>
        </w:rPr>
      </w:r>
      <w:r>
        <w:rPr>
          <w:b/>
          <w:lang w:val="pt-BR"/>
        </w:rPr>
      </w:r>
    </w:p>
    <w:p>
      <w:pPr>
        <w:pStyle w:val="1027"/>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Style w:val="1027"/>
        <w:numPr>
          <w:ilvl w:val="0"/>
          <w:numId w:val="39"/>
        </w:numPr>
        <w:pBdr>
          <w:top w:val="none" w:color="000000" w:sz="4" w:space="0"/>
          <w:left w:val="none" w:color="000000" w:sz="4" w:space="0"/>
          <w:bottom w:val="none" w:color="000000" w:sz="4" w:space="0"/>
          <w:right w:val="none" w:color="000000" w:sz="4" w:space="0"/>
        </w:pBdr>
        <w:tabs>
          <w:tab w:val="left" w:leader="none" w:pos="360"/>
        </w:tabs>
        <w:spacing w:after="120" w:before="120" w:line="264" w:lineRule="auto"/>
        <w:ind w:right="0" w:firstLine="0" w:left="0"/>
        <w:jc w:val="both"/>
        <w:rPr/>
      </w:pPr>
      <w:r>
        <w:rPr>
          <w:rFonts w:ascii="Times New Roman" w:hAnsi="Times New Roman" w:eastAsia="Times New Roman" w:cs="Times New Roman"/>
          <w:color w:val="000000"/>
          <w:sz w:val="24"/>
        </w:rPr>
        <w:t xml:space="preserve">Mới đây nhất, UBND xã An Khánh (Hà Nội) vừa phê duyệt điều chỉnh cục bộ quy hoạch chi tiết tại khu đô thị Nam An Khánh và phần mở rộng khu B, liên quan đến ô đất HH3 do Công ty CP Đầu tư Sông Đà – Việt Đức làm chủ đầu tư.</w:t>
      </w:r>
      <w:r/>
    </w:p>
    <w:p>
      <w:pPr>
        <w:pStyle w:val="1027"/>
        <w:numPr>
          <w:ilvl w:val="0"/>
          <w:numId w:val="39"/>
        </w:numPr>
        <w:pBdr>
          <w:top w:val="none" w:color="000000" w:sz="4" w:space="0"/>
          <w:left w:val="none" w:color="000000" w:sz="4" w:space="0"/>
          <w:bottom w:val="none" w:color="000000" w:sz="4" w:space="0"/>
          <w:right w:val="none" w:color="000000" w:sz="4" w:space="0"/>
        </w:pBdr>
        <w:tabs>
          <w:tab w:val="left" w:leader="none" w:pos="360"/>
        </w:tabs>
        <w:spacing w:after="120" w:before="120" w:line="264" w:lineRule="auto"/>
        <w:ind w:right="0" w:firstLine="0" w:left="0"/>
        <w:jc w:val="both"/>
        <w:rPr/>
      </w:pPr>
      <w:r>
        <w:rPr>
          <w:rFonts w:ascii="Times New Roman" w:hAnsi="Times New Roman" w:eastAsia="Times New Roman" w:cs="Times New Roman"/>
          <w:color w:val="000000"/>
          <w:sz w:val="24"/>
        </w:rPr>
        <w:t xml:space="preserve">Theo quy hoạch mới, ô đất HH3 rộng hơn 40.000 m² vẫn giữ nguyên diện tích, song quy mô dân số được nâng lên mức 5.409 người. Khu đất này được định hướng phát triển thành quần thể đa chức năng, bao gồm căn hộ cao cấp, văn phòng, khách sạn, thương mại dịch v</w:t>
      </w:r>
      <w:r>
        <w:rPr>
          <w:rFonts w:ascii="Times New Roman" w:hAnsi="Times New Roman" w:eastAsia="Times New Roman" w:cs="Times New Roman"/>
          <w:color w:val="000000"/>
          <w:sz w:val="24"/>
        </w:rPr>
        <w:t xml:space="preserve">ụ và công trình công cộng.</w:t>
      </w:r>
      <w:r/>
    </w:p>
    <w:p>
      <w:pPr>
        <w:pStyle w:val="1027"/>
        <w:numPr>
          <w:ilvl w:val="0"/>
          <w:numId w:val="39"/>
        </w:numPr>
        <w:pBdr>
          <w:top w:val="none" w:color="000000" w:sz="4" w:space="0"/>
          <w:left w:val="none" w:color="000000" w:sz="4" w:space="0"/>
          <w:bottom w:val="none" w:color="000000" w:sz="4" w:space="0"/>
          <w:right w:val="none" w:color="000000" w:sz="4" w:space="0"/>
        </w:pBdr>
        <w:tabs>
          <w:tab w:val="left" w:leader="none" w:pos="360"/>
        </w:tabs>
        <w:spacing w:after="120" w:before="120" w:line="264" w:lineRule="auto"/>
        <w:ind w:right="0" w:firstLine="0" w:left="0"/>
        <w:jc w:val="both"/>
        <w:rPr/>
      </w:pPr>
      <w:r>
        <w:rPr>
          <w:rFonts w:ascii="Times New Roman" w:hAnsi="Times New Roman" w:eastAsia="Times New Roman" w:cs="Times New Roman"/>
          <w:color w:val="000000"/>
          <w:sz w:val="24"/>
        </w:rPr>
        <w:t xml:space="preserve">Điểm nhấn của phương án điều chỉnh là 6 tòa tháp cao 31–40 tầng, bao quanh khối nhà để xe cao 7 tầng đặt ở vị trí trung tâm. Trên mái khối đế sẽ bố trí không gian cây xanh, sân vườn và khu thể thao, tạo nên một hệ tiện ích nổi kết hợp với cảnh quan hiện đạ</w:t>
      </w:r>
      <w:r>
        <w:rPr>
          <w:rFonts w:ascii="Times New Roman" w:hAnsi="Times New Roman" w:eastAsia="Times New Roman" w:cs="Times New Roman"/>
          <w:color w:val="000000"/>
          <w:sz w:val="24"/>
        </w:rPr>
        <w:t xml:space="preserve">i.</w:t>
      </w:r>
      <w:r/>
    </w:p>
    <w:p>
      <w:pPr>
        <w:pStyle w:val="1027"/>
        <w:numPr>
          <w:ilvl w:val="0"/>
          <w:numId w:val="39"/>
        </w:numPr>
        <w:pBdr>
          <w:top w:val="none" w:color="000000" w:sz="4" w:space="0"/>
          <w:left w:val="none" w:color="000000" w:sz="4" w:space="0"/>
          <w:bottom w:val="none" w:color="000000" w:sz="4" w:space="0"/>
          <w:right w:val="none" w:color="000000" w:sz="4" w:space="0"/>
        </w:pBdr>
        <w:tabs>
          <w:tab w:val="left" w:leader="none" w:pos="360"/>
        </w:tabs>
        <w:spacing w:after="120" w:before="120" w:line="264" w:lineRule="auto"/>
        <w:ind w:right="0" w:firstLine="0" w:left="0"/>
        <w:jc w:val="both"/>
        <w:rPr/>
      </w:pPr>
      <w:r>
        <w:rPr>
          <w:rFonts w:ascii="Times New Roman" w:hAnsi="Times New Roman" w:eastAsia="Times New Roman" w:cs="Times New Roman"/>
          <w:color w:val="000000"/>
          <w:sz w:val="24"/>
        </w:rPr>
        <w:t xml:space="preserve">Dù chưa chính thức được công bố nhưng dự kiến trong các tháng cuối năm, một dự án chung cư mới cũng sẽ chính thức tung nguồn hàng. Đó là dự án </w:t>
      </w:r>
      <w:hyperlink r:id="rId17" w:tooltip="https://batdongsan.com.vn/ban-can-ho-chung-cu-an-binh-homeland" w:history="1">
        <w:r>
          <w:rPr>
            <w:rStyle w:val="1017"/>
            <w:rFonts w:ascii="Times New Roman" w:hAnsi="Times New Roman" w:eastAsia="Times New Roman" w:cs="Times New Roman"/>
            <w:color w:val="000000"/>
            <w:sz w:val="24"/>
            <w:u w:val="single"/>
          </w:rPr>
          <w:t xml:space="preserve">An Bình HomeLand </w:t>
        </w:r>
      </w:hyperlink>
      <w:r>
        <w:rPr>
          <w:rFonts w:ascii="Times New Roman" w:hAnsi="Times New Roman" w:eastAsia="Times New Roman" w:cs="Times New Roman"/>
          <w:color w:val="000000"/>
          <w:sz w:val="24"/>
        </w:rPr>
        <w:t xml:space="preserve">có vị trí tại KĐT Geleximco – Lê Trọng Tấn, Hà Đông, Hà Nội. An Bình Homeland được phát triển trên khu đất có diện tích hơn 18.000m2 do Công ty CP Ngôi Sao An Bình, Tập đoàn Geleximco làm chủ đầu tư. Dự án gồm 4 tòa tháp cao 25 tầng, đa dạng từ căn 2 phòng</w:t>
      </w:r>
      <w:r>
        <w:rPr>
          <w:rFonts w:ascii="Times New Roman" w:hAnsi="Times New Roman" w:eastAsia="Times New Roman" w:cs="Times New Roman"/>
          <w:color w:val="000000"/>
          <w:sz w:val="24"/>
        </w:rPr>
        <w:t xml:space="preserve"> ngủ tới căn duplex, diện tích dao động từ 68-160m2. Hiện dự án An Bình HomeLand đang nhận booking.</w:t>
      </w:r>
      <w:r/>
    </w:p>
    <w:p>
      <w:pPr>
        <w:pStyle w:val="1027"/>
        <w:numPr>
          <w:ilvl w:val="0"/>
          <w:numId w:val="39"/>
        </w:numPr>
        <w:pBdr>
          <w:top w:val="none" w:color="000000" w:sz="4" w:space="0"/>
          <w:left w:val="none" w:color="000000" w:sz="4" w:space="0"/>
          <w:bottom w:val="none" w:color="000000" w:sz="4" w:space="0"/>
          <w:right w:val="none" w:color="000000" w:sz="4" w:space="0"/>
        </w:pBdr>
        <w:tabs>
          <w:tab w:val="left" w:leader="none" w:pos="360"/>
        </w:tabs>
        <w:spacing w:after="120" w:before="120" w:line="264" w:lineRule="auto"/>
        <w:ind w:right="0" w:firstLine="0" w:left="0"/>
        <w:jc w:val="both"/>
        <w:rPr/>
      </w:pPr>
      <w:r>
        <w:rPr>
          <w:rFonts w:ascii="Times New Roman" w:hAnsi="Times New Roman" w:eastAsia="Times New Roman" w:cs="Times New Roman"/>
          <w:color w:val="000000"/>
          <w:sz w:val="24"/>
        </w:rPr>
        <w:t xml:space="preserve">Tại đại đô thị </w:t>
      </w:r>
      <w:hyperlink r:id="rId18" w:tooltip="https://batdongsan.com.vn/ban-can-ho-chung-cu-xa-duong-xa-prj-vinhomes-ocean-park-gia-lam" w:history="1">
        <w:r>
          <w:rPr>
            <w:rStyle w:val="1017"/>
            <w:rFonts w:ascii="Times New Roman" w:hAnsi="Times New Roman" w:eastAsia="Times New Roman" w:cs="Times New Roman"/>
            <w:color w:val="000000"/>
            <w:sz w:val="24"/>
            <w:u w:val="single"/>
          </w:rPr>
          <w:t xml:space="preserve">Vinhomes Ocean Park</w:t>
        </w:r>
      </w:hyperlink>
      <w:r>
        <w:rPr>
          <w:rFonts w:ascii="Times New Roman" w:hAnsi="Times New Roman" w:eastAsia="Times New Roman" w:cs="Times New Roman"/>
          <w:color w:val="000000"/>
          <w:sz w:val="24"/>
        </w:rPr>
        <w:t xml:space="preserve"> (Gia Lâm), chủ đầu tư Masterise Homes tiếp tục tung nguồn hàng mới là dự án Lumiere Bayfront. Dự án nằm bên hồ Ngọc Trai của khu đô thị với diện tích xây dựng hơn 28.000 m², gồm 2 tòa tháp cao 30 tầng, tổng diện tích sàn đạt gần 100.000 m2 cùng hệ thống h</w:t>
      </w:r>
      <w:r>
        <w:rPr>
          <w:rFonts w:ascii="Times New Roman" w:hAnsi="Times New Roman" w:eastAsia="Times New Roman" w:cs="Times New Roman"/>
          <w:color w:val="000000"/>
          <w:sz w:val="24"/>
        </w:rPr>
        <w:t xml:space="preserve">ầm rộng hơn 56.000 m2. Cơ cấu căn hộ đa dạng từ studio 30–40 m2, căn 1 phòng ngủ và 1PN+ từ 45–55 m2, 2 phòng ngủ từ 65–75 m², 3 phòng ngủ từ 85–105 m² cho tới các căn hộ penthouse và duplex. Lumiere Bayfront sẽ cung cấp cho thị trường khoảng 1.000 căn hộ </w:t>
      </w:r>
      <w:r>
        <w:rPr>
          <w:rFonts w:ascii="Times New Roman" w:hAnsi="Times New Roman" w:eastAsia="Times New Roman" w:cs="Times New Roman"/>
          <w:color w:val="000000"/>
          <w:sz w:val="24"/>
        </w:rPr>
        <w:t xml:space="preserve">cao cấp.</w:t>
      </w:r>
      <w:r/>
    </w:p>
    <w:p>
      <w:pPr>
        <w:pStyle w:val="1027"/>
        <w:numPr>
          <w:ilvl w:val="0"/>
          <w:numId w:val="39"/>
        </w:numPr>
        <w:pBdr>
          <w:top w:val="none" w:color="000000" w:sz="4" w:space="0"/>
          <w:left w:val="none" w:color="000000" w:sz="4" w:space="0"/>
          <w:bottom w:val="none" w:color="000000" w:sz="4" w:space="0"/>
          <w:right w:val="none" w:color="000000" w:sz="4" w:space="0"/>
        </w:pBdr>
        <w:tabs>
          <w:tab w:val="left" w:leader="none" w:pos="360"/>
        </w:tabs>
        <w:spacing w:after="120" w:before="120" w:line="264" w:lineRule="auto"/>
        <w:ind w:right="0" w:firstLine="0" w:left="0"/>
        <w:jc w:val="both"/>
        <w:rPr/>
      </w:pPr>
      <w:r>
        <w:rPr>
          <w:rFonts w:ascii="Times New Roman" w:hAnsi="Times New Roman" w:eastAsia="Times New Roman" w:cs="Times New Roman"/>
          <w:color w:val="000000"/>
          <w:sz w:val="24"/>
        </w:rPr>
        <w:t xml:space="preserve">Phần lớn các dự án trên đều đang trong giai đoạn nhận booking hoặc vừa được giới thiệu, dự kiến tung nguồn hàng thời gian tới. Dù chưa có giá chính thức, nhưng với diễn biến hiện tại của thị trường chung cư Hà Nội, các dự án chắc chắn sẽ không có đơn giá d</w:t>
      </w:r>
      <w:r>
        <w:rPr>
          <w:rFonts w:ascii="Times New Roman" w:hAnsi="Times New Roman" w:eastAsia="Times New Roman" w:cs="Times New Roman"/>
          <w:color w:val="000000"/>
          <w:sz w:val="24"/>
        </w:rPr>
        <w:t xml:space="preserve">ưới 80 triệu đồng/m2. Trên thực tế, hàng loạt dự án </w:t>
      </w:r>
      <w:hyperlink r:id="rId19" w:tooltip="https://batdongsan.com.vn/ban-can-ho-chung-cu-ha-noi" w:history="1">
        <w:r>
          <w:rPr>
            <w:rStyle w:val="1017"/>
            <w:rFonts w:ascii="Times New Roman" w:hAnsi="Times New Roman" w:eastAsia="Times New Roman" w:cs="Times New Roman"/>
            <w:color w:val="000000"/>
            <w:sz w:val="24"/>
            <w:u w:val="single"/>
          </w:rPr>
          <w:t xml:space="preserve">chung cư Hà Nội</w:t>
        </w:r>
      </w:hyperlink>
      <w:r>
        <w:rPr>
          <w:rFonts w:ascii="Times New Roman" w:hAnsi="Times New Roman" w:eastAsia="Times New Roman" w:cs="Times New Roman"/>
          <w:color w:val="000000"/>
          <w:sz w:val="24"/>
        </w:rPr>
        <w:t xml:space="preserve"> ra hàng thời gian qua đều ghi nhận giá bán cao ngất ngưởng. Thị trường căn hộ Hà Nội đang bước vào giai đoạn “leo thang chưa từng có về giá” khi loạt dự án cao cấp, hạng sang ồ ạt ra hàng, liên tục thiết lập mặt bằng giá mới. Điều gây chú ý là giá bán nhi</w:t>
      </w:r>
      <w:r>
        <w:rPr>
          <w:rFonts w:ascii="Times New Roman" w:hAnsi="Times New Roman" w:eastAsia="Times New Roman" w:cs="Times New Roman"/>
          <w:color w:val="000000"/>
          <w:sz w:val="24"/>
        </w:rPr>
        <w:t xml:space="preserve">ều căn hộ đã vượt cả biệt thự liền kề, tạo nên những con số khiến ngay cả giới đầu tư cũng phải bất ngờ.</w:t>
      </w:r>
      <w:r/>
    </w:p>
    <w:p>
      <w:pPr>
        <w:pStyle w:val="1027"/>
        <w:numPr>
          <w:ilvl w:val="0"/>
          <w:numId w:val="39"/>
        </w:numPr>
        <w:pBdr>
          <w:top w:val="none" w:color="000000" w:sz="4" w:space="0"/>
          <w:left w:val="none" w:color="000000" w:sz="4" w:space="0"/>
          <w:bottom w:val="none" w:color="000000" w:sz="4" w:space="0"/>
          <w:right w:val="none" w:color="000000" w:sz="4" w:space="0"/>
        </w:pBdr>
        <w:tabs>
          <w:tab w:val="left" w:leader="none" w:pos="360"/>
        </w:tabs>
        <w:spacing w:after="120" w:before="120" w:line="264" w:lineRule="auto"/>
        <w:ind w:right="0" w:firstLine="0" w:left="0"/>
        <w:jc w:val="both"/>
        <w:rPr/>
      </w:pPr>
      <w:r>
        <w:rPr>
          <w:rFonts w:ascii="Times New Roman" w:hAnsi="Times New Roman" w:eastAsia="Times New Roman" w:cs="Times New Roman"/>
          <w:color w:val="000000"/>
          <w:sz w:val="24"/>
        </w:rPr>
        <w:t xml:space="preserve">Ở phía Đông thành phố, </w:t>
      </w:r>
      <w:hyperlink r:id="rId20" w:tooltip="https://batdongsan.com.vn/ban-can-ho-chung-cu-long-bien-central" w:history="1">
        <w:r>
          <w:rPr>
            <w:rStyle w:val="1017"/>
            <w:rFonts w:ascii="Times New Roman" w:hAnsi="Times New Roman" w:eastAsia="Times New Roman" w:cs="Times New Roman"/>
            <w:color w:val="000000"/>
            <w:sz w:val="24"/>
            <w:u w:val="single"/>
          </w:rPr>
          <w:t xml:space="preserve">Long Biên Central</w:t>
        </w:r>
      </w:hyperlink>
      <w:r>
        <w:rPr>
          <w:rFonts w:ascii="Times New Roman" w:hAnsi="Times New Roman" w:eastAsia="Times New Roman" w:cs="Times New Roman"/>
          <w:color w:val="000000"/>
          <w:sz w:val="24"/>
        </w:rPr>
        <w:t xml:space="preserve"> mở bán với mức giá từ 110 – 130 triệu đồng/m2. Tính ra, một căn hộ 70 m2 có giá 8 tỷ đồng – đây là ngưỡng giá vốn chỉ quen thuộc ở biệt thự hay nhà phố trung tâm. Tại phía Tây, thuộc phường Cầu Giấy, </w:t>
      </w:r>
      <w:hyperlink r:id="rId21" w:tooltip="https://batdongsan.com.vn/ban-can-ho-chung-cu-sun-feliza-suites" w:history="1">
        <w:r>
          <w:rPr>
            <w:rStyle w:val="1017"/>
            <w:rFonts w:ascii="Times New Roman" w:hAnsi="Times New Roman" w:eastAsia="Times New Roman" w:cs="Times New Roman"/>
            <w:color w:val="000000"/>
            <w:sz w:val="24"/>
            <w:u w:val="single"/>
          </w:rPr>
          <w:t xml:space="preserve">Sun Feliza</w:t>
        </w:r>
      </w:hyperlink>
      <w:r>
        <w:rPr>
          <w:rFonts w:ascii="Times New Roman" w:hAnsi="Times New Roman" w:eastAsia="Times New Roman" w:cs="Times New Roman"/>
          <w:color w:val="000000"/>
          <w:sz w:val="24"/>
        </w:rPr>
        <w:t xml:space="preserve"> lập kỷ lục mới khi chào bán 140 – 200 triệu đồng/m2, đồng nghĩa người mua cần chi 10 – 14 tỷ đồng cho diện tích tương tự. Dự án The Matrix Premium cũng có mức giá khủng, khoảng 140-180 triệu đồng/m2. </w:t>
      </w:r>
      <w:hyperlink r:id="rId22" w:tooltip="https://batdongsan.com.vn/ban-can-ho-chung-cu-hausman-premium-residences" w:history="1">
        <w:r>
          <w:rPr>
            <w:rStyle w:val="1017"/>
            <w:rFonts w:ascii="Times New Roman" w:hAnsi="Times New Roman" w:eastAsia="Times New Roman" w:cs="Times New Roman"/>
            <w:color w:val="000000"/>
            <w:sz w:val="24"/>
            <w:u w:val="single"/>
          </w:rPr>
          <w:t xml:space="preserve">Hausman Premium</w:t>
        </w:r>
      </w:hyperlink>
      <w:r>
        <w:rPr>
          <w:rFonts w:ascii="Times New Roman" w:hAnsi="Times New Roman" w:eastAsia="Times New Roman" w:cs="Times New Roman"/>
          <w:color w:val="000000"/>
          <w:sz w:val="24"/>
        </w:rPr>
        <w:t xml:space="preserve"> ở Đại Mỗ cũng gia nhập “câu lạc bộ trăm triệu” với giá 100 – 120 triệu đồng/m2. Đỉnh cao của cuộc đua giá thuộc về Noble Crystal Tây Hồ (Ciputra) với bảng giá sơ cấp 180 – 330 triệu đồng/m2. Một căn hộ 80 m2 đã tiêu tốn 25 – 26 tỷ đồng, trong khi các căn </w:t>
      </w:r>
      <w:r>
        <w:rPr>
          <w:rFonts w:ascii="Times New Roman" w:hAnsi="Times New Roman" w:eastAsia="Times New Roman" w:cs="Times New Roman"/>
          <w:color w:val="000000"/>
          <w:sz w:val="24"/>
        </w:rPr>
        <w:t xml:space="preserve">Sky Villa chạm ngưỡng trăm tỷ.</w:t>
      </w:r>
      <w:r/>
    </w:p>
    <w:p>
      <w:pPr>
        <w:pStyle w:val="1027"/>
        <w:numPr>
          <w:ilvl w:val="0"/>
          <w:numId w:val="39"/>
        </w:numPr>
        <w:pBdr>
          <w:top w:val="none" w:color="000000" w:sz="4" w:space="0"/>
          <w:left w:val="none" w:color="000000" w:sz="4" w:space="0"/>
          <w:bottom w:val="none" w:color="000000" w:sz="4" w:space="0"/>
          <w:right w:val="none" w:color="000000" w:sz="4" w:space="0"/>
        </w:pBdr>
        <w:tabs>
          <w:tab w:val="left" w:leader="none" w:pos="360"/>
        </w:tabs>
        <w:spacing w:after="120" w:before="120" w:line="264" w:lineRule="auto"/>
        <w:ind w:right="0" w:firstLine="0" w:left="0"/>
        <w:jc w:val="both"/>
        <w:rPr/>
      </w:pPr>
      <w:r>
        <w:rPr>
          <w:rFonts w:ascii="Times New Roman" w:hAnsi="Times New Roman" w:eastAsia="Times New Roman" w:cs="Times New Roman"/>
          <w:color w:val="000000"/>
          <w:sz w:val="24"/>
        </w:rPr>
        <w:t xml:space="preserve">Việc giá chung cư Hà Nội liên tục tăng đang tiềm ẩn nhiều dấu hiệu bất ổn cho thị trường. Ông Nguyễn Văn Đính, Chủ tịch Hội Môi giới Bất động sản Việt Nam, cho rằng mặt bằng giá hiện nay đã vượt xa khả năng chi trả của phần lớn người dân, tạo ra sự lệch ph</w:t>
      </w:r>
      <w:r>
        <w:rPr>
          <w:rFonts w:ascii="Times New Roman" w:hAnsi="Times New Roman" w:eastAsia="Times New Roman" w:cs="Times New Roman"/>
          <w:color w:val="000000"/>
          <w:sz w:val="24"/>
        </w:rPr>
        <w:t xml:space="preserve">a cung – cầu rõ rệt. Khi nhu cầu thực khó có thể hấp thụ, thị trường dễ rơi vào tình trạng “bong bóng cục bộ”, chỉ phục vụ nhóm khách hàng siêu giàu. Nếu xu hướng này kéo dài, dòng tiền đầu tư có nguy cơ bị dồn vào một phân khúc hẹp, trong khi phân khúc tr</w:t>
      </w:r>
      <w:r>
        <w:rPr>
          <w:rFonts w:ascii="Times New Roman" w:hAnsi="Times New Roman" w:eastAsia="Times New Roman" w:cs="Times New Roman"/>
          <w:color w:val="000000"/>
          <w:sz w:val="24"/>
        </w:rPr>
        <w:t xml:space="preserve">ung cấp và bình dân – vốn chiếm nhu cầu lớn nhất – lại thiếu hụt nguồn cung. Điều này không chỉ ảnh hưởng đến sự phát triển cân bằng của thị trường mà còn có thể làm gia tăng rủi ro thanh khoản, khiến thị trường bất động sản trở thành cuộc chơi mang tính đ</w:t>
      </w:r>
      <w:r>
        <w:rPr>
          <w:rFonts w:ascii="Times New Roman" w:hAnsi="Times New Roman" w:eastAsia="Times New Roman" w:cs="Times New Roman"/>
          <w:color w:val="000000"/>
          <w:sz w:val="24"/>
        </w:rPr>
        <w:t xml:space="preserve">ầu cơ nhiều hơn là giá trị ở thực.</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color w:val="000000"/>
          <w:sz w:val="24"/>
        </w:rPr>
        <w:t xml:space="preserve">(https://batdongsan.com.vn/tin-tuc/ha-noi-doi-dao-nguon-cung-moi-mat-bang-gia-van-leo-thang-cd-hn-846730)</w:t>
      </w:r>
      <w:r/>
    </w:p>
    <w:p>
      <w:pPr>
        <w:pBdr/>
        <w:tabs>
          <w:tab w:val="left" w:leader="none" w:pos="426"/>
        </w:tabs>
        <w:spacing w:after="120" w:before="120" w:line="276" w:lineRule="auto"/>
        <w:ind/>
        <w:rPr>
          <w:bCs/>
          <w:i/>
          <w:lang w:val="pt-BR"/>
        </w:rPr>
      </w:pPr>
      <w:r>
        <w:rPr>
          <w:bCs/>
          <w:i/>
          <w:lang w:val="pt-BR"/>
        </w:rPr>
      </w:r>
      <w:r>
        <w:rPr>
          <w:bCs/>
          <w:i/>
          <w:lang w:val="pt-BR"/>
        </w:rPr>
      </w:r>
      <w:r>
        <w:rPr>
          <w:bCs/>
          <w:i/>
          <w:lang w:val="pt-BR"/>
        </w:rPr>
      </w:r>
    </w:p>
    <w:p>
      <w:pPr>
        <w:pBdr/>
        <w:tabs>
          <w:tab w:val="left" w:leader="none" w:pos="426"/>
        </w:tabs>
        <w:spacing w:after="120" w:before="120" w:line="276" w:lineRule="auto"/>
        <w:ind/>
        <w:rPr>
          <w:bCs/>
          <w:i/>
          <w:lang w:val="pt-BR"/>
        </w:rPr>
      </w:pPr>
      <w:r>
        <w:rPr>
          <w:bCs/>
          <w:i/>
          <w:lang w:val="pt-BR"/>
        </w:rPr>
      </w:r>
      <w:r>
        <w:rPr>
          <w:bCs/>
          <w:i/>
          <w:lang w:val="pt-BR"/>
        </w:rPr>
      </w:r>
      <w:r>
        <w:rPr>
          <w:bCs/>
          <w:i/>
          <w:lang w:val="pt-BR"/>
        </w:rPr>
      </w:r>
    </w:p>
    <w:p>
      <w:pPr>
        <w:pBdr/>
        <w:tabs>
          <w:tab w:val="left" w:leader="none" w:pos="426"/>
        </w:tabs>
        <w:spacing w:after="120" w:before="120" w:line="276" w:lineRule="auto"/>
        <w:ind/>
        <w:rPr>
          <w:bCs/>
          <w:i/>
          <w:lang w:val="pt-BR"/>
        </w:rPr>
      </w:pPr>
      <w:r>
        <w:rPr>
          <w:highlight w:val="none"/>
          <w:lang w:val="pt-BR"/>
        </w:rPr>
      </w:r>
      <w:r>
        <w:rPr>
          <w:bCs/>
          <w:i/>
          <w:lang w:val="pt-BR"/>
        </w:rPr>
      </w:r>
      <w:r>
        <w:rPr>
          <w:bCs/>
          <w:i/>
          <w:lang w:val="pt-BR"/>
        </w:rPr>
      </w:r>
    </w:p>
    <w:p>
      <w:pPr>
        <w:pBdr/>
        <w:tabs>
          <w:tab w:val="left" w:leader="none" w:pos="426"/>
        </w:tabs>
        <w:spacing w:after="120" w:before="120" w:line="276" w:lineRule="auto"/>
        <w:ind/>
        <w:rPr>
          <w:iCs/>
          <w:highlight w:val="none"/>
          <w:lang w:val="pt-BR"/>
        </w:rPr>
      </w:pPr>
      <w:r>
        <w:rPr>
          <w:lang w:val="pt-BR"/>
        </w:rPr>
        <w:tab/>
      </w:r>
      <w:r>
        <w:rPr>
          <w:iCs/>
          <w:highlight w:val="none"/>
          <w:lang w:val="pt-BR"/>
        </w:rPr>
      </w:r>
      <w:r>
        <w:rPr>
          <w:iCs/>
          <w:highlight w:val="none"/>
          <w:lang w:val="pt-BR"/>
        </w:rPr>
      </w:r>
    </w:p>
    <w:p>
      <w:pPr>
        <w:pStyle w:val="1027"/>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31"/>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878"/>
        <w:gridCol w:w="2126"/>
        <w:gridCol w:w="2268"/>
        <w:gridCol w:w="1984"/>
        <w:gridCol w:w="2269"/>
      </w:tblGrid>
      <w:tr>
        <w:trPr>
          <w:trHeight w:val="1697"/>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47" w:type="dxa"/>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Căn hộ chung cư số 805, Tòa nhà hỗn hợp dịch vụ công công, Văn phòng làm việc và nhà ở, số 61, tổ 15, phường Cầu Diễn, quận Nam Từ Liêm, Thành phố Hà Nội (</w:t>
            </w:r>
            <w:r>
              <w:rPr>
                <w:rFonts w:ascii="Times New Roman" w:hAnsi="Times New Roman" w:eastAsia="Times New Roman" w:cs="Times New Roman"/>
                <w:b/>
                <w:bCs/>
                <w:i/>
                <w:iCs/>
                <w:color w:val="000000"/>
                <w:sz w:val="24"/>
              </w:rPr>
              <w:t xml:space="preserve">Nay là phường Mỹ Đình 1, Thành phố Hà Nội</w:t>
            </w:r>
            <w:r>
              <w:rPr>
                <w:rFonts w:ascii="Times New Roman" w:hAnsi="Times New Roman" w:eastAsia="Times New Roman" w:cs="Times New Roman"/>
                <w:b/>
                <w:bCs/>
                <w:color w:val="000000"/>
                <w:sz w:val="24"/>
              </w:rPr>
              <w:t xml:space="preserve">).  theo Giấy chứng nhận Quyền sử dụng đất</w:t>
            </w:r>
            <w:r>
              <w:rPr>
                <w:rFonts w:ascii="Times New Roman" w:hAnsi="Times New Roman" w:eastAsia="Times New Roman" w:cs="Times New Roman"/>
                <w:b/>
                <w:bCs/>
                <w:color w:val="000000"/>
                <w:sz w:val="24"/>
              </w:rPr>
              <w:t xml:space="preserve">, quyền sở hữu nhà ở và tài sản khác gắn liền với đất số: DP 476194, số vào sổ cấp Giấy chứng nhận: VP 00403 do Văn phòng đăng ký đất đai Hà Nội cấp ngày  11/06/2024 cho Ông Vũ Thái Trung và bà</w:t>
            </w:r>
            <w:r>
              <w:rPr>
                <w:b/>
                <w:bCs/>
                <w:i/>
                <w:iCs/>
              </w:rPr>
              <w:t xml:space="preserve"> </w:t>
            </w:r>
            <w:r>
              <w:rPr>
                <w:b/>
                <w:bCs/>
                <w:i w:val="0"/>
                <w:iCs w:val="0"/>
              </w:rPr>
              <w:t xml:space="preserve">Phạm Thanh Tú</w:t>
            </w:r>
            <w:r>
              <w:rPr>
                <w:b/>
                <w:bCs/>
              </w:rPr>
              <w:t xml:space="preserve">.</w:t>
            </w:r>
            <w:r>
              <w:rPr>
                <w:b/>
                <w:bCs/>
              </w:rPr>
            </w:r>
            <w:r>
              <w:rPr>
                <w:b/>
                <w:bCs/>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Thửa đất số:</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Tờ bản đồ số :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r>
      <w:tr>
        <w:trPr>
          <w:trHeight w:val="328"/>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b w:val="0"/>
                <w:bCs w:val="0"/>
              </w:rPr>
            </w:pPr>
            <w:r>
              <w:rPr>
                <w:rFonts w:ascii="Times New Roman" w:hAnsi="Times New Roman" w:eastAsia="Times New Roman" w:cs="Times New Roman"/>
                <w:color w:val="000000"/>
                <w:sz w:val="24"/>
              </w:rPr>
            </w:r>
            <w:r>
              <w:rPr>
                <w:rFonts w:ascii="Times New Roman" w:hAnsi="Times New Roman" w:eastAsia="Times New Roman" w:cs="Times New Roman"/>
                <w:b w:val="0"/>
                <w:bCs w:val="0"/>
                <w:color w:val="000000"/>
                <w:sz w:val="24"/>
              </w:rPr>
              <w:t xml:space="preserve">Tòa nhà hỗn hợp dịch vụ công công, Văn phòng làm việc và nhà ở, số 61, tổ 15, phường Cầu Diễn, quận Nam Từ Liêm, Thành phố Hà Nội (</w:t>
            </w:r>
            <w:r>
              <w:rPr>
                <w:rFonts w:ascii="Times New Roman" w:hAnsi="Times New Roman" w:eastAsia="Times New Roman" w:cs="Times New Roman"/>
                <w:b w:val="0"/>
                <w:bCs w:val="0"/>
                <w:i/>
                <w:iCs/>
                <w:color w:val="000000"/>
                <w:sz w:val="24"/>
              </w:rPr>
              <w:t xml:space="preserve">Nay là phường Mỹ Đình 1, Thành phố Hà Nội</w:t>
            </w:r>
            <w:r>
              <w:rPr>
                <w:rFonts w:ascii="Times New Roman" w:hAnsi="Times New Roman" w:eastAsia="Times New Roman" w:cs="Times New Roman"/>
                <w:b w:val="0"/>
                <w:bCs w:val="0"/>
                <w:color w:val="000000"/>
                <w:sz w:val="24"/>
              </w:rPr>
              <w:t xml:space="preserve">)</w:t>
            </w:r>
            <w:r>
              <w:rPr>
                <w:b w:val="0"/>
                <w:bCs w:val="0"/>
              </w:rPr>
            </w:r>
            <w:r>
              <w:rPr>
                <w:b w:val="0"/>
                <w:bCs w:val="0"/>
              </w:rPr>
            </w:r>
          </w:p>
        </w:tc>
      </w:tr>
      <w:tr>
        <w:trPr>
          <w:trHeight w:val="32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2539,0 m</w:t>
            </w:r>
            <w:r>
              <w:rPr>
                <w:rFonts w:ascii="Times New Roman" w:hAnsi="Times New Roman" w:eastAsia="Times New Roman" w:cs="Times New Roman"/>
                <w:color w:val="000000"/>
                <w:sz w:val="20"/>
                <w:vertAlign w:val="superscript"/>
              </w:rPr>
              <w:t xml:space="preserve">2</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Sử dụng chung</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Mục đích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sử dụng: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Lâu dài</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Vị trí tài sản thẩm định trên bản đồ vệ tinh: 21.21.003178894965902, 105.80063879615572</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4383"/>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r>
            <w:r>
              <mc:AlternateContent>
                <mc:Choice Requires="wpg">
                  <w:drawing>
                    <wp:inline xmlns:wp="http://schemas.openxmlformats.org/drawingml/2006/wordprocessingDrawing" distT="0" distB="0" distL="0" distR="0">
                      <wp:extent cx="5403270" cy="283028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964684" name=""/>
                              <pic:cNvPicPr>
                                <a:picLocks noChangeAspect="1"/>
                              </pic:cNvPicPr>
                              <pic:nvPr/>
                            </pic:nvPicPr>
                            <pic:blipFill rotWithShape="1">
                              <a:blip r:embed="rId23"/>
                              <a:stretch/>
                            </pic:blipFill>
                            <pic:spPr bwMode="auto">
                              <a:xfrm flipH="0" flipV="0">
                                <a:off x="0" y="0"/>
                                <a:ext cx="5403269" cy="283028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25.45pt;height:222.86pt;mso-wrap-distance-left:0.00pt;mso-wrap-distance-top:0.00pt;mso-wrap-distance-right:0.00pt;mso-wrap-distance-bottom:0.00pt;z-index:1;" stroked="false">
                      <v:imagedata r:id="rId23" o:title=""/>
                      <o:lock v:ext="edit" rotation="t"/>
                    </v:shape>
                  </w:pict>
                </mc:Fallback>
              </mc:AlternateContent>
            </w:r>
            <w:r>
              <w:rPr>
                <w:rFonts w:ascii="Times New Roman" w:hAnsi="Times New Roman" w:eastAsia="Times New Roman" w:cs="Times New Roman"/>
                <w:color w:val="000000"/>
                <w:sz w:val="24"/>
              </w:rPr>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 thực tế:</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1" w:type="dxa"/>
            <w:vAlign w:val="center"/>
            <w:textDirection w:val="lrTb"/>
            <w:noWrap w:val="false"/>
          </w:tcPr>
          <w:p>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rFonts w:ascii="Times New Roman" w:hAnsi="Times New Roman" w:eastAsia="Times New Roman" w:cs="Times New Roman"/>
                <w:b w:val="0"/>
                <w:bCs w:val="0"/>
                <w:sz w:val="24"/>
              </w:rPr>
            </w:pPr>
            <w:r>
              <w:rPr>
                <w:rFonts w:ascii="Times New Roman" w:hAnsi="Times New Roman" w:eastAsia="Times New Roman" w:cs="Times New Roman"/>
                <w:color w:val="000000"/>
                <w:sz w:val="24"/>
              </w:rPr>
            </w:r>
            <w:r>
              <w:rPr>
                <w:rFonts w:ascii="Times New Roman" w:hAnsi="Times New Roman" w:eastAsia="Times New Roman" w:cs="Times New Roman"/>
                <w:b w:val="0"/>
                <w:bCs w:val="0"/>
                <w:color w:val="000000"/>
                <w:sz w:val="24"/>
              </w:rPr>
              <w:t xml:space="preserve">Tòa nhà hỗn hợp dịch vụ công công, Văn phòng làm việc và nhà ở, số 61, tổ 15, phường Cầu Diễn, quận Nam Từ Liêm, Thành phố Hà Nội (</w:t>
            </w:r>
            <w:r>
              <w:rPr>
                <w:rFonts w:ascii="Times New Roman" w:hAnsi="Times New Roman" w:eastAsia="Times New Roman" w:cs="Times New Roman"/>
                <w:b w:val="0"/>
                <w:bCs w:val="0"/>
                <w:i/>
                <w:iCs/>
                <w:color w:val="000000"/>
                <w:sz w:val="24"/>
              </w:rPr>
              <w:t xml:space="preserve">Nay là phường Mỹ Đình 1, Thành phố Hà Nội</w:t>
            </w:r>
            <w:r>
              <w:rPr>
                <w:rFonts w:ascii="Times New Roman" w:hAnsi="Times New Roman" w:eastAsia="Times New Roman" w:cs="Times New Roman"/>
                <w:b w:val="0"/>
                <w:bCs w:val="0"/>
                <w:color w:val="000000"/>
                <w:sz w:val="24"/>
              </w:rPr>
              <w:t xml:space="preserve">)</w:t>
            </w:r>
            <w:r>
              <w:rPr>
                <w:rFonts w:ascii="Times New Roman" w:hAnsi="Times New Roman" w:eastAsia="Times New Roman" w:cs="Times New Roman"/>
                <w:b w:val="0"/>
                <w:bCs w:val="0"/>
                <w:sz w:val="24"/>
              </w:rPr>
            </w:r>
            <w:r>
              <w:rPr>
                <w:rFonts w:ascii="Times New Roman" w:hAnsi="Times New Roman" w:eastAsia="Times New Roman" w:cs="Times New Roman"/>
                <w:b w:val="0"/>
                <w:bCs w:val="0"/>
                <w:sz w:val="24"/>
              </w:rPr>
            </w:r>
          </w:p>
        </w:tc>
      </w:tr>
      <w:tr>
        <w:trPr>
          <w:trHeight w:val="126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tiếp giáp:</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Đường Nguyễn Văn Giáp</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Khoảng cách đến trục đường chính: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Tòa chung cư nằm tiếp giáp </w:t>
            </w:r>
            <w:r>
              <w:rPr>
                <w:rFonts w:ascii="Times New Roman" w:hAnsi="Times New Roman" w:eastAsia="Times New Roman" w:cs="Times New Roman"/>
                <w:color w:val="000000"/>
                <w:sz w:val="24"/>
              </w:rPr>
              <w:t xml:space="preserve">đường Nguyễn Văn Giáp</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ind w:right="0" w:firstLine="0" w:left="0"/>
              <w:jc w:val="both"/>
              <w:rPr>
                <w:rFonts w:ascii="Times New Roman" w:hAnsi="Times New Roman" w:eastAsia="Times New Roman" w:cs="Times New Roman"/>
                <w:sz w:val="24"/>
                <w:szCs w:val="24"/>
              </w:rPr>
            </w:pPr>
            <w:r>
              <w:rPr>
                <w:rFonts w:ascii="Times New Roman" w:hAnsi="Times New Roman" w:eastAsia="Times New Roman" w:cs="Times New Roman"/>
                <w:color w:val="000000"/>
                <w:sz w:val="24"/>
              </w:rPr>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Thông tin về căn hộ</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Loại nhà ở:</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Căn hộ chung cư số 805</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căn hộ (m²)</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87,67 m</w:t>
            </w:r>
            <w:r>
              <w:rPr>
                <w:rFonts w:ascii="Times New Roman" w:hAnsi="Times New Roman" w:eastAsia="Times New Roman" w:cs="Times New Roman"/>
                <w:color w:val="000000"/>
                <w:sz w:val="20"/>
                <w:vertAlign w:val="superscript"/>
              </w:rPr>
              <w:t xml:space="preserve">2</w:t>
            </w:r>
            <w:r/>
          </w:p>
        </w:tc>
      </w:tr>
      <w:tr>
        <w:trPr>
          <w:trHeight w:val="661"/>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sở hữu</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sở hữu: </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Sở hữu riêng</w:t>
            </w:r>
            <w:r/>
          </w:p>
        </w:tc>
      </w:tr>
      <w:tr>
        <w:trPr>
          <w:trHeight w:val="429"/>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Tòa nhà:</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Tòa nhà Vinaconex 7</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tầng: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rPr>
              <w:t xml:space="preserve">Tầng 8/27 tầng </w:t>
            </w:r>
            <w:r>
              <w:rPr>
                <w:rFonts w:ascii="Times New Roman" w:hAnsi="Times New Roman" w:eastAsia="Times New Roman" w:cs="Times New Roman"/>
                <w:color w:val="000000"/>
                <w:sz w:val="24"/>
                <w:szCs w:val="24"/>
              </w:rPr>
            </w:r>
            <w:r>
              <w:rPr>
                <w:rFonts w:ascii="Times New Roman" w:hAnsi="Times New Roman" w:eastAsia="Times New Roman" w:cs="Times New Roman"/>
                <w:color w:val="000000"/>
                <w:sz w:val="24"/>
                <w:szCs w:val="24"/>
              </w:rPr>
            </w:r>
          </w:p>
          <w:p>
            <w:pPr>
              <w:pBdr>
                <w:top w:val="none" w:color="000000" w:sz="4" w:space="0"/>
                <w:left w:val="none" w:color="000000" w:sz="4" w:space="0"/>
                <w:bottom w:val="none" w:color="000000" w:sz="4" w:space="0"/>
                <w:right w:val="none" w:color="000000" w:sz="4" w:space="0"/>
              </w:pBdr>
              <w:spacing w:line="276" w:lineRule="auto"/>
              <w:ind w:right="0" w:firstLine="0" w:left="0"/>
              <w:jc w:val="center"/>
              <w:rPr>
                <w:rFonts w:ascii="Times New Roman" w:hAnsi="Times New Roman" w:eastAsia="Times New Roman" w:cs="Times New Roman"/>
                <w:sz w:val="24"/>
                <w:szCs w:val="24"/>
              </w:rPr>
            </w:pPr>
            <w:r>
              <w:rPr>
                <w:rFonts w:ascii="Times New Roman" w:hAnsi="Times New Roman" w:eastAsia="Times New Roman" w:cs="Times New Roman"/>
                <w:color w:val="000000"/>
                <w:sz w:val="24"/>
              </w:rPr>
              <w:t xml:space="preserve">(2 tầng kỹ thuật + tầng tum + tầng hầm) </w:t>
            </w:r>
            <w:r>
              <w:rPr>
                <w:rFonts w:ascii="Times New Roman" w:hAnsi="Times New Roman" w:eastAsia="Times New Roman" w:cs="Times New Roman"/>
                <w:sz w:val="24"/>
                <w:szCs w:val="24"/>
              </w:rPr>
            </w:r>
            <w:r>
              <w:rPr>
                <w:rFonts w:ascii="Times New Roman" w:hAnsi="Times New Roman" w:eastAsia="Times New Roman" w:cs="Times New Roman"/>
                <w:sz w:val="24"/>
                <w:szCs w:val="24"/>
              </w:rPr>
            </w:r>
          </w:p>
        </w:tc>
      </w:tr>
      <w:tr>
        <w:trPr>
          <w:trHeight w:val="70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cửa:</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ban công: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Tây </w:t>
            </w:r>
            <w:r/>
          </w:p>
        </w:tc>
      </w:tr>
      <w:tr>
        <w:trPr>
          <w:trHeight w:val="98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Cấu trúc: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3 phòng ngủ, 2 vệ sinh, phòng khách, phòng bếp</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Nội thất:</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Nội thất cơ bản</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647"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nội bộ:</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Cấp điện, cấp nước sạch, mạng internet,… hoàn thiện</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xung quanh:</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Mật độ dân cư:</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Đông đúc</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Đời sống dân cư:</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Lợi thế kinh doanh:</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Thích hợp để ở</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984"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Khả năng chuyển nhượng: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26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Tốt</w:t>
            </w:r>
            <w:r/>
          </w:p>
        </w:tc>
      </w:tr>
      <w:tr>
        <w:trPr>
          <w:trHeight w:val="20"/>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878"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4</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Hiện trạng:</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6521"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Tại thời điểm khảo sát, căn hộ chung cư đang được dùng để cho thuê.</w:t>
            </w:r>
            <w:r/>
          </w:p>
        </w:tc>
      </w:tr>
    </w:tbl>
    <w:p>
      <w:pPr>
        <w:pBdr/>
        <w:spacing w:line="235" w:lineRule="auto"/>
        <w:ind w:left="0"/>
        <w:jc w:val="both"/>
        <w:rPr>
          <w:u w:val="single"/>
        </w:rPr>
      </w:pPr>
      <w:r>
        <w:rPr>
          <w:u w:val="single"/>
        </w:rPr>
      </w:r>
      <w:r>
        <w:rPr>
          <w:u w:val="single"/>
        </w:rPr>
      </w:r>
      <w:r>
        <w:rPr>
          <w:u w:val="single"/>
        </w:rPr>
      </w:r>
    </w:p>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7"/>
        <w:pBdr/>
        <w:tabs>
          <w:tab w:val="left" w:leader="none" w:pos="993"/>
        </w:tabs>
        <w:spacing w:after="120" w:before="240" w:line="276" w:lineRule="auto"/>
        <w:ind w:left="0"/>
        <w:jc w:val="both"/>
        <w:rPr>
          <w:b/>
          <w:bCs/>
          <w:lang w:val="pt-BR"/>
        </w:rPr>
      </w:pPr>
      <w:r>
        <w:rPr>
          <w:b/>
          <w:bCs/>
          <w:highlight w:val="none"/>
          <w:lang w:val="pt-BR"/>
        </w:rPr>
      </w:r>
      <w:r>
        <w:rPr>
          <w:b/>
          <w:bCs/>
          <w:lang w:val="pt-BR"/>
        </w:rPr>
      </w:r>
      <w:r>
        <w:rPr>
          <w:b/>
          <w:bCs/>
          <w:lang w:val="pt-BR"/>
        </w:rPr>
      </w:r>
    </w:p>
    <w:p>
      <w:pPr>
        <w:pStyle w:val="1027"/>
        <w:pBdr/>
        <w:tabs>
          <w:tab w:val="left" w:leader="none" w:pos="993"/>
        </w:tabs>
        <w:spacing w:after="120" w:before="240" w:line="276" w:lineRule="auto"/>
        <w:ind w:left="0"/>
        <w:jc w:val="both"/>
        <w:rPr>
          <w:b/>
          <w:bCs/>
          <w:highlight w:val="none"/>
          <w:lang w:val="pt-BR"/>
        </w:rPr>
      </w:pPr>
      <w:r>
        <w:rPr>
          <w:b/>
          <w:bCs/>
          <w:highlight w:val="none"/>
          <w:lang w:val="pt-BR"/>
        </w:rPr>
      </w:r>
      <w:r>
        <w:rPr>
          <w:b/>
          <w:bCs/>
          <w:highlight w:val="none"/>
          <w:lang w:val="pt-BR"/>
        </w:rPr>
      </w:r>
      <w:r>
        <w:rPr>
          <w:b/>
          <w:bCs/>
          <w:highlight w:val="none"/>
          <w:lang w:val="pt-BR"/>
        </w:rPr>
      </w:r>
    </w:p>
    <w:p>
      <w:pPr>
        <w:pStyle w:val="1027"/>
        <w:pBdr/>
        <w:tabs>
          <w:tab w:val="left" w:leader="none" w:pos="993"/>
        </w:tabs>
        <w:spacing w:after="120" w:before="240" w:line="276" w:lineRule="auto"/>
        <w:ind w:left="0"/>
        <w:jc w:val="both"/>
        <w:rPr>
          <w:b/>
          <w:bCs/>
          <w:highlight w:val="none"/>
          <w:lang w:val="pt-BR"/>
        </w:rPr>
      </w:pPr>
      <w:r>
        <w:rPr>
          <w:b/>
          <w:bCs/>
          <w:highlight w:val="none"/>
          <w:lang w:val="pt-BR"/>
        </w:rPr>
      </w:r>
      <w:r>
        <w:rPr>
          <w:b/>
          <w:bCs/>
          <w:highlight w:val="none"/>
          <w:lang w:val="pt-BR"/>
        </w:rPr>
      </w:r>
      <w:r>
        <w:rPr>
          <w:b/>
          <w:bCs/>
          <w:highlight w:val="none"/>
          <w:lang w:val="pt-BR"/>
        </w:rPr>
      </w:r>
    </w:p>
    <w:p>
      <w:pPr>
        <w:pStyle w:val="1027"/>
        <w:pBdr/>
        <w:tabs>
          <w:tab w:val="left" w:leader="none" w:pos="993"/>
        </w:tabs>
        <w:spacing w:after="120" w:before="240" w:line="276" w:lineRule="auto"/>
        <w:ind w:left="0"/>
        <w:jc w:val="both"/>
        <w:rPr>
          <w:b/>
          <w:bCs/>
          <w:highlight w:val="none"/>
          <w:lang w:val="pt-BR"/>
        </w:rPr>
      </w:pPr>
      <w:r>
        <w:rPr>
          <w:b/>
          <w:bCs/>
          <w:highlight w:val="none"/>
          <w:lang w:val="pt-BR"/>
        </w:rPr>
      </w:r>
      <w:r>
        <w:rPr>
          <w:b/>
          <w:bCs/>
          <w:highlight w:val="none"/>
          <w:lang w:val="pt-BR"/>
        </w:rPr>
      </w:r>
      <w:r>
        <w:rPr>
          <w:b/>
          <w:bCs/>
          <w:highlight w:val="none"/>
          <w:lang w:val="pt-BR"/>
        </w:rPr>
      </w:r>
    </w:p>
    <w:p>
      <w:pPr>
        <w:pStyle w:val="1027"/>
        <w:pBdr/>
        <w:tabs>
          <w:tab w:val="left" w:leader="none" w:pos="993"/>
        </w:tabs>
        <w:spacing w:after="120" w:before="240" w:line="276" w:lineRule="auto"/>
        <w:ind w:left="0"/>
        <w:jc w:val="both"/>
        <w:rPr>
          <w:b/>
          <w:bCs/>
          <w:highlight w:val="none"/>
          <w:lang w:val="pt-BR"/>
        </w:rPr>
      </w:pPr>
      <w:r>
        <w:rPr>
          <w:b/>
          <w:bCs/>
          <w:lang w:val="pt-BR"/>
        </w:rPr>
        <w:t xml:space="preserve">V. CÁC GIẢ THIẾT VÀ GIẢ THIẾT ĐẶC BIỆT</w:t>
      </w:r>
      <w:r>
        <w:rPr>
          <w:b/>
          <w:bCs/>
          <w:highlight w:val="none"/>
          <w:lang w:val="pt-BR"/>
        </w:rPr>
      </w:r>
      <w:r>
        <w:rPr>
          <w:b/>
          <w:bCs/>
          <w:highlight w:val="none"/>
          <w:lang w:val="pt-BR"/>
        </w:rPr>
      </w:r>
    </w:p>
    <w:p>
      <w:pPr>
        <w:pStyle w:val="1027"/>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7"/>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7"/>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7"/>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7"/>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7"/>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7"/>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7"/>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7"/>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7"/>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7"/>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453"/>
        <w:gridCol w:w="2126"/>
        <w:gridCol w:w="1853"/>
        <w:gridCol w:w="1698"/>
        <w:gridCol w:w="1698"/>
        <w:gridCol w:w="1698"/>
      </w:tblGrid>
      <w:tr>
        <w:trPr>
          <w:trHeight w:val="30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STT</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ĐẶC ĐIỂM BĐS</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TSSS3</w:t>
            </w:r>
            <w:r/>
          </w:p>
        </w:tc>
      </w:tr>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 </w:t>
            </w:r>
            <w:r/>
          </w:p>
        </w:tc>
      </w:tr>
      <w:tr>
        <w:trPr>
          <w:trHeight w:val="138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Địa chỉ</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Tòa nhà Vinaconex 7, Phường Mỹ Đình 1, Thành phố Hà Nội</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Tòa nhà Vinaconex 7, Phường Mỹ Đình 1, Thành phố Hà Nội</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Tòa nhà Vinaconex 7, Phường Mỹ Đình 1, Thành phố Hà Nội</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Tòa nhà Vinaconex 7, Phường Mỹ Đình 1, Thành phố Hà Nội</w:t>
            </w:r>
            <w:r/>
          </w:p>
        </w:tc>
      </w:tr>
      <w:tr>
        <w:trPr>
          <w:trHeight w:val="2760"/>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val="false"/>
          </w:tcPr>
          <w:p>
            <w:pPr>
              <w:pBdr/>
              <w:spacing w:after="0" w:before="0" w:line="240" w:lineRule="auto"/>
              <w:ind/>
              <w:jc w:val="center"/>
              <w:rPr/>
            </w:pPr>
            <w:r>
              <w:rPr>
                <w:rFonts w:ascii="Arial" w:hAnsi="Arial" w:eastAsia="Arial" w:cs="Arial"/>
                <w:color w:val="0000ff"/>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https://batdongsan.com.vn/ban-can-ho-chung-cu-duong-k2-phuong-cau-dien-vinaconex-7/tien-ban-gap-7-tung-mau-86m-3-ngu-2w-full-o-nhu-anh-nhinh-7-ty-so-o-pr45301540</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https://batdongsan.com.vn/ban-can-ho-chung-cu-duong-k2-phuong-cau-dien-vinaconex-7/ban-gap-ch-3pn-7-tung-mau-dt-85m-full-nt-s-cc-7-2-ty-tang-ep-o971085383-pr45301161</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https://batdongsan.com.vn/ban-can-ho-chung-cu-duong-k2-phuong-cau-dien-vinaconex-7/ban-7-gia-uu-ai-chi-voi-6-5-ty-75m2-2pn-2wc-tai-tu-liem-ha-noi-pr45469556</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Thông tin liên lạc</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0915394334 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971085383</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961894696</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val="false"/>
          </w:tcPr>
          <w:p>
            <w:pPr>
              <w:pBdr/>
              <w:spacing w:after="0" w:before="0" w:line="240" w:lineRule="auto"/>
              <w:ind/>
              <w:jc w:val="center"/>
              <w:rPr/>
            </w:pPr>
            <w:r>
              <w:rPr>
                <w:rFonts w:ascii="Arial" w:hAnsi="Arial" w:eastAsia="Arial" w:cs="Arial"/>
                <w:color w:val="0000ff"/>
                <w:sz w:val="22"/>
                <w:u w:val="single"/>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4/2025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4/2025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Tháng 4/2025 </w:t>
            </w:r>
            <w:r/>
          </w:p>
        </w:tc>
      </w:tr>
      <w:tr>
        <w:trPr>
          <w:trHeight w:val="828"/>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Giao dịch bình thường trên thị trường </w:t>
            </w:r>
            <w:r/>
          </w:p>
        </w:tc>
      </w:tr>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193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Tòa nhà Vinaconex 7, Phường Mỹ Đình 1, Thành phố Hà Nội nằm tiếp giáp với đường Nguyễn Văn Giáp</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Tòa nhà Vinaconex 7, Phường Mỹ Đình 1, Thành phố Hà Nội nằm tiếp giáp với đường Nguyễn Văn Giáp</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Tòa nhà Vinaconex 7, Phường Mỹ Đình 1, Thành phố Hà Nội nằm tiếp giáp với đường Nguyễn Văn Giáp</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Tòa nhà Vinaconex 7, Phường Mỹ Đình 1, Thành phố Hà Nội nằm tiếp giáp với đường Nguyễn Văn Giáp</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Diện tích trong GCN (thông thủy) (m2)</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87.67</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86</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85</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72</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Mặt tiếp giáp</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Căn góc</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Căn góc</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Căn góc</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Tầng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Tầng 8/27</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Tầng trung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Tầng trung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Tầng trung</w:t>
            </w:r>
            <w:r/>
          </w:p>
        </w:tc>
      </w:tr>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Hướng ban công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Ban công hướng Tây</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Ban công hướng Đông Nam</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Ban công hướng Đông Nam</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Ban công hướng Đông Nam</w:t>
            </w:r>
            <w:r/>
          </w:p>
        </w:tc>
      </w:tr>
      <w:tr>
        <w:trPr>
          <w:trHeight w:val="552"/>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 phòng ngủ 2 vệ sinh 1 bếp</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 phòng ngủ 2 vệ sinh 1 bếp</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03 phòng ngủ, 2 vệ sinh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02 phòng ngủ, 2 vệ sinh</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Nội thất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Nội thất cơ bản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Nội thất đầy đủ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Nội thất đầy đủ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Nội thất cơ bản </w:t>
            </w:r>
            <w:r/>
          </w:p>
        </w:tc>
      </w:tr>
      <w:tr>
        <w:trPr>
          <w:trHeight w:val="828"/>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7.200.000.000</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7.500.000.000</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6.500.000.000</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18</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lượng/bán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tcPr>
          <w:p>
            <w:pPr>
              <w:pBdr/>
              <w:spacing w:after="0" w:before="0" w:line="240" w:lineRule="auto"/>
              <w:ind/>
              <w:rPr/>
            </w:pPr>
            <w:r>
              <w:rPr>
                <w:rFonts w:ascii="Times New Roman" w:hAnsi="Times New Roman" w:eastAsia="Times New Roman" w:cs="Times New Roman"/>
                <w:color w:val="000000"/>
                <w:sz w:val="22"/>
              </w:rPr>
              <w:t xml:space="preserve"> </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6.840.000.000</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7.125.000.000</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6.175.000.000</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19</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Đơn giá QSD căn hộ (đồng/m2)</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79.534.884</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83.823.529</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85.763.889</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NHẬN XÉT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trong GCN (thông thủy) (m2)</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tiếp giáp</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Tầng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Hướng ban công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Nội thất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Lợi thế hơn</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r>
        <w:trPr>
          <w:trHeight w:val="276"/>
        </w:trPr>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4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2126"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853"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c>
          <w:tcPr>
            <w:shd w:val="clear" w:color="ffffff" w:fill="ffffff"/>
            <w:tcBorders>
              <w:top w:val="single" w:color="000000" w:sz="4" w:space="0"/>
              <w:left w:val="single" w:color="000000" w:sz="4" w:space="0"/>
              <w:bottom w:val="single" w:color="000000" w:sz="4" w:space="0"/>
              <w:right w:val="single" w:color="000000" w:sz="4" w:space="0"/>
            </w:tcBorders>
            <w:tcMar>
              <w:left w:w="15" w:type="dxa"/>
              <w:top w:w="15" w:type="dxa"/>
              <w:right w:w="15" w:type="dxa"/>
              <w:bottom w:w="0" w:type="dxa"/>
            </w:tcMar>
            <w:tcW w:w="1698"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Tương đồng</w:t>
            </w: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7"/>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25"/>
        <w:gridCol w:w="1885"/>
        <w:gridCol w:w="934"/>
        <w:gridCol w:w="2182"/>
        <w:gridCol w:w="2653"/>
        <w:gridCol w:w="2901"/>
        <w:gridCol w:w="2634"/>
      </w:tblGrid>
      <w:tr>
        <w:trPr>
          <w:trHeight w:val="630"/>
        </w:trPr>
        <w:tc>
          <w:tcPr>
            <w:shd w:val="clear" w:color="ffffff" w:fill="ffffff"/>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72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TSSS3</w:t>
            </w:r>
            <w:r/>
          </w:p>
        </w:tc>
      </w:tr>
      <w:tr>
        <w:trPr>
          <w:trHeight w:val="828"/>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72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A</w:t>
            </w:r>
            <w:r/>
          </w:p>
        </w:tc>
        <w:tc>
          <w:tcPr>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b/>
                <w:color w:val="000000"/>
                <w:sz w:val="22"/>
              </w:rPr>
              <w:t xml:space="preserve">Giá trị BĐS thị trường (Ước tính trước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6.840.000.000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7.125.000.000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6.175.000.000</w:t>
            </w:r>
            <w:r/>
          </w:p>
        </w:tc>
      </w:tr>
      <w:tr>
        <w:trPr>
          <w:trHeight w:val="552"/>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72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B</w:t>
            </w:r>
            <w:r/>
          </w:p>
        </w:tc>
        <w:tc>
          <w:tcPr>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b/>
                <w:color w:val="000000"/>
                <w:sz w:val="22"/>
              </w:rPr>
              <w:t xml:space="preserve">Đơn giá QSD căn hộ ước tính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79.534.884</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83.823.529</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85.763.889</w:t>
            </w:r>
            <w:r/>
          </w:p>
        </w:tc>
      </w:tr>
      <w:tr>
        <w:trPr>
          <w:trHeight w:val="525"/>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725"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 </w:t>
            </w:r>
            <w:r/>
          </w:p>
        </w:tc>
      </w:tr>
      <w:tr>
        <w:trPr>
          <w:trHeight w:val="1011"/>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725"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b/>
                <w:color w:val="000000"/>
                <w:sz w:val="22"/>
              </w:rPr>
              <w:t xml:space="preserve">Tính chất giao dịch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Giao dịch bình thường trên thị trường</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Giao dịch bình thường trên thị trường</w:t>
            </w: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w:t>
            </w: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79.534.884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83.823.529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85.763.889 </w:t>
            </w:r>
            <w:r/>
          </w:p>
        </w:tc>
      </w:tr>
      <w:tr>
        <w:trPr>
          <w:trHeight w:val="1380"/>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725"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Giấy chứng nhận Quyền sử dụng đất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Giấy chứng nhận Quyền sử dụng đất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Giấy chứng nhận Quyền sử dụng đất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Giấy chứng nhận Quyền sử dụng đất </w:t>
            </w: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79.534.884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83.823.529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85.763.889 </w:t>
            </w:r>
            <w:r/>
          </w:p>
        </w:tc>
      </w:tr>
      <w:tr>
        <w:trPr>
          <w:trHeight w:val="1932"/>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725"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Tòa nhà Vinaconex 7, Phường Mỹ Đình 1, Thành phố Hà Nội nằm tiếp giáp với đường Nguyễn Văn Giáp</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Tòa nhà Vinaconex 7, Phường Mỹ Đình 1, Thành phố Hà Nội nằm tiếp giáp với đường Nguyễn Văn Giáp</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Tòa nhà Vinaconex 7, Phường Mỹ Đình 1, Thành phố Hà Nội nằm tiếp giáp với đường Nguyễn Văn Giáp</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Tòa nhà Vinaconex 7, Phường Mỹ Đình 1, Thành phố Hà Nội nằm tiếp giáp với đường Nguyễn Văn Giáp</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360"/>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79.534.884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83.823.529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85.763.889 </w:t>
            </w:r>
            <w:r/>
          </w:p>
        </w:tc>
      </w:tr>
      <w:tr>
        <w:trPr>
          <w:trHeight w:val="828"/>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725"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b/>
                <w:color w:val="000000"/>
                <w:sz w:val="22"/>
              </w:rPr>
              <w:t xml:space="preserve">Diện tích trong GCN (thông thủy) (m2)</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87.67</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86,0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85,0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72,0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-3,00%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-2.572.917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79.534.884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83.823.529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83.190.972 </w:t>
            </w:r>
            <w:r/>
          </w:p>
        </w:tc>
      </w:tr>
      <w:tr>
        <w:trPr>
          <w:trHeight w:val="276"/>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725"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tcPr>
          <w:p>
            <w:pPr>
              <w:pBdr/>
              <w:spacing w:after="0" w:before="0" w:line="240"/>
              <w:ind/>
              <w:rPr/>
            </w:pPr>
            <w:r>
              <w:rPr>
                <w:rFonts w:ascii="Times New Roman" w:hAnsi="Times New Roman" w:eastAsia="Times New Roman" w:cs="Times New Roman"/>
                <w:b/>
                <w:color w:val="000000"/>
                <w:sz w:val="22"/>
              </w:rPr>
              <w:t xml:space="preserve">Mặt tiếp giáp</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Căn góc</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Căn góc</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Căn góc</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Căn thường</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5,00%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4.288.194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79.534.884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83.823.529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87.479.167 </w:t>
            </w:r>
            <w:r/>
          </w:p>
        </w:tc>
      </w:tr>
      <w:tr>
        <w:trPr>
          <w:trHeight w:val="276"/>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725"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tcPr>
          <w:p>
            <w:pPr>
              <w:pBdr/>
              <w:spacing w:after="0" w:before="0" w:line="240"/>
              <w:ind/>
              <w:rPr/>
            </w:pPr>
            <w:r>
              <w:rPr>
                <w:rFonts w:ascii="Times New Roman" w:hAnsi="Times New Roman" w:eastAsia="Times New Roman" w:cs="Times New Roman"/>
                <w:b/>
                <w:color w:val="000000"/>
                <w:sz w:val="22"/>
              </w:rPr>
              <w:t xml:space="preserve">Tầng</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Tầng 8/27</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Tầng trung</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Tầng trung</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Tầng trung</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-2,00%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-2,00%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-2,00%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-1.590.698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-1.676.471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-1.715.278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77.944.186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82.147.059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85.763.889 </w:t>
            </w:r>
            <w:r/>
          </w:p>
        </w:tc>
      </w:tr>
      <w:tr>
        <w:trPr>
          <w:trHeight w:val="552"/>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725"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b/>
                <w:color w:val="000000"/>
                <w:sz w:val="22"/>
              </w:rPr>
              <w:t xml:space="preserve">Hướng ban công</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Ban công hướng Tây</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Ban công hướng Đông Nam</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Ban công hướng Đông Nam</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Ban công hướng Đông Nam</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-3,00%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-2.386.047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-2.514.706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-2.572.917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75.558.140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79.632.353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83.190.972 </w:t>
            </w:r>
            <w:r/>
          </w:p>
        </w:tc>
      </w:tr>
      <w:tr>
        <w:trPr>
          <w:trHeight w:val="552"/>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725"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b/>
                <w:color w:val="000000"/>
                <w:sz w:val="22"/>
              </w:rPr>
              <w:t xml:space="preserve">Cấu trúc</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3 phòng ngủ 2 vệ sinh 1 bếp</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3 phòng ngủ 2 vệ sinh 1 bếp</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03 phòng ngủ, 2 vệ sinh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02 phòng ngủ, 2 vệ sinh</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75.558.140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79.632.353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83.190.972 </w:t>
            </w:r>
            <w:r/>
          </w:p>
        </w:tc>
      </w:tr>
      <w:tr>
        <w:trPr>
          <w:trHeight w:val="276"/>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725"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b/>
                <w:color w:val="000000"/>
                <w:sz w:val="22"/>
              </w:rPr>
              <w:t xml:space="preserve">Nội thất</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Nội thất cơ bản</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Nội thất đầy đủ</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Nội thất đầy đủ</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Nội thất cơ bản</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-2.386.047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-2.514.706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73.172.093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77.117.647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83.190.972 </w:t>
            </w:r>
            <w:r/>
          </w:p>
        </w:tc>
      </w:tr>
      <w:tr>
        <w:trPr>
          <w:trHeight w:val="552"/>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725"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C10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Hệ thống cấp điện, cấp thoát nước đầy đủ</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Hệ thống cấp điện, cấp thoát nước đầy đủ</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73.172.093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77.117.647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83.190.972 </w:t>
            </w:r>
            <w:r/>
          </w:p>
        </w:tc>
      </w:tr>
      <w:tr>
        <w:trPr>
          <w:trHeight w:val="552"/>
        </w:trPr>
        <w:tc>
          <w:tcPr>
            <w:shd w:val="clear" w:color="ffffff" w:fill="ffffff"/>
            <w:tcBorders>
              <w:left w:val="single" w:color="000000" w:sz="5" w:space="0"/>
              <w:bottom w:val="single" w:color="000000" w:sz="4" w:space="0"/>
              <w:right w:val="single" w:color="000000" w:sz="5" w:space="0"/>
            </w:tcBorders>
            <w:tcMar>
              <w:left w:w="15" w:type="dxa"/>
              <w:top w:w="15" w:type="dxa"/>
              <w:right w:w="15" w:type="dxa"/>
              <w:bottom w:w="0" w:type="dxa"/>
            </w:tcMar>
            <w:tcW w:w="725" w:type="dxa"/>
            <w:vAlign w:val="center"/>
            <w:vMerge w:val="restart"/>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C11</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b/>
                <w:color w:val="000000"/>
                <w:sz w:val="22"/>
              </w:rPr>
              <w:t xml:space="preserve">Điều kiện môi trường an ninh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Tốt</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Tốt</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0,00%</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0 </w:t>
            </w:r>
            <w:r/>
          </w:p>
        </w:tc>
      </w:tr>
      <w:tr>
        <w:trPr>
          <w:trHeight w:val="276"/>
        </w:trPr>
        <w:tc>
          <w:tcPr>
            <w:tcBorders>
              <w:left w:val="single" w:color="000000" w:sz="5" w:space="0"/>
              <w:bottom w:val="single" w:color="000000" w:sz="4" w:space="0"/>
              <w:right w:val="single" w:color="000000" w:sz="5" w:space="0"/>
            </w:tcBorders>
            <w:vMerge w:val="continue"/>
            <w:textDirection w:val="lrTb"/>
            <w:noWrap w:val="false"/>
          </w:tcPr>
          <w:p>
            <w:pPr>
              <w:pBdr/>
              <w:spacing/>
              <w:ind/>
              <w:rPr/>
            </w:pPr>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73.172.093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77.117.647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83.190.972 </w:t>
            </w:r>
            <w:r/>
          </w:p>
        </w:tc>
      </w:tr>
      <w:tr>
        <w:trPr>
          <w:trHeight w:val="276"/>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72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tcPr>
          <w:p>
            <w:pPr>
              <w:pBdr/>
              <w:spacing w:after="0" w:before="0" w:line="240"/>
              <w:ind/>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73.172.093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77.117.647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83.190.972 </w:t>
            </w:r>
            <w:r/>
          </w:p>
        </w:tc>
      </w:tr>
      <w:tr>
        <w:trPr>
          <w:trHeight w:val="276"/>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72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gridSpan w:val="3"/>
            <w:shd w:val="clear" w:color="ffffff" w:fill="ffffff"/>
            <w:tcBorders>
              <w:top w:val="single" w:color="000000" w:sz="5" w:space="0"/>
              <w:bottom w:val="single" w:color="000000" w:sz="5" w:space="0"/>
              <w:right w:val="single" w:color="000000" w:sz="5" w:space="0"/>
            </w:tcBorders>
            <w:tcMar>
              <w:left w:w="15" w:type="dxa"/>
              <w:top w:w="15" w:type="dxa"/>
              <w:right w:w="15" w:type="dxa"/>
              <w:bottom w:w="0" w:type="dxa"/>
            </w:tcMar>
            <w:tcW w:w="8188"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78.000.000 </w:t>
            </w:r>
            <w:r/>
          </w:p>
        </w:tc>
      </w:tr>
      <w:tr>
        <w:trPr>
          <w:trHeight w:val="300"/>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72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-6,2%</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-1,1%</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6,7%</w:t>
            </w:r>
            <w:r/>
          </w:p>
        </w:tc>
      </w:tr>
      <w:tr>
        <w:trPr>
          <w:trHeight w:val="828"/>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725" w:type="dxa"/>
            <w:vAlign w:val="center"/>
            <w:textDirection w:val="lrTb"/>
            <w:noWrap/>
          </w:tcPr>
          <w:p>
            <w:pPr>
              <w:pBdr/>
              <w:spacing w:after="0" w:before="0" w:line="240"/>
              <w:ind/>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tcPr>
          <w:p>
            <w:pPr>
              <w:pBdr/>
              <w:spacing w:after="0" w:before="0" w:line="240"/>
              <w:ind/>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 </w:t>
            </w:r>
            <w:r/>
          </w:p>
        </w:tc>
      </w:tr>
      <w:tr>
        <w:trPr>
          <w:trHeight w:val="552"/>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72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6.362.791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6.705.882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val="false"/>
          </w:tcPr>
          <w:p>
            <w:pPr>
              <w:pBdr/>
              <w:spacing w:after="0" w:before="0" w:line="240"/>
              <w:ind/>
              <w:jc w:val="center"/>
              <w:rPr/>
            </w:pPr>
            <w:r>
              <w:rPr>
                <w:rFonts w:ascii="Times New Roman" w:hAnsi="Times New Roman" w:eastAsia="Times New Roman" w:cs="Times New Roman"/>
                <w:b/>
                <w:color w:val="000000"/>
                <w:sz w:val="22"/>
              </w:rPr>
              <w:t xml:space="preserve">11.149.306 </w:t>
            </w:r>
            <w:r/>
          </w:p>
        </w:tc>
      </w:tr>
      <w:tr>
        <w:trPr>
          <w:trHeight w:val="552"/>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72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5</w:t>
            </w:r>
            <w:r/>
          </w:p>
        </w:tc>
      </w:tr>
      <w:tr>
        <w:trPr>
          <w:trHeight w:val="276"/>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72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val="false"/>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4-5%</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2-5%</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2-5%</w:t>
            </w:r>
            <w:r/>
          </w:p>
        </w:tc>
      </w:tr>
      <w:tr>
        <w:trPr>
          <w:trHeight w:val="552"/>
        </w:trPr>
        <w:tc>
          <w:tcPr>
            <w:shd w:val="clear" w:color="ffffff" w:fill="ffffff"/>
            <w:tcBorders>
              <w:left w:val="single" w:color="000000" w:sz="5" w:space="0"/>
              <w:bottom w:val="single" w:color="000000" w:sz="5" w:space="0"/>
              <w:right w:val="single" w:color="000000" w:sz="5" w:space="0"/>
            </w:tcBorders>
            <w:tcMar>
              <w:left w:w="15" w:type="dxa"/>
              <w:top w:w="15" w:type="dxa"/>
              <w:right w:w="15" w:type="dxa"/>
              <w:bottom w:w="0" w:type="dxa"/>
            </w:tcMar>
            <w:tcW w:w="725"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5" w:space="0"/>
              <w:right w:val="single" w:color="000000" w:sz="5" w:space="0"/>
            </w:tcBorders>
            <w:tcMar>
              <w:left w:w="15" w:type="dxa"/>
              <w:top w:w="15" w:type="dxa"/>
              <w:right w:w="15" w:type="dxa"/>
              <w:bottom w:w="0" w:type="dxa"/>
            </w:tcMar>
            <w:tcW w:w="1885" w:type="dxa"/>
            <w:vAlign w:val="center"/>
            <w:textDirection w:val="lrTb"/>
            <w:noWrap w:val="false"/>
          </w:tcPr>
          <w:p>
            <w:pPr>
              <w:pBdr/>
              <w:spacing w:after="0" w:before="0" w:line="240"/>
              <w:ind/>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9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182"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53"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6.362.791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901"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6.705.882 </w:t>
            </w:r>
            <w:r/>
          </w:p>
        </w:tc>
        <w:tc>
          <w:tcPr>
            <w:shd w:val="clear" w:color="ffffff" w:fill="ffffff"/>
            <w:tcBorders>
              <w:bottom w:val="single" w:color="000000" w:sz="5" w:space="0"/>
              <w:right w:val="single" w:color="000000" w:sz="5" w:space="0"/>
            </w:tcBorders>
            <w:tcMar>
              <w:left w:w="15" w:type="dxa"/>
              <w:top w:w="15" w:type="dxa"/>
              <w:right w:w="15" w:type="dxa"/>
              <w:bottom w:w="0" w:type="dxa"/>
            </w:tcMar>
            <w:tcW w:w="2634" w:type="dxa"/>
            <w:vAlign w:val="center"/>
            <w:textDirection w:val="lrTb"/>
            <w:noWrap/>
          </w:tcPr>
          <w:p>
            <w:pPr>
              <w:pBdr/>
              <w:spacing w:after="0" w:before="0" w:line="240"/>
              <w:ind/>
              <w:jc w:val="center"/>
              <w:rPr/>
            </w:pPr>
            <w:r>
              <w:rPr>
                <w:rFonts w:ascii="Times New Roman" w:hAnsi="Times New Roman" w:eastAsia="Times New Roman" w:cs="Times New Roman"/>
                <w:color w:val="000000"/>
                <w:sz w:val="22"/>
              </w:rPr>
              <w:t xml:space="preserve">2.572.917 </w:t>
            </w: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-6,2</w:t>
      </w:r>
      <w:r>
        <w:t xml:space="preserve">% đến</w:t>
      </w:r>
      <w:r>
        <w:t xml:space="preserve"> </w:t>
      </w:r>
      <w:r>
        <w:t xml:space="preserve"> 6,</w:t>
      </w:r>
      <w:r>
        <w:t xml:space="preserve">7%,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73.172.093</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24.388.259</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77.117.647</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25.703.312</w:t>
            </w: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83.190.972</w:t>
            </w: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ind/>
              <w:jc w:val="center"/>
              <w:rPr/>
            </w:pPr>
            <w:r>
              <w:rPr>
                <w:rFonts w:ascii="Times New Roman" w:hAnsi="Times New Roman" w:eastAsia="Times New Roman" w:cs="Times New Roman"/>
                <w:color w:val="000000"/>
                <w:sz w:val="24"/>
              </w:rPr>
              <w:t xml:space="preserve">27.727.551</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78.343.842</w:t>
            </w: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78.000.000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78.000.000</w:t>
      </w:r>
      <w:r>
        <w:rPr>
          <w:b/>
          <w:bCs/>
          <w:color w:val="000000" w:themeColor="text1"/>
        </w:rPr>
        <w:t xml:space="preserve"> </w:t>
      </w:r>
      <w:r>
        <w:rPr>
          <w:b/>
          <w:bCs/>
        </w:rPr>
        <w:t xml:space="preserve">đồng/m².</w:t>
      </w:r>
      <w:r>
        <w:rPr>
          <w:b/>
          <w:bCs/>
        </w:rPr>
      </w:r>
      <w:r>
        <w:rPr>
          <w:b/>
          <w:bCs/>
        </w:rPr>
      </w:r>
    </w:p>
    <w:p>
      <w:pPr>
        <w:pStyle w:val="1027"/>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7"/>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04/2026</w:t>
      </w:r>
      <w:r>
        <w:t xml:space="preserve"> </w:t>
      </w:r>
      <w:r>
        <w:t xml:space="preserve">ước tính </w:t>
      </w:r>
      <w:r>
        <w:t xml:space="preserve">như sau</w:t>
      </w:r>
      <w:r>
        <w:t xml:space="preserve">:</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color w:val="000000"/>
              </w:rPr>
            </w:r>
            <w:r>
              <w:rPr>
                <w:rFonts w:ascii="Times New Roman" w:hAnsi="Times New Roman" w:eastAsia="Times New Roman" w:cs="Times New Roman"/>
                <w:b/>
                <w:bCs/>
                <w:color w:val="000000"/>
                <w:sz w:val="24"/>
              </w:rPr>
              <w:t xml:space="preserve">Căn hộ chung cư số 805, Tòa nhà hỗn hợp dịch vụ công công, Văn phòng làm việc và nhà ở, số 61, tổ 15, phường Cầu Diễn, quận Nam Từ Liêm, Thành phố Hà Nội (</w:t>
            </w:r>
            <w:r>
              <w:rPr>
                <w:rFonts w:ascii="Times New Roman" w:hAnsi="Times New Roman" w:eastAsia="Times New Roman" w:cs="Times New Roman"/>
                <w:b/>
                <w:bCs/>
                <w:i/>
                <w:iCs/>
                <w:color w:val="000000"/>
                <w:sz w:val="24"/>
              </w:rPr>
              <w:t xml:space="preserve">Nay là phường Mỹ Đình 1, Thành phố Hà Nội</w:t>
            </w:r>
            <w:r>
              <w:rPr>
                <w:rFonts w:ascii="Times New Roman" w:hAnsi="Times New Roman" w:eastAsia="Times New Roman" w:cs="Times New Roman"/>
                <w:b/>
                <w:bCs/>
                <w:color w:val="000000"/>
                <w:sz w:val="24"/>
              </w:rPr>
              <w:t xml:space="preserve">).  theo Giấy chứng nhận Quyền sử dụng đất</w:t>
            </w:r>
            <w:r>
              <w:rPr>
                <w:rFonts w:ascii="Times New Roman" w:hAnsi="Times New Roman" w:eastAsia="Times New Roman" w:cs="Times New Roman"/>
                <w:b/>
                <w:bCs/>
                <w:color w:val="000000"/>
                <w:sz w:val="24"/>
              </w:rPr>
              <w:t xml:space="preserve">, quyền sở hữu nhà ở và tài sản khác gắn liền với đất số: DP 476194, số vào sổ cấp Giấy chứng nhận: VP 00403 do Văn phòng đăng ký đất đai Hà Nội cấp ngày  11/06/2024 cho Ông Vũ Thái Trung và bà</w:t>
            </w:r>
            <w:r>
              <w:rPr>
                <w:b/>
                <w:bCs/>
                <w:i/>
                <w:iCs/>
              </w:rPr>
              <w:t xml:space="preserve"> </w:t>
            </w:r>
            <w:r>
              <w:rPr>
                <w:b/>
                <w:bCs/>
                <w:i w:val="0"/>
                <w:iCs w:val="0"/>
              </w:rPr>
              <w:t xml:space="preserve">Phạm Thanh Tú</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97" w:type="pct"/>
            <w:vAlign w:val="center"/>
            <w:textDirection w:val="lrTb"/>
            <w:noWrap w:val="false"/>
          </w:tcPr>
          <w:p>
            <w:pPr>
              <w:pBdr/>
              <w:spacing w:after="40" w:before="40" w:line="288" w:lineRule="auto"/>
              <w:ind/>
              <w:rPr/>
            </w:pPr>
            <w:r>
              <w:rPr>
                <w:b/>
                <w:bCs/>
              </w:rPr>
              <w:t xml:space="preserve">Đất ở tại đô thị</w:t>
            </w: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87.67</w:t>
            </w:r>
            <w:r>
              <w:rPr>
                <w:color w:val="000000"/>
              </w:rPr>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78.000.000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6.838.260.000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color w:val="000000"/>
              </w:rPr>
              <w:t xml:space="preserve">6.838.300.000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Sáu tỷ tám trăm ba mươi tám triệu ba trăm nghìn đồng chẵn</w:t>
            </w:r>
            <w:r>
              <w:rPr>
                <w:b/>
                <w:bCs/>
                <w:i/>
                <w:iCs/>
                <w:color w:val="000000"/>
              </w:rPr>
              <w:t xml:space="preserve">./.)</w:t>
            </w:r>
            <w:r>
              <w:rPr>
                <w:b/>
                <w:bCs/>
                <w:i/>
                <w:iCs/>
                <w:color w:val="000000"/>
              </w:rPr>
            </w:r>
            <w:r>
              <w:rPr>
                <w:b/>
                <w:bCs/>
                <w:i/>
                <w:iCs/>
                <w:color w:val="000000"/>
              </w:rPr>
            </w:r>
          </w:p>
        </w:tc>
      </w:tr>
    </w:tbl>
    <w:p>
      <w:pPr>
        <w:pStyle w:val="1027"/>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7"/>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7"/>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7"/>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7"/>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7"/>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7"/>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7"/>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7"/>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7"/>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7"/>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7"/>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7"/>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7"/>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7"/>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7"/>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7"/>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7"/>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7"/>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275/2026/0521/VFI-CT.51.A</w:t>
      </w:r>
      <w:r>
        <w:rPr>
          <w:color w:val="ff0000"/>
          <w:lang w:val="vi-VN"/>
        </w:rPr>
        <w:t xml:space="preserve"> </w:t>
      </w:r>
      <w:r>
        <w:rPr>
          <w:color w:val="000000" w:themeColor="text1"/>
        </w:rPr>
        <w:t xml:space="preserve">ngày 3 tháng 4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Đăng Hiếu</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jc w:val="left"/>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275/2026/0521/VFI-BC.51.A</w:t>
      </w:r>
      <w:r>
        <w:rPr>
          <w:i/>
          <w:lang w:val="pt-BR"/>
        </w:rPr>
        <w:t xml:space="preserve"> </w:t>
      </w:r>
      <w:r>
        <w:rPr>
          <w:i/>
          <w:lang w:val="pt-BR"/>
        </w:rPr>
        <w:t xml:space="preserve">ngày 3 tháng 4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 cửa</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Hướng ban công</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914400" cy="1984248"/>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788944" name=""/>
                              <pic:cNvPicPr>
                                <a:picLocks noChangeAspect="1"/>
                              </pic:cNvPicPr>
                              <pic:nvPr/>
                            </pic:nvPicPr>
                            <pic:blipFill rotWithShape="1">
                              <a:blip r:embed="rId24"/>
                              <a:stretch/>
                            </pic:blipFill>
                            <pic:spPr bwMode="auto">
                              <a:xfrm rot="0" flipH="0" flipV="0">
                                <a:off x="0" y="0"/>
                                <a:ext cx="914400" cy="19842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72.00pt;height:156.24pt;mso-wrap-distance-left:0.00pt;mso-wrap-distance-top:0.00pt;mso-wrap-distance-right:0.00pt;mso-wrap-distance-bottom:0.00pt;rotation:0;z-index:1;" stroked="false">
                      <v:imagedata r:id="rId24"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914400" cy="1984248"/>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601264" name=""/>
                              <pic:cNvPicPr>
                                <a:picLocks noChangeAspect="1"/>
                              </pic:cNvPicPr>
                              <pic:nvPr/>
                            </pic:nvPicPr>
                            <pic:blipFill rotWithShape="1">
                              <a:blip r:embed="rId25"/>
                              <a:stretch/>
                            </pic:blipFill>
                            <pic:spPr bwMode="auto">
                              <a:xfrm rot="0" flipH="0" flipV="0">
                                <a:off x="0" y="0"/>
                                <a:ext cx="914400" cy="19842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72.00pt;height:156.24pt;mso-wrap-distance-left:0.00pt;mso-wrap-distance-top:0.00pt;mso-wrap-distance-right:0.00pt;mso-wrap-distance-bottom:0.00pt;rotation:0;z-index:1;" stroked="false">
                      <v:imagedata r:id="rId25"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Phòng khách</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Phòng ngủ </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86000" cy="1709928"/>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149597" name=""/>
                              <pic:cNvPicPr>
                                <a:picLocks noChangeAspect="1"/>
                              </pic:cNvPicPr>
                              <pic:nvPr/>
                            </pic:nvPicPr>
                            <pic:blipFill rotWithShape="1">
                              <a:blip r:embed="rId26"/>
                              <a:stretch/>
                            </pic:blipFill>
                            <pic:spPr bwMode="auto">
                              <a:xfrm rot="0" flipH="0" flipV="0">
                                <a:off x="0" y="0"/>
                                <a:ext cx="2286000" cy="17099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80.00pt;height:134.64pt;mso-wrap-distance-left:0.00pt;mso-wrap-distance-top:0.00pt;mso-wrap-distance-right:0.00pt;mso-wrap-distance-bottom:0.00pt;rotation:0;z-index:1;" stroked="false">
                      <v:imagedata r:id="rId26"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86000" cy="1709928"/>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30050" name=""/>
                              <pic:cNvPicPr>
                                <a:picLocks noChangeAspect="1"/>
                              </pic:cNvPicPr>
                              <pic:nvPr/>
                            </pic:nvPicPr>
                            <pic:blipFill rotWithShape="1">
                              <a:blip r:embed="rId27"/>
                              <a:stretch/>
                            </pic:blipFill>
                            <pic:spPr bwMode="auto">
                              <a:xfrm rot="0" flipH="0" flipV="0">
                                <a:off x="0" y="0"/>
                                <a:ext cx="2286000" cy="17099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80.00pt;height:134.64pt;mso-wrap-distance-left:0.00pt;mso-wrap-distance-top:0.00pt;mso-wrap-distance-right:0.00pt;mso-wrap-distance-bottom:0.00pt;rotation:0;z-index:1;" stroked="false">
                      <v:imagedata r:id="rId27"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Phòng ngủ </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Phòng ngủ 3</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86000" cy="1709928"/>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996448" name=""/>
                              <pic:cNvPicPr>
                                <a:picLocks noChangeAspect="1"/>
                              </pic:cNvPicPr>
                              <pic:nvPr/>
                            </pic:nvPicPr>
                            <pic:blipFill rotWithShape="1">
                              <a:blip r:embed="rId28"/>
                              <a:stretch/>
                            </pic:blipFill>
                            <pic:spPr bwMode="auto">
                              <a:xfrm rot="0" flipH="0" flipV="0">
                                <a:off x="0" y="0"/>
                                <a:ext cx="2286000" cy="17099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80.00pt;height:134.64pt;mso-wrap-distance-left:0.00pt;mso-wrap-distance-top:0.00pt;mso-wrap-distance-right:0.00pt;mso-wrap-distance-bottom:0.00pt;rotation:0;z-index:1;" stroked="false">
                      <v:imagedata r:id="rId28"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286000" cy="1709928"/>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05322" name=""/>
                              <pic:cNvPicPr>
                                <a:picLocks noChangeAspect="1"/>
                              </pic:cNvPicPr>
                              <pic:nvPr/>
                            </pic:nvPicPr>
                            <pic:blipFill rotWithShape="1">
                              <a:blip r:embed="rId29"/>
                              <a:stretch/>
                            </pic:blipFill>
                            <pic:spPr bwMode="auto">
                              <a:xfrm rot="0" flipH="0" flipV="0">
                                <a:off x="0" y="0"/>
                                <a:ext cx="2286000" cy="17099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180.00pt;height:134.64pt;mso-wrap-distance-left:0.00pt;mso-wrap-distance-top:0.00pt;mso-wrap-distance-right:0.00pt;mso-wrap-distance-bottom:0.00pt;rotation:0;z-index:1;" stroked="false">
                      <v:imagedata r:id="rId29" o:title=""/>
                      <o:lock v:ext="edit" rotation="t"/>
                    </v:shape>
                  </w:pict>
                </mc:Fallback>
              </mc:AlternateContent>
            </w:r>
            <w:r>
              <w:rPr>
                <w:b/>
                <w:bCs/>
                <w:i/>
                <w:lang w:val="pt-BR"/>
              </w:rPr>
            </w:r>
            <w:r>
              <w:rPr>
                <w:b/>
                <w:bCs/>
                <w:i/>
                <w:lang w:val="pt-BR"/>
              </w:rPr>
            </w:r>
          </w:p>
        </w:tc>
      </w:tr>
      <w:tr>
        <w:trPr/>
        <w:tc>
          <w:tcPr>
            <w:tcBorders/>
            <w:tcW w:w="4758" w:type="dxa"/>
            <w:vAlign w:val="center"/>
            <w:vMerge w:val="restart"/>
            <w:textDirection w:val="lrTb"/>
            <w:noWrap w:val="false"/>
          </w:tcPr>
          <w:p>
            <w:pPr>
              <w:pBdr/>
              <w:spacing w:after="120"/>
              <w:ind/>
              <w:jc w:val="center"/>
              <w:rPr>
                <w:b/>
                <w:bCs/>
                <w:i/>
              </w:rPr>
            </w:pPr>
            <w:r>
              <w:rPr>
                <w:b/>
                <w:bCs/>
                <w:i/>
                <w:lang w:val="pt-BR"/>
              </w:rPr>
              <w:t xml:space="preserve">Hướng ban công</w:t>
            </w:r>
            <w:r>
              <w:rPr>
                <w:b/>
                <w:bCs/>
                <w:i/>
              </w:rPr>
            </w:r>
            <w:r>
              <w:rPr>
                <w:b/>
                <w:bCs/>
                <w:i/>
              </w:rPr>
            </w:r>
          </w:p>
        </w:tc>
        <w:tc>
          <w:tcPr>
            <w:tcBorders/>
            <w:tcW w:w="4757" w:type="dxa"/>
            <w:vAlign w:val="center"/>
            <w:vMerge w:val="restart"/>
            <w:textDirection w:val="lrTb"/>
            <w:noWrap w:val="false"/>
          </w:tcPr>
          <w:p>
            <w:pPr>
              <w:pBdr/>
              <w:spacing w:after="120"/>
              <w:ind/>
              <w:jc w:val="center"/>
              <w:rPr>
                <w:b/>
                <w:bCs/>
                <w:i/>
              </w:rPr>
            </w:pPr>
            <w:r>
              <w:rPr>
                <w:b/>
                <w:bCs/>
                <w:i/>
                <w:lang w:val="pt-BR"/>
              </w:rPr>
              <w:t xml:space="preserve">Người tham gia khảo sát</w:t>
            </w:r>
            <w:r>
              <w:rPr>
                <w:b/>
                <w:bCs/>
                <w:i/>
              </w:rPr>
            </w:r>
            <w:r>
              <w:rPr>
                <w:b/>
                <w:bCs/>
                <w:i/>
              </w:rPr>
            </w:r>
          </w:p>
        </w:tc>
      </w:tr>
      <w:tr>
        <w:trPr/>
        <w:tc>
          <w:tcPr>
            <w:tcBorders/>
            <w:tcW w:w="4758"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86000" cy="1709928"/>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161699" name=""/>
                              <pic:cNvPicPr>
                                <a:picLocks noChangeAspect="1"/>
                              </pic:cNvPicPr>
                              <pic:nvPr/>
                            </pic:nvPicPr>
                            <pic:blipFill rotWithShape="1">
                              <a:blip r:embed="rId30"/>
                              <a:stretch/>
                            </pic:blipFill>
                            <pic:spPr bwMode="auto">
                              <a:xfrm rot="0" flipH="0" flipV="0">
                                <a:off x="0" y="0"/>
                                <a:ext cx="2286000" cy="17099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180.00pt;height:134.64pt;mso-wrap-distance-left:0.00pt;mso-wrap-distance-top:0.00pt;mso-wrap-distance-right:0.00pt;mso-wrap-distance-bottom:0.00pt;rotation:0;z-index:1;" stroked="false">
                      <v:imagedata r:id="rId30" o:title=""/>
                      <o:lock v:ext="edit" rotation="t"/>
                    </v:shape>
                  </w:pict>
                </mc:Fallback>
              </mc:AlternateContent>
            </w:r>
            <w:r>
              <w:rPr>
                <w:i/>
                <w:lang w:val="pt-BR"/>
              </w:rPr>
            </w:r>
            <w:r>
              <w:rPr>
                <w:i/>
                <w:lang w:val="pt-BR"/>
              </w:rPr>
            </w:r>
          </w:p>
        </w:tc>
        <w:tc>
          <w:tcPr>
            <w:tcBorders/>
            <w:tcW w:w="4757" w:type="dxa"/>
            <w:vAlign w:val="center"/>
            <w:vMerge w:val="restart"/>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86000" cy="1709928"/>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729400" name=""/>
                              <pic:cNvPicPr>
                                <a:picLocks noChangeAspect="1"/>
                              </pic:cNvPicPr>
                              <pic:nvPr/>
                            </pic:nvPicPr>
                            <pic:blipFill rotWithShape="1">
                              <a:blip r:embed="rId31"/>
                              <a:stretch/>
                            </pic:blipFill>
                            <pic:spPr bwMode="auto">
                              <a:xfrm rot="0" flipH="0" flipV="0">
                                <a:off x="0" y="0"/>
                                <a:ext cx="2286000" cy="17099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80.00pt;height:134.64pt;mso-wrap-distance-left:0.00pt;mso-wrap-distance-top:0.00pt;mso-wrap-distance-right:0.00pt;mso-wrap-distance-bottom:0.00pt;rotation:0;z-index:1;" stroked="false">
                      <v:imagedata r:id="rId31" o:title=""/>
                      <o:lock v:ext="edit" rotation="t"/>
                    </v:shape>
                  </w:pict>
                </mc:Fallback>
              </mc:AlternateContent>
            </w:r>
            <w:r>
              <w:rPr>
                <w:i/>
                <w:lang w:val="pt-BR"/>
              </w:rPr>
            </w:r>
            <w:r>
              <w:rPr>
                <w:i/>
                <w:lang w:val="pt-BR"/>
              </w:rPr>
            </w:r>
          </w:p>
        </w:tc>
      </w:tr>
    </w:tbl>
    <w:p>
      <w:pPr>
        <w:pBdr/>
        <w:spacing w:after="200" w:line="276" w:lineRule="auto"/>
        <w:ind/>
        <w:jc w:val="center"/>
        <w:rPr/>
      </w:pPr>
      <w:r>
        <w:rPr>
          <w:b/>
          <w:bCs/>
        </w:rPr>
        <w:t xml:space="preserve">PHÁP LÝ CỦA TÀI SẢN</w:t>
      </w:r>
      <w:r>
        <w:rPr>
          <w:b/>
          <w:bCs/>
          <w:highlight w:val="none"/>
        </w:rPr>
      </w:r>
      <w:r/>
    </w:p>
    <w:p>
      <w:pPr>
        <w:pBdr/>
        <w:spacing w:after="200" w:line="276" w:lineRule="auto"/>
        <w:ind/>
        <w:jc w:val="center"/>
        <w:rPr/>
      </w:pPr>
      <w:r>
        <mc:AlternateContent>
          <mc:Choice Requires="wpg">
            <w:drawing>
              <wp:inline xmlns:wp="http://schemas.openxmlformats.org/drawingml/2006/wordprocessingDrawing" distT="0" distB="0" distL="0" distR="0">
                <wp:extent cx="3838575" cy="4217045"/>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96009" name=""/>
                        <pic:cNvPicPr>
                          <a:picLocks noChangeAspect="1"/>
                        </pic:cNvPicPr>
                        <pic:nvPr/>
                      </pic:nvPicPr>
                      <pic:blipFill rotWithShape="1">
                        <a:blip r:embed="rId32"/>
                        <a:stretch/>
                      </pic:blipFill>
                      <pic:spPr bwMode="auto">
                        <a:xfrm flipH="0" flipV="0">
                          <a:off x="0" y="0"/>
                          <a:ext cx="3838574" cy="42170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02.25pt;height:332.05pt;mso-wrap-distance-left:0.00pt;mso-wrap-distance-top:0.00pt;mso-wrap-distance-right:0.00pt;mso-wrap-distance-bottom:0.00pt;z-index:1;" stroked="false">
                <v:imagedata r:id="rId32" o:title=""/>
                <o:lock v:ext="edit" rotation="t"/>
              </v:shape>
            </w:pict>
          </mc:Fallback>
        </mc:AlternateContent>
      </w:r>
      <w:r>
        <w:rPr>
          <w:b/>
          <w:bCs/>
          <w:highlight w:val="none"/>
        </w:rPr>
      </w:r>
      <w:r/>
    </w:p>
    <w:p>
      <w:pPr>
        <w:pBdr/>
        <w:spacing w:after="200" w:line="276" w:lineRule="auto"/>
        <w:ind/>
        <w:jc w:val="center"/>
        <w:rPr/>
      </w:pPr>
      <w:r>
        <mc:AlternateContent>
          <mc:Choice Requires="wpg">
            <w:drawing>
              <wp:inline xmlns:wp="http://schemas.openxmlformats.org/drawingml/2006/wordprocessingDrawing" distT="0" distB="0" distL="0" distR="0">
                <wp:extent cx="3762375" cy="282892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949814" name=""/>
                        <pic:cNvPicPr>
                          <a:picLocks noChangeAspect="1"/>
                        </pic:cNvPicPr>
                        <pic:nvPr/>
                      </pic:nvPicPr>
                      <pic:blipFill rotWithShape="1">
                        <a:blip r:embed="rId33"/>
                        <a:stretch/>
                      </pic:blipFill>
                      <pic:spPr bwMode="auto">
                        <a:xfrm>
                          <a:off x="0" y="0"/>
                          <a:ext cx="3762374" cy="28289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96.25pt;height:222.75pt;mso-wrap-distance-left:0.00pt;mso-wrap-distance-top:0.00pt;mso-wrap-distance-right:0.00pt;mso-wrap-distance-bottom:0.00pt;z-index:1;" stroked="false">
                <v:imagedata r:id="rId33" o:title=""/>
                <o:lock v:ext="edit" rotation="t"/>
              </v:shape>
            </w:pict>
          </mc:Fallback>
        </mc:AlternateContent>
      </w:r>
      <w:r>
        <w:rPr>
          <w:b/>
          <w:bCs/>
          <w:highlight w:val="none"/>
        </w:rPr>
      </w:r>
      <w:r/>
    </w:p>
    <w:p>
      <w:pPr>
        <w:pBdr/>
        <w:spacing w:after="200" w:line="276" w:lineRule="auto"/>
        <w:ind/>
        <w:jc w:val="center"/>
        <w:rPr>
          <w:b/>
          <w:bCs/>
          <w:highlight w:val="none"/>
        </w:rPr>
      </w:pPr>
      <w:r>
        <w:rPr>
          <w:b/>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bCs/>
          <w:highlight w:val="none"/>
        </w:rPr>
      </w:r>
      <w:r>
        <w:rPr>
          <w:b/>
          <w:bCs/>
          <w:highlight w:val="none"/>
        </w:rPr>
      </w:r>
      <w:r>
        <w:rPr>
          <w:b/>
          <w:bCs/>
          <w:highlight w:val="none"/>
        </w:rPr>
      </w:r>
    </w:p>
    <w:p>
      <w:pPr>
        <w:pBdr/>
        <w:spacing w:after="200" w:line="276" w:lineRule="auto"/>
        <w:ind/>
        <w:jc w:val="center"/>
        <w:rPr>
          <w:b/>
          <w:bCs/>
          <w:highlight w:val="none"/>
        </w:rPr>
      </w:pPr>
      <w:r>
        <w:rPr>
          <w:b/>
          <w:highlight w:val="none"/>
        </w:rPr>
        <w:t xml:space="preserve">BIÊN BẢN KHẢO SÁT HIỆN TRẠNG TÀI SẢN</w:t>
      </w:r>
      <w:r>
        <w:rPr>
          <w:b/>
          <w:bCs/>
          <w:highlight w:val="none"/>
        </w:rPr>
      </w:r>
      <w:r>
        <w:rPr>
          <w:b/>
          <w:bCs/>
          <w:highlight w:val="none"/>
        </w:rPr>
      </w:r>
    </w:p>
    <w:p>
      <w:pPr>
        <w:pBdr/>
        <w:spacing w:after="200" w:line="276" w:lineRule="auto"/>
        <w:ind/>
        <w:jc w:val="center"/>
        <w:rPr>
          <w:b/>
          <w:bCs/>
          <w:highlight w:val="none"/>
        </w:rPr>
      </w:pPr>
      <w:r>
        <w:rPr>
          <w:b/>
          <w:highlight w:val="none"/>
        </w:rPr>
      </w:r>
      <w:r>
        <mc:AlternateContent>
          <mc:Choice Requires="wpg">
            <w:drawing>
              <wp:inline xmlns:wp="http://schemas.openxmlformats.org/drawingml/2006/wordprocessingDrawing" distT="0" distB="0" distL="0" distR="0">
                <wp:extent cx="4572000" cy="722376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554575" name=""/>
                        <pic:cNvPicPr>
                          <a:picLocks noChangeAspect="1"/>
                        </pic:cNvPicPr>
                        <pic:nvPr/>
                      </pic:nvPicPr>
                      <pic:blipFill rotWithShape="1">
                        <a:blip r:embed="rId34"/>
                        <a:stretch/>
                      </pic:blipFill>
                      <pic:spPr bwMode="auto">
                        <a:xfrm rot="0" flipH="0" flipV="0">
                          <a:off x="0" y="0"/>
                          <a:ext cx="4572000" cy="722376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60.00pt;height:568.80pt;mso-wrap-distance-left:0.00pt;mso-wrap-distance-top:0.00pt;mso-wrap-distance-right:0.00pt;mso-wrap-distance-bottom:0.00pt;rotation:0;z-index:1;" stroked="false">
                <v:imagedata r:id="rId34" o:title=""/>
                <o:lock v:ext="edit" rotation="t"/>
              </v:shape>
            </w:pict>
          </mc:Fallback>
        </mc:AlternateContent>
      </w:r>
      <w:r>
        <w:rPr>
          <w:b/>
          <w:bCs/>
          <w:highlight w:val="none"/>
        </w:rPr>
      </w:r>
      <w:r>
        <w:rPr>
          <w:b/>
          <w:bCs/>
          <w:highlight w:val="none"/>
        </w:rPr>
      </w:r>
    </w:p>
    <w:p>
      <w:pPr>
        <w:pBdr/>
        <w:spacing w:after="200" w:line="276" w:lineRule="auto"/>
        <w:ind/>
        <w:jc w:val="center"/>
        <w:rPr>
          <w:b/>
          <w:bCs/>
          <w:highlight w:val="none"/>
        </w:rPr>
      </w:pPr>
      <w: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pPr>
        <w:pBdr/>
        <w:spacing/>
        <w:ind/>
        <w:jc w:val="center"/>
        <w:rPr>
          <w:i/>
          <w:lang w:val="pt-BR"/>
        </w:rPr>
      </w:pPr>
      <w:r>
        <w:rPr>
          <w:i/>
          <w:lang w:val="pt-BR"/>
        </w:rPr>
        <w:t xml:space="preserve">(Kèm theo Báo cáo thẩm định số </w:t>
      </w:r>
      <w:r>
        <w:rPr>
          <w:i/>
        </w:rPr>
        <w:t xml:space="preserve">275/2026/0521/VFI-BC.51.A</w:t>
      </w:r>
      <w:r>
        <w:rPr>
          <w:i/>
          <w:lang w:val="pt-BR"/>
        </w:rPr>
        <w:t xml:space="preserve"> ngày </w:t>
      </w:r>
      <w:r>
        <w:rPr>
          <w:i/>
          <w:lang w:val="pt-BR"/>
        </w:rPr>
        <w:t xml:space="preserve">3 tháng 4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2"/>
        <w:gridCol w:w="3090"/>
        <w:gridCol w:w="6799"/>
      </w:tblGrid>
      <w:tr>
        <w:trPr>
          <w:trHeight w:val="276"/>
        </w:trPr>
        <w:tc>
          <w:tcPr>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612"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5" w:space="0"/>
              <w:bottom w:val="single" w:color="000000" w:sz="5" w:space="0"/>
              <w:right w:val="single" w:color="000000" w:sz="5" w:space="0"/>
            </w:tcBorders>
            <w:tcMar>
              <w:left w:w="15" w:type="dxa"/>
              <w:top w:w="15" w:type="dxa"/>
              <w:right w:w="15" w:type="dxa"/>
              <w:bottom w:w="0" w:type="dxa"/>
            </w:tcMar>
            <w:tcW w:w="3090"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5" w:space="0"/>
              <w:bottom w:val="single" w:color="000000" w:sz="5" w:space="0"/>
              <w:right w:val="single" w:color="000000" w:sz="5" w:space="0"/>
            </w:tcBorders>
            <w:tcMar>
              <w:left w:w="15" w:type="dxa"/>
              <w:top w:w="15" w:type="dxa"/>
              <w:right w:w="15" w:type="dxa"/>
              <w:bottom w:w="0" w:type="dxa"/>
            </w:tcMar>
            <w:tcW w:w="6799"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1104"/>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https://batdongsan.com.vn/ban-can-ho-chung-cu-duong-k2-phuong-cau-dien-vinaconex-7/tien-ban-gap-7-tung-mau-86m-3-ngu-2w-full-o-nhu-anh-nhinh-7-ty-so-o-pr45301540 - 0915394334 </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7.200.000.000</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6.840.000.000</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Tháng 4/2025</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552"/>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Tòa nhà Vinaconex 7, Phường Mỹ Đình 1, Thành phố Hà Nội nằm tiếp giáp với đường Nguyễn Văn Giáp</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đất (m²)</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86</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góc</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trung</w:t>
            </w:r>
            <w:r/>
          </w:p>
        </w:tc>
      </w:tr>
      <w:tr>
        <w:trPr>
          <w:trHeight w:val="312"/>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Ban công hướng Đông Nam</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3 phòng ngủ 2 vệ sinh 1 bếp</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đầy đủ</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90"/>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gridSpan w:val="2"/>
            <w:tcBorders>
              <w:top w:val="single" w:color="000000" w:sz="5" w:space="0"/>
              <w:bottom w:val="single" w:color="000000" w:sz="5" w:space="0"/>
              <w:right w:val="single" w:color="000000" w:sz="4" w:space="0"/>
            </w:tcBorders>
            <w:tcMar>
              <w:left w:w="15" w:type="dxa"/>
              <w:top w:w="15" w:type="dxa"/>
              <w:right w:w="15" w:type="dxa"/>
              <w:bottom w:w="0" w:type="dxa"/>
            </w:tcMar>
            <w:tcW w:w="9890" w:type="dxa"/>
            <w:vAlign w:val="center"/>
            <w:textDirection w:val="lrTb"/>
            <w:noWrap w:val="false"/>
          </w:tcPr>
          <w:p>
            <w:pPr>
              <w:pBdr/>
              <w:spacing w:after="0" w:before="0" w:line="240" w:lineRule="auto"/>
              <w:ind/>
              <w:jc w:val="left"/>
              <w:rPr/>
            </w:pPr>
            <w:r>
              <w:rPr>
                <w:rFonts w:ascii="Times New Roman" w:hAnsi="Times New Roman" w:eastAsia="Times New Roman" w:cs="Times New Roman"/>
                <w:color w:val="000000"/>
                <w:sz w:val="22"/>
              </w:rPr>
            </w:r>
            <w:r>
              <mc:AlternateContent>
                <mc:Choice Requires="wpg">
                  <w:drawing>
                    <wp:inline xmlns:wp="http://schemas.openxmlformats.org/drawingml/2006/wordprocessingDrawing" distT="0" distB="0" distL="0" distR="0">
                      <wp:extent cx="1795170" cy="199521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620376" name=""/>
                              <pic:cNvPicPr>
                                <a:picLocks noChangeAspect="1"/>
                              </pic:cNvPicPr>
                              <pic:nvPr/>
                            </pic:nvPicPr>
                            <pic:blipFill rotWithShape="1">
                              <a:blip r:embed="rId35"/>
                              <a:stretch/>
                            </pic:blipFill>
                            <pic:spPr bwMode="auto">
                              <a:xfrm rot="0" flipH="0" flipV="0">
                                <a:off x="0" y="0"/>
                                <a:ext cx="1795169" cy="19952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41.35pt;height:157.10pt;mso-wrap-distance-left:0.00pt;mso-wrap-distance-top:0.00pt;mso-wrap-distance-right:0.00pt;mso-wrap-distance-bottom:0.00pt;rotation:0;z-index:1;" stroked="false">
                      <v:imagedata r:id="rId35" o:title=""/>
                      <o:lock v:ext="edit" rotation="t"/>
                    </v:shape>
                  </w:pict>
                </mc:Fallback>
              </mc:AlternateContent>
            </w: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2113493" cy="1878793"/>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348548" name=""/>
                              <pic:cNvPicPr>
                                <a:picLocks noChangeAspect="1"/>
                              </pic:cNvPicPr>
                              <pic:nvPr/>
                            </pic:nvPicPr>
                            <pic:blipFill rotWithShape="1">
                              <a:blip r:embed="rId36"/>
                              <a:stretch/>
                            </pic:blipFill>
                            <pic:spPr bwMode="auto">
                              <a:xfrm rot="0" flipH="0" flipV="0">
                                <a:off x="0" y="0"/>
                                <a:ext cx="2113493" cy="187879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66.42pt;height:147.94pt;mso-wrap-distance-left:0.00pt;mso-wrap-distance-top:0.00pt;mso-wrap-distance-right:0.00pt;mso-wrap-distance-bottom:0.00pt;rotation:0;z-index:1;" stroked="false">
                      <v:imagedata r:id="rId36" o:title=""/>
                      <o:lock v:ext="edit" rotation="t"/>
                    </v:shape>
                  </w:pict>
                </mc:Fallback>
              </mc:AlternateContent>
            </w:r>
            <w:r>
              <mc:AlternateContent>
                <mc:Choice Requires="wpg">
                  <w:drawing>
                    <wp:inline xmlns:wp="http://schemas.openxmlformats.org/drawingml/2006/wordprocessingDrawing" distT="0" distB="0" distL="0" distR="0">
                      <wp:extent cx="1209675" cy="971550"/>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371711" name=""/>
                              <pic:cNvPicPr>
                                <a:picLocks noChangeAspect="1"/>
                              </pic:cNvPicPr>
                              <pic:nvPr/>
                            </pic:nvPicPr>
                            <pic:blipFill rotWithShape="1">
                              <a:blip r:embed="rId37"/>
                              <a:stretch/>
                            </pic:blipFill>
                            <pic:spPr bwMode="auto">
                              <a:xfrm>
                                <a:off x="0" y="0"/>
                                <a:ext cx="1209674" cy="9715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95.25pt;height:76.50pt;mso-wrap-distance-left:0.00pt;mso-wrap-distance-top:0.00pt;mso-wrap-distance-right:0.00pt;mso-wrap-distance-bottom:0.00pt;z-index:1;" stroked="false">
                      <v:imagedata r:id="rId37" o:title=""/>
                      <o:lock v:ext="edit" rotation="t"/>
                    </v:shape>
                  </w:pict>
                </mc:Fallback>
              </mc:AlternateContent>
            </w:r>
            <w:r>
              <w:rPr>
                <w:rFonts w:ascii="Times New Roman" w:hAnsi="Times New Roman" w:eastAsia="Times New Roman" w:cs="Times New Roman"/>
                <w:color w:val="000000"/>
                <w:sz w:val="22"/>
              </w:rPr>
            </w:r>
            <w:r/>
          </w:p>
        </w:tc>
      </w:tr>
    </w:tbl>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highlight w:val="none"/>
              </w:rPr>
            </w:pPr>
            <w:r>
              <w:rPr>
                <w:b/>
                <w:bCs/>
              </w:rPr>
              <w:t xml:space="preserve">Người thu thập thông tin</w:t>
            </w:r>
            <w:r>
              <w:rPr>
                <w:b/>
                <w:bCs/>
                <w:highlight w:val="none"/>
              </w:rPr>
            </w:r>
            <w:r>
              <w:rPr>
                <w:b/>
                <w:bCs/>
                <w:highlight w:val="none"/>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left"/>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i/>
              </w:rPr>
            </w:pPr>
            <w:r>
              <w:rPr>
                <w:b/>
                <w:bCs/>
                <w:i/>
                <w:iCs/>
              </w:rPr>
              <w:t xml:space="preserve">Nguyễn Đăng Hiếu</w:t>
            </w:r>
            <w:r>
              <w:rPr>
                <w:b/>
                <w:bCs/>
                <w:i/>
              </w:rPr>
            </w:r>
            <w:r>
              <w:rPr>
                <w:b/>
                <w:bCs/>
                <w:i/>
              </w:rPr>
            </w:r>
          </w:p>
        </w:tc>
      </w:tr>
    </w:tbl>
    <w:p>
      <w:pPr>
        <w:pBdr/>
        <w:spacing w:after="200" w:line="276" w:lineRule="auto"/>
        <w:ind/>
        <w:jc w:val="center"/>
        <w:rPr>
          <w:iCs/>
          <w:highlight w:val="none"/>
          <w:lang w:val="pt-BR"/>
        </w:rPr>
      </w:pPr>
      <w:r>
        <w:rPr>
          <w:b/>
          <w:bCs/>
          <w:iCs/>
          <w:lang w:val="pt-BR"/>
        </w:rPr>
        <w:br w:type="page" w:clear="all"/>
      </w:r>
      <w:r>
        <w:rPr>
          <w:b/>
          <w:bCs/>
          <w:iCs/>
          <w:lang w:val="pt-BR"/>
        </w:rPr>
        <w:t xml:space="preserve">TSSS2</w:t>
      </w:r>
      <w:r>
        <w:rPr>
          <w:iCs/>
          <w:highlight w:val="none"/>
          <w:lang w:val="pt-BR"/>
        </w:rPr>
      </w:r>
      <w:r>
        <w:rPr>
          <w:iCs/>
          <w:highlight w:val="none"/>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2"/>
        <w:gridCol w:w="3090"/>
        <w:gridCol w:w="6799"/>
      </w:tblGrid>
      <w:tr>
        <w:trPr>
          <w:trHeight w:val="276"/>
        </w:trPr>
        <w:tc>
          <w:tcPr>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612"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5" w:space="0"/>
              <w:bottom w:val="single" w:color="000000" w:sz="5" w:space="0"/>
              <w:right w:val="single" w:color="000000" w:sz="5" w:space="0"/>
            </w:tcBorders>
            <w:tcMar>
              <w:left w:w="15" w:type="dxa"/>
              <w:top w:w="15" w:type="dxa"/>
              <w:right w:w="15" w:type="dxa"/>
              <w:bottom w:w="0" w:type="dxa"/>
            </w:tcMar>
            <w:tcW w:w="3090"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5" w:space="0"/>
              <w:bottom w:val="single" w:color="000000" w:sz="5" w:space="0"/>
              <w:right w:val="single" w:color="000000" w:sz="5" w:space="0"/>
            </w:tcBorders>
            <w:tcMar>
              <w:left w:w="15" w:type="dxa"/>
              <w:top w:w="15" w:type="dxa"/>
              <w:right w:w="15" w:type="dxa"/>
              <w:bottom w:w="0" w:type="dxa"/>
            </w:tcMar>
            <w:tcW w:w="6799"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552"/>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https://batdongsan.com.vn/ban-can-ho-chung-cu-duong-k2-phuong-cau-dien-vinaconex-7/ban-gap-ch-3pn-7-tung-mau-dt-85m-full-nt-s-cc-7-2-ty-tang-ep-o971085383-pr45301161 - 971085383</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7.500.000.000</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7.125.000.000</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Tháng 4/2025</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552"/>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828"/>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Tòa nhà Vinaconex 7, Phường Mỹ Đình 1, Thành phố Hà Nội nằm tiếp giáp với đường Nguyễn Văn Giáp</w:t>
            </w:r>
            <w:r/>
          </w:p>
        </w:tc>
      </w:tr>
      <w:tr>
        <w:trPr>
          <w:trHeight w:val="527"/>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trong GCN (thông thủy) (m2)</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85</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góc</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trung</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Ban công hướng Đông Nam</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03 phòng ngủ, 2 vệ sinh</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đầy đủ</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 </w:t>
            </w:r>
            <w:r/>
          </w:p>
        </w:tc>
        <w:tc>
          <w:tcPr>
            <w:gridSpan w:val="2"/>
            <w:tcBorders>
              <w:bottom w:val="single" w:color="000000" w:sz="5" w:space="0"/>
              <w:right w:val="single" w:color="000000" w:sz="5" w:space="0"/>
            </w:tcBorders>
            <w:tcMar>
              <w:left w:w="15" w:type="dxa"/>
              <w:top w:w="15" w:type="dxa"/>
              <w:right w:w="15" w:type="dxa"/>
              <w:bottom w:w="0" w:type="dxa"/>
            </w:tcMar>
            <w:tcW w:w="8913"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3627624" cy="2226775"/>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854493" name=""/>
                              <pic:cNvPicPr>
                                <a:picLocks noChangeAspect="1"/>
                              </pic:cNvPicPr>
                              <pic:nvPr/>
                            </pic:nvPicPr>
                            <pic:blipFill rotWithShape="1">
                              <a:blip r:embed="rId38"/>
                              <a:stretch/>
                            </pic:blipFill>
                            <pic:spPr bwMode="auto">
                              <a:xfrm rot="0" flipH="0" flipV="0">
                                <a:off x="0" y="0"/>
                                <a:ext cx="3627623" cy="22267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85.64pt;height:175.34pt;mso-wrap-distance-left:0.00pt;mso-wrap-distance-top:0.00pt;mso-wrap-distance-right:0.00pt;mso-wrap-distance-bottom:0.00pt;rotation:0;z-index:1;" stroked="false">
                      <v:imagedata r:id="rId38" o:title=""/>
                      <o:lock v:ext="edit" rotation="t"/>
                    </v:shape>
                  </w:pict>
                </mc:Fallback>
              </mc:AlternateContent>
            </w:r>
            <w:r>
              <w:rPr>
                <w:rFonts w:ascii="Times New Roman" w:hAnsi="Times New Roman" w:eastAsia="Times New Roman" w:cs="Times New Roman"/>
                <w:color w:val="000000"/>
                <w:sz w:val="22"/>
              </w:rPr>
              <w:t xml:space="preserve"> </w:t>
            </w:r>
            <w:r>
              <mc:AlternateContent>
                <mc:Choice Requires="wpg">
                  <w:drawing>
                    <wp:inline xmlns:wp="http://schemas.openxmlformats.org/drawingml/2006/wordprocessingDrawing" distT="0" distB="0" distL="0" distR="0">
                      <wp:extent cx="1746494" cy="1113387"/>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987684" name=""/>
                              <pic:cNvPicPr>
                                <a:picLocks noChangeAspect="1"/>
                              </pic:cNvPicPr>
                              <pic:nvPr/>
                            </pic:nvPicPr>
                            <pic:blipFill rotWithShape="1">
                              <a:blip r:embed="rId39"/>
                              <a:stretch/>
                            </pic:blipFill>
                            <pic:spPr bwMode="auto">
                              <a:xfrm flipH="0" flipV="0">
                                <a:off x="0" y="0"/>
                                <a:ext cx="1746493" cy="11133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37.52pt;height:87.67pt;mso-wrap-distance-left:0.00pt;mso-wrap-distance-top:0.00pt;mso-wrap-distance-right:0.00pt;mso-wrap-distance-bottom:0.00pt;z-index:1;" stroked="false">
                      <v:imagedata r:id="rId39" o:title=""/>
                      <o:lock v:ext="edit" rotation="t"/>
                    </v:shape>
                  </w:pict>
                </mc:Fallback>
              </mc:AlternateContent>
            </w:r>
            <w:r>
              <w:rPr>
                <w:rFonts w:ascii="Times New Roman" w:hAnsi="Times New Roman" w:eastAsia="Times New Roman" w:cs="Times New Roman"/>
                <w:color w:val="000000"/>
                <w:sz w:val="22"/>
              </w:rPr>
            </w: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highlight w:val="none"/>
              </w:rPr>
            </w:r>
            <w:r>
              <w:rPr>
                <w:b/>
                <w:bCs/>
              </w:rPr>
            </w:r>
            <w:r>
              <w:rPr>
                <w:b/>
                <w:bCs/>
              </w:rPr>
            </w:r>
          </w:p>
          <w:p>
            <w:pPr>
              <w:pBdr/>
              <w:spacing/>
              <w:ind/>
              <w:jc w:val="center"/>
              <w:rPr>
                <w:b/>
                <w:bCs/>
                <w:highlight w:val="none"/>
              </w:rPr>
            </w:pPr>
            <w:r>
              <w:rPr>
                <w:b/>
                <w:bCs/>
              </w:rPr>
              <w:t xml:space="preserve">Người thu thập thông tin</w:t>
            </w:r>
            <w:r>
              <w:rPr>
                <w:b/>
                <w:bCs/>
                <w:highlight w:val="none"/>
              </w:rPr>
            </w:r>
            <w:r>
              <w:rPr>
                <w:b/>
                <w:bCs/>
                <w:highlight w:val="none"/>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i/>
              </w:rPr>
            </w:pPr>
            <w:r>
              <w:rPr>
                <w:b/>
                <w:bCs/>
                <w:i/>
                <w:iCs/>
              </w:rPr>
              <w:t xml:space="preserve">Nguyễn Đăng Hiếu</w:t>
            </w:r>
            <w:r>
              <w:rPr>
                <w:b/>
                <w:bCs/>
                <w:i/>
              </w:rPr>
            </w:r>
            <w:r>
              <w:rPr>
                <w:b/>
                <w:bCs/>
                <w:i/>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Style w:val="1031"/>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2"/>
        <w:gridCol w:w="3090"/>
        <w:gridCol w:w="6799"/>
      </w:tblGrid>
      <w:tr>
        <w:trPr>
          <w:trHeight w:val="276"/>
        </w:trPr>
        <w:tc>
          <w:tcPr>
            <w:tcBorders>
              <w:top w:val="single" w:color="000000" w:sz="5" w:space="0"/>
              <w:left w:val="single" w:color="000000" w:sz="5" w:space="0"/>
              <w:bottom w:val="single" w:color="000000" w:sz="5" w:space="0"/>
              <w:right w:val="single" w:color="000000" w:sz="5" w:space="0"/>
            </w:tcBorders>
            <w:tcMar>
              <w:left w:w="15" w:type="dxa"/>
              <w:top w:w="15" w:type="dxa"/>
              <w:right w:w="15" w:type="dxa"/>
              <w:bottom w:w="0" w:type="dxa"/>
            </w:tcMar>
            <w:tcW w:w="612" w:type="dxa"/>
            <w:vAlign w:val="top"/>
            <w:textDirection w:val="lrTb"/>
            <w:noWrap w:val="false"/>
          </w:tcPr>
          <w:p>
            <w:pPr>
              <w:pBdr/>
              <w:spacing w:after="0" w:before="0" w:line="240" w:lineRule="auto"/>
              <w:ind/>
              <w:jc w:val="center"/>
              <w:rPr/>
            </w:pPr>
            <w:r>
              <w:rPr>
                <w:rFonts w:ascii="Times New Roman" w:hAnsi="Times New Roman" w:eastAsia="Times New Roman" w:cs="Times New Roman"/>
                <w:b/>
                <w:color w:val="000000"/>
                <w:sz w:val="22"/>
              </w:rPr>
              <w:t xml:space="preserve">A</w:t>
            </w:r>
            <w:r/>
          </w:p>
        </w:tc>
        <w:tc>
          <w:tcPr>
            <w:tcBorders>
              <w:top w:val="single" w:color="000000" w:sz="5" w:space="0"/>
              <w:bottom w:val="single" w:color="000000" w:sz="5" w:space="0"/>
              <w:right w:val="single" w:color="000000" w:sz="5" w:space="0"/>
            </w:tcBorders>
            <w:tcMar>
              <w:left w:w="15" w:type="dxa"/>
              <w:top w:w="15" w:type="dxa"/>
              <w:right w:w="15" w:type="dxa"/>
              <w:bottom w:w="0" w:type="dxa"/>
            </w:tcMar>
            <w:tcW w:w="3090" w:type="dxa"/>
            <w:vAlign w:val="top"/>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Thông tin về tài sản</w:t>
            </w:r>
            <w:r/>
          </w:p>
        </w:tc>
        <w:tc>
          <w:tcPr>
            <w:tcBorders>
              <w:top w:val="single" w:color="000000" w:sz="5" w:space="0"/>
              <w:bottom w:val="single" w:color="000000" w:sz="5" w:space="0"/>
              <w:right w:val="single" w:color="000000" w:sz="5" w:space="0"/>
            </w:tcBorders>
            <w:tcMar>
              <w:left w:w="15" w:type="dxa"/>
              <w:top w:w="15" w:type="dxa"/>
              <w:right w:w="15" w:type="dxa"/>
              <w:bottom w:w="0" w:type="dxa"/>
            </w:tcMar>
            <w:tcW w:w="6799" w:type="dxa"/>
            <w:vAlign w:val="top"/>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1380"/>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Nguồn tham khảo</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https://batdongsan.com.vn/ban-can-ho-chung-cu-duong-k2-phuong-cau-dien-vinaconex-7/ban-7-gia-uu-ai-chi-voi-6-5-ty-75m2-2pn-2wc-tai-tu-liem-ha-noi-pr45469556 - 961894696</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2</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rao (đồng)</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6.500.000.000</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3</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Giá thương lượng (đồng)</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6.175.000.000</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4</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Tình trạng giao dịch</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Đang giao dịch</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5</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Thời điểm thu thập thông tin</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Tháng 4/2025</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6</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Tính chất giao dịch</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Giao dịch bình thường trên thị trường</w:t>
            </w:r>
            <w:r/>
          </w:p>
        </w:tc>
      </w:tr>
      <w:tr>
        <w:trPr>
          <w:trHeight w:val="552"/>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7</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Pháp lý</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Giấy chứng nhận Quyền sử dụng đất </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8</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Loại hình tài sản</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hộ chung cư</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9</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Vị trí</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Tòa nhà Vinaconex 7, Phường Mỹ Đình 1, Thành phố Hà Nội nằm tiếp giáp với đường Nguyễn Văn Giáp</w:t>
            </w:r>
            <w:r/>
          </w:p>
        </w:tc>
      </w:tr>
      <w:tr>
        <w:trPr>
          <w:trHeight w:val="552"/>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10</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Diện tích trong GCN (thông thủy) (m2)</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72</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11</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Mặt tiếp giáp</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Căn thường</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12</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Tầng</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Tầng trung</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13</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Hướng ban công</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Ban công hướng Đông Nam</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14</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Cấu trúc</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02 phòng ngủ, 2 vệ sinh</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15</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Nội thất</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Nội thất cơ bản</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16</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Hệ thống cấp điện, cấp thoát nước đầy đủ</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2"/>
              </w:rPr>
              <w:t xml:space="preserve">17</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color w:val="000000"/>
                <w:sz w:val="22"/>
              </w:rPr>
              <w:t xml:space="preserve">Điều kiện môi trường an ninh</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Tốt</w:t>
            </w:r>
            <w:r/>
          </w:p>
        </w:tc>
      </w:tr>
      <w:tr>
        <w:trPr>
          <w:trHeight w:val="276"/>
        </w:trPr>
        <w:tc>
          <w:tcPr>
            <w:tcBorders>
              <w:left w:val="single" w:color="000000" w:sz="5" w:space="0"/>
              <w:bottom w:val="single" w:color="000000" w:sz="5" w:space="0"/>
              <w:right w:val="single" w:color="000000" w:sz="5" w:space="0"/>
            </w:tcBorders>
            <w:tcMar>
              <w:left w:w="15" w:type="dxa"/>
              <w:top w:w="15" w:type="dxa"/>
              <w:right w:w="15" w:type="dxa"/>
              <w:bottom w:w="0" w:type="dxa"/>
            </w:tcMar>
            <w:tcW w:w="612"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2"/>
              </w:rPr>
              <w:t xml:space="preserve">B</w:t>
            </w:r>
            <w:r/>
          </w:p>
        </w:tc>
        <w:tc>
          <w:tcPr>
            <w:tcBorders>
              <w:bottom w:val="single" w:color="000000" w:sz="5" w:space="0"/>
              <w:right w:val="single" w:color="000000" w:sz="5" w:space="0"/>
            </w:tcBorders>
            <w:tcMar>
              <w:left w:w="15" w:type="dxa"/>
              <w:top w:w="15" w:type="dxa"/>
              <w:right w:w="15" w:type="dxa"/>
              <w:bottom w:w="0" w:type="dxa"/>
            </w:tcMar>
            <w:tcW w:w="3090" w:type="dxa"/>
            <w:vAlign w:val="center"/>
            <w:textDirection w:val="lrTb"/>
            <w:noWrap w:val="false"/>
          </w:tcPr>
          <w:p>
            <w:pPr>
              <w:pBdr/>
              <w:spacing w:after="0" w:before="0" w:line="240" w:lineRule="auto"/>
              <w:ind/>
              <w:rPr/>
            </w:pPr>
            <w:r>
              <w:rPr>
                <w:rFonts w:ascii="Times New Roman" w:hAnsi="Times New Roman" w:eastAsia="Times New Roman" w:cs="Times New Roman"/>
                <w:b/>
                <w:color w:val="000000"/>
                <w:sz w:val="22"/>
              </w:rPr>
              <w:t xml:space="preserve">Bằng chứng thu thập</w:t>
            </w:r>
            <w:r/>
          </w:p>
        </w:tc>
        <w:tc>
          <w:tcPr>
            <w:tcBorders>
              <w:bottom w:val="single" w:color="000000" w:sz="5" w:space="0"/>
              <w:right w:val="single" w:color="000000" w:sz="5" w:space="0"/>
            </w:tcBorders>
            <w:tcMar>
              <w:left w:w="15" w:type="dxa"/>
              <w:top w:w="15" w:type="dxa"/>
              <w:right w:w="15" w:type="dxa"/>
              <w:bottom w:w="0" w:type="dxa"/>
            </w:tcMar>
            <w:tcW w:w="679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2"/>
              </w:rPr>
              <w:t xml:space="preserve"> </w:t>
            </w:r>
            <w:r/>
          </w:p>
        </w:tc>
      </w:tr>
      <w:tr>
        <w:trPr>
          <w:trHeight w:val="276"/>
        </w:trPr>
        <w:tc>
          <w:tcPr>
            <w:tcBorders/>
            <w:tcMar>
              <w:left w:w="15" w:type="dxa"/>
              <w:top w:w="15" w:type="dxa"/>
              <w:right w:w="15" w:type="dxa"/>
              <w:bottom w:w="0" w:type="dxa"/>
            </w:tcMar>
            <w:tcW w:w="612" w:type="dxa"/>
            <w:vAlign w:val="center"/>
            <w:textDirection w:val="lrTb"/>
            <w:noWrap/>
          </w:tcPr>
          <w:p>
            <w:pPr>
              <w:pBdr/>
              <w:spacing w:after="0" w:before="0" w:line="240" w:lineRule="auto"/>
              <w:ind/>
              <w:rPr/>
            </w:pPr>
            <w:r/>
            <w:r/>
          </w:p>
        </w:tc>
        <w:tc>
          <w:tcPr>
            <w:gridSpan w:val="2"/>
            <w:tcBorders/>
            <w:tcMar>
              <w:left w:w="15" w:type="dxa"/>
              <w:top w:w="15" w:type="dxa"/>
              <w:right w:w="15" w:type="dxa"/>
              <w:bottom w:w="0" w:type="dxa"/>
            </w:tcMar>
            <w:tcW w:w="8913" w:type="dxa"/>
            <w:vAlign w:val="center"/>
            <w:textDirection w:val="lrTb"/>
            <w:noWrap w:val="false"/>
          </w:tcPr>
          <w:p>
            <w:pPr>
              <w:pBdr/>
              <w:spacing w:after="0" w:before="0" w:line="240" w:lineRule="auto"/>
              <w:ind/>
              <w:rPr>
                <w:highlight w:val="none"/>
              </w:rPr>
            </w:pPr>
            <w:r>
              <mc:AlternateContent>
                <mc:Choice Requires="wpg">
                  <w:drawing>
                    <wp:inline xmlns:wp="http://schemas.openxmlformats.org/drawingml/2006/wordprocessingDrawing" distT="0" distB="0" distL="0" distR="0">
                      <wp:extent cx="2239670" cy="2280313"/>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56485" name=""/>
                              <pic:cNvPicPr>
                                <a:picLocks noChangeAspect="1"/>
                              </pic:cNvPicPr>
                              <pic:nvPr/>
                            </pic:nvPicPr>
                            <pic:blipFill rotWithShape="1">
                              <a:blip r:embed="rId40"/>
                              <a:stretch/>
                            </pic:blipFill>
                            <pic:spPr bwMode="auto">
                              <a:xfrm rot="0" flipH="0" flipV="0">
                                <a:off x="0" y="0"/>
                                <a:ext cx="2239669" cy="22803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76.35pt;height:179.55pt;mso-wrap-distance-left:0.00pt;mso-wrap-distance-top:0.00pt;mso-wrap-distance-right:0.00pt;mso-wrap-distance-bottom:0.00pt;rotation:0;z-index:1;" stroked="false">
                      <v:imagedata r:id="rId40" o:title=""/>
                      <o:lock v:ext="edit" rotation="t"/>
                    </v:shape>
                  </w:pict>
                </mc:Fallback>
              </mc:AlternateContent>
            </w:r>
            <w:r>
              <mc:AlternateContent>
                <mc:Choice Requires="wpg">
                  <w:drawing>
                    <wp:inline xmlns:wp="http://schemas.openxmlformats.org/drawingml/2006/wordprocessingDrawing" distT="0" distB="0" distL="0" distR="0">
                      <wp:extent cx="2095500" cy="2280313"/>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399642" name=""/>
                              <pic:cNvPicPr>
                                <a:picLocks noChangeAspect="1"/>
                              </pic:cNvPicPr>
                              <pic:nvPr/>
                            </pic:nvPicPr>
                            <pic:blipFill rotWithShape="1">
                              <a:blip r:embed="rId41"/>
                              <a:stretch/>
                            </pic:blipFill>
                            <pic:spPr bwMode="auto">
                              <a:xfrm rot="0" flipH="0" flipV="0">
                                <a:off x="0" y="0"/>
                                <a:ext cx="2095499" cy="22803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65.00pt;height:179.55pt;mso-wrap-distance-left:0.00pt;mso-wrap-distance-top:0.00pt;mso-wrap-distance-right:0.00pt;mso-wrap-distance-bottom:0.00pt;rotation:0;z-index:1;" stroked="false">
                      <v:imagedata r:id="rId41" o:title=""/>
                      <o:lock v:ext="edit" rotation="t"/>
                    </v:shape>
                  </w:pict>
                </mc:Fallback>
              </mc:AlternateContent>
            </w:r>
            <w:r>
              <mc:AlternateContent>
                <mc:Choice Requires="wpg">
                  <w:drawing>
                    <wp:inline xmlns:wp="http://schemas.openxmlformats.org/drawingml/2006/wordprocessingDrawing" distT="0" distB="0" distL="0" distR="0">
                      <wp:extent cx="1209675" cy="923925"/>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687991" name=""/>
                              <pic:cNvPicPr>
                                <a:picLocks noChangeAspect="1"/>
                              </pic:cNvPicPr>
                              <pic:nvPr/>
                            </pic:nvPicPr>
                            <pic:blipFill rotWithShape="1">
                              <a:blip r:embed="rId42"/>
                              <a:stretch/>
                            </pic:blipFill>
                            <pic:spPr bwMode="auto">
                              <a:xfrm rot="0" flipH="0" flipV="0">
                                <a:off x="0" y="0"/>
                                <a:ext cx="1209674" cy="92392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95.25pt;height:72.75pt;mso-wrap-distance-left:0.00pt;mso-wrap-distance-top:0.00pt;mso-wrap-distance-right:0.00pt;mso-wrap-distance-bottom:0.00pt;rotation:0;z-index:1;" stroked="false">
                      <v:imagedata r:id="rId42" o:title=""/>
                      <o:lock v:ext="edit" rotation="t"/>
                    </v:shape>
                  </w:pict>
                </mc:Fallback>
              </mc:AlternateContent>
            </w:r>
            <w:r>
              <w:rPr>
                <w:highlight w:val="none"/>
              </w:rPr>
            </w:r>
            <w:r>
              <w:rPr>
                <w:highlight w:val="none"/>
              </w:rPr>
            </w:r>
          </w:p>
        </w:tc>
      </w:tr>
    </w:tbl>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left"/>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i/>
              </w:rPr>
            </w:pPr>
            <w:r>
              <w:rPr>
                <w:b/>
                <w:bCs/>
                <w:i/>
                <w:iCs/>
              </w:rPr>
              <w:t xml:space="preserve">Nguyễn Đăng Hiếu</w:t>
            </w:r>
            <w:r>
              <w:rPr>
                <w:b/>
                <w:bCs/>
                <w:i/>
              </w:rPr>
            </w:r>
            <w:r>
              <w:rPr>
                <w:b/>
                <w:bCs/>
                <w:i/>
              </w:rPr>
            </w:r>
          </w:p>
        </w:tc>
      </w:tr>
    </w:tbl>
    <w:p>
      <w:pPr>
        <w:pBdr/>
        <w:spacing w:after="200" w:line="276" w:lineRule="auto"/>
        <w:ind/>
        <w:rPr>
          <w:iCs/>
          <w:lang w:val="pt-BR"/>
        </w:rPr>
      </w:pPr>
      <w:r>
        <w:rPr>
          <w:iCs/>
          <w:lang w:val="pt-BR"/>
        </w:rPr>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3"/>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3"/>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480740B"/>
    <w:lvl w:ilvl="0">
      <w:isLgl w:val="false"/>
      <w:lvlJc w:val="left"/>
      <w:lvlText w:val="-"/>
      <w:numFmt w:val="bullet"/>
      <w:pPr>
        <w:pBdr/>
        <w:spacing/>
        <w:ind w:hanging="360" w:left="720"/>
      </w:pPr>
      <w:rPr>
        <w:rFonts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9">
    <w:name w:val="Table Grid Light"/>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1"/>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2"/>
    <w:basedOn w:val="1011"/>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3"/>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Plain Table 4"/>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Plain Table 5"/>
    <w:basedOn w:val="1011"/>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w:basedOn w:val="1011"/>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w:basedOn w:val="1011"/>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1"/>
    <w:basedOn w:val="1011"/>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 Accent 5"/>
    <w:basedOn w:val="1011"/>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6"/>
    <w:basedOn w:val="1011"/>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w:basedOn w:val="1011"/>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1"/>
    <w:basedOn w:val="1011"/>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2"/>
    <w:basedOn w:val="1011"/>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3"/>
    <w:basedOn w:val="1011"/>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4"/>
    <w:basedOn w:val="1011"/>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 Accent 5"/>
    <w:basedOn w:val="1011"/>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6"/>
    <w:basedOn w:val="1011"/>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Accent 1"/>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 Accent 2"/>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3"/>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Accent 4"/>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 Accent 5"/>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 Accent 6"/>
    <w:basedOn w:val="1011"/>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1">
    <w:name w:val="Grid Table 6 Colorful - Accent 1"/>
    <w:basedOn w:val="1011"/>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2">
    <w:name w:val="Grid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3">
    <w:name w:val="Grid Table 6 Colorful - Accent 3"/>
    <w:basedOn w:val="1011"/>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4">
    <w:name w:val="Grid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5">
    <w:name w:val="Grid Table 6 Colorful - Accent 5"/>
    <w:basedOn w:val="1011"/>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6">
    <w:name w:val="Grid Table 6 Colorful - Accent 6"/>
    <w:basedOn w:val="1011"/>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7">
    <w:name w:val="Grid Table 7 Colorful"/>
    <w:basedOn w:val="1011"/>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1"/>
    <w:basedOn w:val="1011"/>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2"/>
    <w:basedOn w:val="1011"/>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3"/>
    <w:basedOn w:val="1011"/>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4"/>
    <w:basedOn w:val="1011"/>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7 Colorful - Accent 5"/>
    <w:basedOn w:val="1011"/>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6"/>
    <w:basedOn w:val="1011"/>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1"/>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2"/>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3"/>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4"/>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 Accent 5"/>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6"/>
    <w:basedOn w:val="1011"/>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w:basedOn w:val="1011"/>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1"/>
    <w:basedOn w:val="1011"/>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2"/>
    <w:basedOn w:val="1011"/>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3"/>
    <w:basedOn w:val="1011"/>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4"/>
    <w:basedOn w:val="1011"/>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 Accent 5"/>
    <w:basedOn w:val="1011"/>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6"/>
    <w:basedOn w:val="1011"/>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1"/>
    <w:basedOn w:val="1011"/>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2"/>
    <w:basedOn w:val="1011"/>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3"/>
    <w:basedOn w:val="1011"/>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4"/>
    <w:basedOn w:val="1011"/>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 Accent 5"/>
    <w:basedOn w:val="1011"/>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6"/>
    <w:basedOn w:val="1011"/>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w:basedOn w:val="1011"/>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1"/>
    <w:basedOn w:val="1011"/>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2"/>
    <w:basedOn w:val="1011"/>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3"/>
    <w:basedOn w:val="1011"/>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4"/>
    <w:basedOn w:val="1011"/>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 Accent 5"/>
    <w:basedOn w:val="1011"/>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6"/>
    <w:basedOn w:val="1011"/>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5 Dark"/>
    <w:basedOn w:val="1011"/>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1"/>
    <w:basedOn w:val="1011"/>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2"/>
    <w:basedOn w:val="1011"/>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3"/>
    <w:basedOn w:val="1011"/>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4"/>
    <w:basedOn w:val="1011"/>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5 Dark - Accent 5"/>
    <w:basedOn w:val="1011"/>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6"/>
    <w:basedOn w:val="1011"/>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6 Colorful"/>
    <w:basedOn w:val="1011"/>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1"/>
    <w:basedOn w:val="1011"/>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2"/>
    <w:basedOn w:val="1011"/>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3"/>
    <w:basedOn w:val="1011"/>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4"/>
    <w:basedOn w:val="1011"/>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6 Colorful - Accent 5"/>
    <w:basedOn w:val="1011"/>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6"/>
    <w:basedOn w:val="1011"/>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7 Colorful"/>
    <w:basedOn w:val="1011"/>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7">
    <w:name w:val="List Table 7 Colorful - Accent 1"/>
    <w:basedOn w:val="1011"/>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8">
    <w:name w:val="List Table 7 Colorful - Accent 2"/>
    <w:basedOn w:val="1011"/>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9">
    <w:name w:val="List Table 7 Colorful - Accent 3"/>
    <w:basedOn w:val="1011"/>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0">
    <w:name w:val="List Table 7 Colorful - Accent 4"/>
    <w:basedOn w:val="1011"/>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1">
    <w:name w:val="List Table 7 Colorful - Accent 5"/>
    <w:basedOn w:val="1011"/>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2">
    <w:name w:val="List Table 7 Colorful - Accent 6"/>
    <w:basedOn w:val="1011"/>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3">
    <w:name w:val="Lined - Accent"/>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1"/>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2"/>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3"/>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4"/>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ned - Accent 5"/>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6"/>
    <w:basedOn w:val="1011"/>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w:basedOn w:val="1011"/>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1"/>
    <w:basedOn w:val="1011"/>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2"/>
    <w:basedOn w:val="1011"/>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3"/>
    <w:basedOn w:val="1011"/>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4"/>
    <w:basedOn w:val="1011"/>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5"/>
    <w:basedOn w:val="1011"/>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6"/>
    <w:basedOn w:val="1011"/>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w:basedOn w:val="1011"/>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1"/>
    <w:basedOn w:val="1011"/>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2"/>
    <w:basedOn w:val="1011"/>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3"/>
    <w:basedOn w:val="1011"/>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4"/>
    <w:basedOn w:val="1011"/>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 Accent 5"/>
    <w:basedOn w:val="1011"/>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6"/>
    <w:basedOn w:val="1011"/>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4">
    <w:name w:val="Heading 5"/>
    <w:basedOn w:val="1005"/>
    <w:next w:val="1005"/>
    <w:link w:val="969"/>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5">
    <w:name w:val="Heading 6"/>
    <w:basedOn w:val="1005"/>
    <w:next w:val="1005"/>
    <w:link w:val="970"/>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6">
    <w:name w:val="Heading 7"/>
    <w:basedOn w:val="1005"/>
    <w:next w:val="1005"/>
    <w:link w:val="971"/>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7">
    <w:name w:val="Heading 8"/>
    <w:basedOn w:val="1005"/>
    <w:next w:val="1005"/>
    <w:link w:val="972"/>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8">
    <w:name w:val="Heading 9"/>
    <w:basedOn w:val="1005"/>
    <w:next w:val="1005"/>
    <w:link w:val="973"/>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9">
    <w:name w:val="Heading 5 Char"/>
    <w:basedOn w:val="1010"/>
    <w:link w:val="964"/>
    <w:uiPriority w:val="9"/>
    <w:pPr>
      <w:pBdr/>
      <w:spacing/>
      <w:ind/>
    </w:pPr>
    <w:rPr>
      <w:rFonts w:ascii="Arial" w:hAnsi="Arial" w:eastAsia="Arial" w:cs="Arial"/>
      <w:color w:val="0f4761" w:themeColor="accent1" w:themeShade="BF"/>
    </w:rPr>
  </w:style>
  <w:style w:type="character" w:styleId="970">
    <w:name w:val="Heading 6 Char"/>
    <w:basedOn w:val="1010"/>
    <w:link w:val="965"/>
    <w:uiPriority w:val="9"/>
    <w:pPr>
      <w:pBdr/>
      <w:spacing/>
      <w:ind/>
    </w:pPr>
    <w:rPr>
      <w:rFonts w:ascii="Arial" w:hAnsi="Arial" w:eastAsia="Arial" w:cs="Arial"/>
      <w:i/>
      <w:iCs/>
      <w:color w:val="595959" w:themeColor="text1" w:themeTint="A6"/>
    </w:rPr>
  </w:style>
  <w:style w:type="character" w:styleId="971">
    <w:name w:val="Heading 7 Char"/>
    <w:basedOn w:val="1010"/>
    <w:link w:val="966"/>
    <w:uiPriority w:val="9"/>
    <w:pPr>
      <w:pBdr/>
      <w:spacing/>
      <w:ind/>
    </w:pPr>
    <w:rPr>
      <w:rFonts w:ascii="Arial" w:hAnsi="Arial" w:eastAsia="Arial" w:cs="Arial"/>
      <w:color w:val="595959" w:themeColor="text1" w:themeTint="A6"/>
    </w:rPr>
  </w:style>
  <w:style w:type="character" w:styleId="972">
    <w:name w:val="Heading 8 Char"/>
    <w:basedOn w:val="1010"/>
    <w:link w:val="967"/>
    <w:uiPriority w:val="9"/>
    <w:pPr>
      <w:pBdr/>
      <w:spacing/>
      <w:ind/>
    </w:pPr>
    <w:rPr>
      <w:rFonts w:ascii="Arial" w:hAnsi="Arial" w:eastAsia="Arial" w:cs="Arial"/>
      <w:i/>
      <w:iCs/>
      <w:color w:val="272727" w:themeColor="text1" w:themeTint="D8"/>
    </w:rPr>
  </w:style>
  <w:style w:type="character" w:styleId="973">
    <w:name w:val="Heading 9 Char"/>
    <w:basedOn w:val="1010"/>
    <w:link w:val="968"/>
    <w:uiPriority w:val="9"/>
    <w:pPr>
      <w:pBdr/>
      <w:spacing/>
      <w:ind/>
    </w:pPr>
    <w:rPr>
      <w:rFonts w:ascii="Arial" w:hAnsi="Arial" w:eastAsia="Arial" w:cs="Arial"/>
      <w:i/>
      <w:iCs/>
      <w:color w:val="272727" w:themeColor="text1" w:themeTint="D8"/>
    </w:rPr>
  </w:style>
  <w:style w:type="paragraph" w:styleId="974">
    <w:name w:val="Subtitle"/>
    <w:basedOn w:val="1005"/>
    <w:next w:val="1005"/>
    <w:link w:val="975"/>
    <w:uiPriority w:val="11"/>
    <w:qFormat/>
    <w:pPr>
      <w:numPr>
        <w:ilvl w:val="1"/>
      </w:numPr>
      <w:pBdr/>
      <w:spacing/>
      <w:ind/>
    </w:pPr>
    <w:rPr>
      <w:color w:val="595959" w:themeColor="text1" w:themeTint="A6"/>
      <w:spacing w:val="15"/>
      <w:sz w:val="28"/>
      <w:szCs w:val="28"/>
    </w:rPr>
  </w:style>
  <w:style w:type="character" w:styleId="975">
    <w:name w:val="Subtitle Char"/>
    <w:basedOn w:val="1010"/>
    <w:link w:val="974"/>
    <w:uiPriority w:val="11"/>
    <w:pPr>
      <w:pBdr/>
      <w:spacing/>
      <w:ind/>
    </w:pPr>
    <w:rPr>
      <w:color w:val="595959" w:themeColor="text1" w:themeTint="A6"/>
      <w:spacing w:val="15"/>
      <w:sz w:val="28"/>
      <w:szCs w:val="28"/>
    </w:rPr>
  </w:style>
  <w:style w:type="paragraph" w:styleId="976">
    <w:name w:val="Quote"/>
    <w:basedOn w:val="1005"/>
    <w:next w:val="1005"/>
    <w:link w:val="977"/>
    <w:uiPriority w:val="29"/>
    <w:qFormat/>
    <w:pPr>
      <w:pBdr/>
      <w:spacing w:before="160"/>
      <w:ind/>
      <w:jc w:val="center"/>
    </w:pPr>
    <w:rPr>
      <w:i/>
      <w:iCs/>
      <w:color w:val="404040" w:themeColor="text1" w:themeTint="BF"/>
    </w:rPr>
  </w:style>
  <w:style w:type="character" w:styleId="977">
    <w:name w:val="Quote Char"/>
    <w:basedOn w:val="1010"/>
    <w:link w:val="976"/>
    <w:uiPriority w:val="29"/>
    <w:pPr>
      <w:pBdr/>
      <w:spacing/>
      <w:ind/>
    </w:pPr>
    <w:rPr>
      <w:i/>
      <w:iCs/>
      <w:color w:val="404040" w:themeColor="text1" w:themeTint="BF"/>
    </w:rPr>
  </w:style>
  <w:style w:type="character" w:styleId="978">
    <w:name w:val="Intense Emphasis"/>
    <w:basedOn w:val="1010"/>
    <w:uiPriority w:val="21"/>
    <w:qFormat/>
    <w:pPr>
      <w:pBdr/>
      <w:spacing/>
      <w:ind/>
    </w:pPr>
    <w:rPr>
      <w:i/>
      <w:iCs/>
      <w:color w:val="0f4761" w:themeColor="accent1" w:themeShade="BF"/>
    </w:rPr>
  </w:style>
  <w:style w:type="paragraph" w:styleId="979">
    <w:name w:val="Intense Quote"/>
    <w:basedOn w:val="1005"/>
    <w:next w:val="1005"/>
    <w:link w:val="980"/>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0">
    <w:name w:val="Intense Quote Char"/>
    <w:basedOn w:val="1010"/>
    <w:link w:val="979"/>
    <w:uiPriority w:val="30"/>
    <w:pPr>
      <w:pBdr/>
      <w:spacing/>
      <w:ind/>
    </w:pPr>
    <w:rPr>
      <w:i/>
      <w:iCs/>
      <w:color w:val="0f4761" w:themeColor="accent1" w:themeShade="BF"/>
    </w:rPr>
  </w:style>
  <w:style w:type="character" w:styleId="981">
    <w:name w:val="Intense Reference"/>
    <w:basedOn w:val="1010"/>
    <w:uiPriority w:val="32"/>
    <w:qFormat/>
    <w:pPr>
      <w:pBdr/>
      <w:spacing/>
      <w:ind/>
    </w:pPr>
    <w:rPr>
      <w:b/>
      <w:bCs/>
      <w:smallCaps/>
      <w:color w:val="0f4761" w:themeColor="accent1" w:themeShade="BF"/>
      <w:spacing w:val="5"/>
    </w:rPr>
  </w:style>
  <w:style w:type="paragraph" w:styleId="982">
    <w:name w:val="No Spacing"/>
    <w:basedOn w:val="1005"/>
    <w:uiPriority w:val="1"/>
    <w:qFormat/>
    <w:pPr>
      <w:pBdr/>
      <w:spacing w:after="0" w:line="240" w:lineRule="auto"/>
      <w:ind/>
    </w:pPr>
  </w:style>
  <w:style w:type="character" w:styleId="983">
    <w:name w:val="Subtle Emphasis"/>
    <w:basedOn w:val="1010"/>
    <w:uiPriority w:val="19"/>
    <w:qFormat/>
    <w:pPr>
      <w:pBdr/>
      <w:spacing/>
      <w:ind/>
    </w:pPr>
    <w:rPr>
      <w:i/>
      <w:iCs/>
      <w:color w:val="404040" w:themeColor="text1" w:themeTint="BF"/>
    </w:rPr>
  </w:style>
  <w:style w:type="character" w:styleId="984">
    <w:name w:val="Subtle Reference"/>
    <w:basedOn w:val="1010"/>
    <w:uiPriority w:val="31"/>
    <w:qFormat/>
    <w:pPr>
      <w:pBdr/>
      <w:spacing/>
      <w:ind/>
    </w:pPr>
    <w:rPr>
      <w:smallCaps/>
      <w:color w:val="5a5a5a" w:themeColor="text1" w:themeTint="A5"/>
    </w:rPr>
  </w:style>
  <w:style w:type="character" w:styleId="985">
    <w:name w:val="Book Title"/>
    <w:basedOn w:val="1010"/>
    <w:uiPriority w:val="33"/>
    <w:qFormat/>
    <w:pPr>
      <w:pBdr/>
      <w:spacing/>
      <w:ind/>
    </w:pPr>
    <w:rPr>
      <w:b/>
      <w:bCs/>
      <w:i/>
      <w:iCs/>
      <w:spacing w:val="5"/>
    </w:rPr>
  </w:style>
  <w:style w:type="paragraph" w:styleId="986">
    <w:name w:val="Caption"/>
    <w:basedOn w:val="1005"/>
    <w:next w:val="1005"/>
    <w:uiPriority w:val="35"/>
    <w:unhideWhenUsed/>
    <w:qFormat/>
    <w:pPr>
      <w:pBdr/>
      <w:spacing w:after="200" w:line="240" w:lineRule="auto"/>
      <w:ind/>
    </w:pPr>
    <w:rPr>
      <w:i/>
      <w:iCs/>
      <w:color w:val="0e2841" w:themeColor="text2"/>
      <w:sz w:val="18"/>
      <w:szCs w:val="18"/>
    </w:rPr>
  </w:style>
  <w:style w:type="paragraph" w:styleId="987">
    <w:name w:val="footnote text"/>
    <w:basedOn w:val="1005"/>
    <w:link w:val="988"/>
    <w:uiPriority w:val="99"/>
    <w:semiHidden/>
    <w:unhideWhenUsed/>
    <w:pPr>
      <w:pBdr/>
      <w:spacing w:after="0" w:line="240" w:lineRule="auto"/>
      <w:ind/>
    </w:pPr>
    <w:rPr>
      <w:sz w:val="20"/>
      <w:szCs w:val="20"/>
    </w:rPr>
  </w:style>
  <w:style w:type="character" w:styleId="988">
    <w:name w:val="Footnote Text Char"/>
    <w:basedOn w:val="1010"/>
    <w:link w:val="987"/>
    <w:uiPriority w:val="99"/>
    <w:semiHidden/>
    <w:pPr>
      <w:pBdr/>
      <w:spacing/>
      <w:ind/>
    </w:pPr>
    <w:rPr>
      <w:sz w:val="20"/>
      <w:szCs w:val="20"/>
    </w:rPr>
  </w:style>
  <w:style w:type="character" w:styleId="989">
    <w:name w:val="footnote reference"/>
    <w:basedOn w:val="1010"/>
    <w:uiPriority w:val="99"/>
    <w:semiHidden/>
    <w:unhideWhenUsed/>
    <w:pPr>
      <w:pBdr/>
      <w:spacing/>
      <w:ind/>
    </w:pPr>
    <w:rPr>
      <w:vertAlign w:val="superscript"/>
    </w:rPr>
  </w:style>
  <w:style w:type="paragraph" w:styleId="990">
    <w:name w:val="endnote text"/>
    <w:basedOn w:val="1005"/>
    <w:link w:val="991"/>
    <w:uiPriority w:val="99"/>
    <w:semiHidden/>
    <w:unhideWhenUsed/>
    <w:pPr>
      <w:pBdr/>
      <w:spacing w:after="0" w:line="240" w:lineRule="auto"/>
      <w:ind/>
    </w:pPr>
    <w:rPr>
      <w:sz w:val="20"/>
      <w:szCs w:val="20"/>
    </w:rPr>
  </w:style>
  <w:style w:type="character" w:styleId="991">
    <w:name w:val="Endnote Text Char"/>
    <w:basedOn w:val="1010"/>
    <w:link w:val="990"/>
    <w:uiPriority w:val="99"/>
    <w:semiHidden/>
    <w:pPr>
      <w:pBdr/>
      <w:spacing/>
      <w:ind/>
    </w:pPr>
    <w:rPr>
      <w:sz w:val="20"/>
      <w:szCs w:val="20"/>
    </w:rPr>
  </w:style>
  <w:style w:type="character" w:styleId="992">
    <w:name w:val="endnote reference"/>
    <w:basedOn w:val="1010"/>
    <w:uiPriority w:val="99"/>
    <w:semiHidden/>
    <w:unhideWhenUsed/>
    <w:pPr>
      <w:pBdr/>
      <w:spacing/>
      <w:ind/>
    </w:pPr>
    <w:rPr>
      <w:vertAlign w:val="superscript"/>
    </w:rPr>
  </w:style>
  <w:style w:type="paragraph" w:styleId="993">
    <w:name w:val="toc 1"/>
    <w:basedOn w:val="1005"/>
    <w:next w:val="1005"/>
    <w:uiPriority w:val="39"/>
    <w:unhideWhenUsed/>
    <w:pPr>
      <w:pBdr/>
      <w:spacing w:after="100"/>
      <w:ind/>
    </w:pPr>
  </w:style>
  <w:style w:type="paragraph" w:styleId="994">
    <w:name w:val="toc 2"/>
    <w:basedOn w:val="1005"/>
    <w:next w:val="1005"/>
    <w:uiPriority w:val="39"/>
    <w:unhideWhenUsed/>
    <w:pPr>
      <w:pBdr/>
      <w:spacing w:after="100"/>
      <w:ind w:left="220"/>
    </w:pPr>
  </w:style>
  <w:style w:type="paragraph" w:styleId="995">
    <w:name w:val="toc 3"/>
    <w:basedOn w:val="1005"/>
    <w:next w:val="1005"/>
    <w:uiPriority w:val="39"/>
    <w:unhideWhenUsed/>
    <w:pPr>
      <w:pBdr/>
      <w:spacing w:after="100"/>
      <w:ind w:left="440"/>
    </w:pPr>
  </w:style>
  <w:style w:type="paragraph" w:styleId="996">
    <w:name w:val="toc 4"/>
    <w:basedOn w:val="1005"/>
    <w:next w:val="1005"/>
    <w:uiPriority w:val="39"/>
    <w:unhideWhenUsed/>
    <w:pPr>
      <w:pBdr/>
      <w:spacing w:after="100"/>
      <w:ind w:left="660"/>
    </w:pPr>
  </w:style>
  <w:style w:type="paragraph" w:styleId="997">
    <w:name w:val="toc 5"/>
    <w:basedOn w:val="1005"/>
    <w:next w:val="1005"/>
    <w:uiPriority w:val="39"/>
    <w:unhideWhenUsed/>
    <w:pPr>
      <w:pBdr/>
      <w:spacing w:after="100"/>
      <w:ind w:left="880"/>
    </w:pPr>
  </w:style>
  <w:style w:type="paragraph" w:styleId="998">
    <w:name w:val="toc 6"/>
    <w:basedOn w:val="1005"/>
    <w:next w:val="1005"/>
    <w:uiPriority w:val="39"/>
    <w:unhideWhenUsed/>
    <w:pPr>
      <w:pBdr/>
      <w:spacing w:after="100"/>
      <w:ind w:left="1100"/>
    </w:pPr>
  </w:style>
  <w:style w:type="paragraph" w:styleId="999">
    <w:name w:val="toc 7"/>
    <w:basedOn w:val="1005"/>
    <w:next w:val="1005"/>
    <w:uiPriority w:val="39"/>
    <w:unhideWhenUsed/>
    <w:pPr>
      <w:pBdr/>
      <w:spacing w:after="100"/>
      <w:ind w:left="1320"/>
    </w:pPr>
  </w:style>
  <w:style w:type="paragraph" w:styleId="1000">
    <w:name w:val="toc 8"/>
    <w:basedOn w:val="1005"/>
    <w:next w:val="1005"/>
    <w:uiPriority w:val="39"/>
    <w:unhideWhenUsed/>
    <w:pPr>
      <w:pBdr/>
      <w:spacing w:after="100"/>
      <w:ind w:left="1540"/>
    </w:pPr>
  </w:style>
  <w:style w:type="paragraph" w:styleId="1001">
    <w:name w:val="toc 9"/>
    <w:basedOn w:val="1005"/>
    <w:next w:val="1005"/>
    <w:uiPriority w:val="39"/>
    <w:unhideWhenUsed/>
    <w:pPr>
      <w:pBdr/>
      <w:spacing w:after="100"/>
      <w:ind w:left="1760"/>
    </w:pPr>
  </w:style>
  <w:style w:type="character" w:styleId="1002">
    <w:name w:val="Placeholder Text"/>
    <w:basedOn w:val="1010"/>
    <w:uiPriority w:val="99"/>
    <w:semiHidden/>
    <w:pPr>
      <w:pBdr/>
      <w:spacing/>
      <w:ind/>
    </w:pPr>
    <w:rPr>
      <w:color w:val="666666"/>
    </w:rPr>
  </w:style>
  <w:style w:type="paragraph" w:styleId="1003">
    <w:name w:val="TOC Heading"/>
    <w:uiPriority w:val="39"/>
    <w:unhideWhenUsed/>
    <w:pPr>
      <w:pBdr/>
      <w:spacing/>
      <w:ind/>
    </w:pPr>
  </w:style>
  <w:style w:type="paragraph" w:styleId="1004">
    <w:name w:val="table of figures"/>
    <w:basedOn w:val="1005"/>
    <w:next w:val="1005"/>
    <w:uiPriority w:val="99"/>
    <w:unhideWhenUsed/>
    <w:pPr>
      <w:pBdr/>
      <w:spacing w:after="0" w:afterAutospacing="0"/>
      <w:ind/>
    </w:pPr>
  </w:style>
  <w:style w:type="paragraph" w:styleId="1005" w:default="1">
    <w:name w:val="Normal"/>
    <w:qFormat/>
    <w:pPr>
      <w:pBdr/>
      <w:spacing w:after="0" w:line="240" w:lineRule="auto"/>
      <w:ind/>
    </w:pPr>
    <w:rPr>
      <w:rFonts w:ascii="Times New Roman" w:hAnsi="Times New Roman" w:eastAsia="Times New Roman" w:cs="Times New Roman"/>
      <w:sz w:val="24"/>
      <w:szCs w:val="24"/>
    </w:rPr>
  </w:style>
  <w:style w:type="paragraph" w:styleId="1006">
    <w:name w:val="Heading 1"/>
    <w:basedOn w:val="1005"/>
    <w:next w:val="1005"/>
    <w:link w:val="1013"/>
    <w:qFormat/>
    <w:pPr>
      <w:keepNext w:val="true"/>
      <w:pBdr/>
      <w:spacing w:after="120" w:before="120"/>
      <w:ind/>
      <w:jc w:val="center"/>
      <w:outlineLvl w:val="0"/>
    </w:pPr>
    <w:rPr>
      <w:b/>
      <w:bCs/>
      <w:sz w:val="27"/>
      <w:szCs w:val="27"/>
    </w:rPr>
  </w:style>
  <w:style w:type="paragraph" w:styleId="1007">
    <w:name w:val="Heading 2"/>
    <w:basedOn w:val="1005"/>
    <w:next w:val="1005"/>
    <w:link w:val="1014"/>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8">
    <w:name w:val="Heading 3"/>
    <w:basedOn w:val="1005"/>
    <w:next w:val="1005"/>
    <w:link w:val="1015"/>
    <w:qFormat/>
    <w:pPr>
      <w:keepNext w:val="true"/>
      <w:pBdr/>
      <w:spacing w:before="60"/>
      <w:ind/>
      <w:outlineLvl w:val="2"/>
    </w:pPr>
    <w:rPr>
      <w:sz w:val="28"/>
      <w:szCs w:val="28"/>
    </w:rPr>
  </w:style>
  <w:style w:type="paragraph" w:styleId="1009">
    <w:name w:val="Heading 4"/>
    <w:basedOn w:val="1005"/>
    <w:next w:val="1005"/>
    <w:link w:val="1016"/>
    <w:qFormat/>
    <w:pPr>
      <w:keepNext w:val="true"/>
      <w:pBdr/>
      <w:spacing/>
      <w:ind/>
      <w:jc w:val="center"/>
      <w:outlineLvl w:val="3"/>
    </w:pPr>
    <w:rPr>
      <w:b/>
      <w:bCs/>
    </w:rPr>
  </w:style>
  <w:style w:type="character" w:styleId="1010" w:default="1">
    <w:name w:val="Default Paragraph Font"/>
    <w:uiPriority w:val="1"/>
    <w:semiHidden/>
    <w:unhideWhenUsed/>
    <w:pPr>
      <w:pBdr/>
      <w:spacing/>
      <w:ind/>
    </w:pPr>
  </w:style>
  <w:style w:type="table" w:styleId="1011"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2" w:default="1">
    <w:name w:val="No List"/>
    <w:uiPriority w:val="99"/>
    <w:semiHidden/>
    <w:unhideWhenUsed/>
    <w:pPr>
      <w:pBdr/>
      <w:spacing/>
      <w:ind/>
    </w:pPr>
  </w:style>
  <w:style w:type="character" w:styleId="1013" w:customStyle="1">
    <w:name w:val="Heading 1 Char"/>
    <w:basedOn w:val="1010"/>
    <w:link w:val="1006"/>
    <w:pPr>
      <w:pBdr/>
      <w:spacing/>
      <w:ind/>
    </w:pPr>
    <w:rPr>
      <w:rFonts w:ascii="Times New Roman" w:hAnsi="Times New Roman" w:eastAsia="Times New Roman" w:cs="Times New Roman"/>
      <w:b/>
      <w:bCs/>
      <w:sz w:val="27"/>
      <w:szCs w:val="27"/>
    </w:rPr>
  </w:style>
  <w:style w:type="character" w:styleId="1014" w:customStyle="1">
    <w:name w:val="Heading 2 Char"/>
    <w:basedOn w:val="1010"/>
    <w:link w:val="1007"/>
    <w:uiPriority w:val="9"/>
    <w:pPr>
      <w:pBdr/>
      <w:spacing/>
      <w:ind/>
    </w:pPr>
    <w:rPr>
      <w:rFonts w:asciiTheme="majorHAnsi" w:hAnsiTheme="majorHAnsi" w:eastAsiaTheme="majorEastAsia" w:cstheme="majorBidi"/>
      <w:color w:val="365f91" w:themeColor="accent1" w:themeShade="BF"/>
      <w:sz w:val="26"/>
      <w:szCs w:val="26"/>
    </w:rPr>
  </w:style>
  <w:style w:type="character" w:styleId="1015" w:customStyle="1">
    <w:name w:val="Heading 3 Char"/>
    <w:basedOn w:val="1010"/>
    <w:link w:val="1008"/>
    <w:pPr>
      <w:pBdr/>
      <w:spacing/>
      <w:ind/>
    </w:pPr>
    <w:rPr>
      <w:rFonts w:ascii="Times New Roman" w:hAnsi="Times New Roman" w:eastAsia="Times New Roman" w:cs="Times New Roman"/>
      <w:sz w:val="28"/>
      <w:szCs w:val="28"/>
    </w:rPr>
  </w:style>
  <w:style w:type="character" w:styleId="1016" w:customStyle="1">
    <w:name w:val="Heading 4 Char"/>
    <w:basedOn w:val="1010"/>
    <w:link w:val="1009"/>
    <w:pPr>
      <w:pBdr/>
      <w:spacing/>
      <w:ind/>
    </w:pPr>
    <w:rPr>
      <w:rFonts w:ascii="Times New Roman" w:hAnsi="Times New Roman" w:eastAsia="Times New Roman" w:cs="Times New Roman"/>
      <w:b/>
      <w:bCs/>
      <w:sz w:val="24"/>
      <w:szCs w:val="24"/>
    </w:rPr>
  </w:style>
  <w:style w:type="character" w:styleId="1017">
    <w:name w:val="Hyperlink"/>
    <w:uiPriority w:val="99"/>
    <w:pPr>
      <w:pBdr/>
      <w:spacing/>
      <w:ind/>
    </w:pPr>
    <w:rPr>
      <w:color w:val="000000"/>
      <w:u w:val="single"/>
    </w:rPr>
  </w:style>
  <w:style w:type="character" w:styleId="1018">
    <w:name w:val="Strong"/>
    <w:uiPriority w:val="22"/>
    <w:qFormat/>
    <w:pPr>
      <w:pBdr/>
      <w:spacing/>
      <w:ind/>
    </w:pPr>
    <w:rPr>
      <w:b/>
      <w:bCs/>
    </w:rPr>
  </w:style>
  <w:style w:type="paragraph" w:styleId="1019">
    <w:name w:val="Balloon Text"/>
    <w:basedOn w:val="1005"/>
    <w:link w:val="1020"/>
    <w:uiPriority w:val="99"/>
    <w:semiHidden/>
    <w:unhideWhenUsed/>
    <w:pPr>
      <w:pBdr/>
      <w:spacing/>
      <w:ind/>
    </w:pPr>
    <w:rPr>
      <w:rFonts w:ascii="Tahoma" w:hAnsi="Tahoma" w:cs="Tahoma"/>
      <w:sz w:val="16"/>
      <w:szCs w:val="16"/>
    </w:rPr>
  </w:style>
  <w:style w:type="character" w:styleId="1020" w:customStyle="1">
    <w:name w:val="Balloon Text Char"/>
    <w:basedOn w:val="1010"/>
    <w:link w:val="1019"/>
    <w:uiPriority w:val="99"/>
    <w:semiHidden/>
    <w:pPr>
      <w:pBdr/>
      <w:spacing/>
      <w:ind/>
    </w:pPr>
    <w:rPr>
      <w:rFonts w:ascii="Tahoma" w:hAnsi="Tahoma" w:eastAsia="Times New Roman" w:cs="Tahoma"/>
      <w:sz w:val="16"/>
      <w:szCs w:val="16"/>
    </w:rPr>
  </w:style>
  <w:style w:type="paragraph" w:styleId="1021">
    <w:name w:val="Header"/>
    <w:basedOn w:val="1005"/>
    <w:link w:val="1022"/>
    <w:unhideWhenUsed/>
    <w:pPr>
      <w:pBdr/>
      <w:tabs>
        <w:tab w:val="center" w:leader="none" w:pos="4680"/>
        <w:tab w:val="right" w:leader="none" w:pos="9360"/>
      </w:tabs>
      <w:spacing/>
      <w:ind/>
    </w:pPr>
  </w:style>
  <w:style w:type="character" w:styleId="1022" w:customStyle="1">
    <w:name w:val="Header Char"/>
    <w:basedOn w:val="1010"/>
    <w:link w:val="1021"/>
    <w:pPr>
      <w:pBdr/>
      <w:spacing/>
      <w:ind/>
    </w:pPr>
    <w:rPr>
      <w:rFonts w:ascii="Times New Roman" w:hAnsi="Times New Roman" w:eastAsia="Times New Roman" w:cs="Times New Roman"/>
      <w:sz w:val="24"/>
      <w:szCs w:val="24"/>
    </w:rPr>
  </w:style>
  <w:style w:type="paragraph" w:styleId="1023">
    <w:name w:val="Footer"/>
    <w:basedOn w:val="1005"/>
    <w:link w:val="1024"/>
    <w:uiPriority w:val="99"/>
    <w:unhideWhenUsed/>
    <w:pPr>
      <w:pBdr/>
      <w:tabs>
        <w:tab w:val="center" w:leader="none" w:pos="4680"/>
        <w:tab w:val="right" w:leader="none" w:pos="9360"/>
      </w:tabs>
      <w:spacing/>
      <w:ind/>
    </w:pPr>
  </w:style>
  <w:style w:type="character" w:styleId="1024" w:customStyle="1">
    <w:name w:val="Footer Char"/>
    <w:basedOn w:val="1010"/>
    <w:link w:val="1023"/>
    <w:uiPriority w:val="99"/>
    <w:pPr>
      <w:pBdr/>
      <w:spacing/>
      <w:ind/>
    </w:pPr>
    <w:rPr>
      <w:rFonts w:ascii="Times New Roman" w:hAnsi="Times New Roman" w:eastAsia="Times New Roman" w:cs="Times New Roman"/>
      <w:sz w:val="24"/>
      <w:szCs w:val="24"/>
    </w:rPr>
  </w:style>
  <w:style w:type="character" w:styleId="1025" w:customStyle="1">
    <w:name w:val="normal-h1"/>
    <w:pPr>
      <w:pBdr/>
      <w:spacing/>
      <w:ind/>
    </w:pPr>
    <w:rPr>
      <w:rFonts w:hint="default" w:ascii=".VnTime" w:hAnsi=".VnTime"/>
      <w:color w:val="0000ff"/>
      <w:sz w:val="24"/>
      <w:szCs w:val="24"/>
    </w:rPr>
  </w:style>
  <w:style w:type="paragraph" w:styleId="1026" w:customStyle="1">
    <w:name w:val="normal-p"/>
    <w:basedOn w:val="1005"/>
    <w:pPr>
      <w:pBdr/>
      <w:spacing/>
      <w:ind/>
      <w:jc w:val="both"/>
    </w:pPr>
    <w:rPr>
      <w:sz w:val="20"/>
      <w:szCs w:val="20"/>
    </w:rPr>
  </w:style>
  <w:style w:type="paragraph" w:styleId="1027">
    <w:name w:val="List Paragraph"/>
    <w:basedOn w:val="1005"/>
    <w:link w:val="1114"/>
    <w:uiPriority w:val="34"/>
    <w:qFormat/>
    <w:pPr>
      <w:pBdr/>
      <w:spacing/>
      <w:ind w:left="720"/>
    </w:pPr>
  </w:style>
  <w:style w:type="paragraph" w:styleId="1028">
    <w:name w:val="Normal (Web)"/>
    <w:basedOn w:val="1005"/>
    <w:uiPriority w:val="99"/>
    <w:pPr>
      <w:pBdr/>
      <w:spacing w:after="100" w:afterAutospacing="1" w:before="100" w:beforeAutospacing="1"/>
      <w:ind/>
    </w:pPr>
  </w:style>
  <w:style w:type="paragraph" w:styleId="1029">
    <w:name w:val="Body Text"/>
    <w:basedOn w:val="1005"/>
    <w:link w:val="1030"/>
    <w:pPr>
      <w:pBdr/>
      <w:spacing w:after="120"/>
      <w:ind/>
      <w:jc w:val="both"/>
    </w:pPr>
  </w:style>
  <w:style w:type="character" w:styleId="1030" w:customStyle="1">
    <w:name w:val="Body Text Char"/>
    <w:basedOn w:val="1010"/>
    <w:link w:val="1029"/>
    <w:pPr>
      <w:pBdr/>
      <w:spacing/>
      <w:ind/>
    </w:pPr>
    <w:rPr>
      <w:rFonts w:ascii="Times New Roman" w:hAnsi="Times New Roman" w:eastAsia="Times New Roman" w:cs="Times New Roman"/>
      <w:sz w:val="24"/>
      <w:szCs w:val="24"/>
    </w:rPr>
  </w:style>
  <w:style w:type="table" w:styleId="1031">
    <w:name w:val="Table Grid"/>
    <w:basedOn w:val="1011"/>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2"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3">
    <w:name w:val="annotation reference"/>
    <w:basedOn w:val="1010"/>
    <w:uiPriority w:val="99"/>
    <w:semiHidden/>
    <w:unhideWhenUsed/>
    <w:pPr>
      <w:pBdr/>
      <w:spacing/>
      <w:ind/>
    </w:pPr>
    <w:rPr>
      <w:sz w:val="16"/>
      <w:szCs w:val="16"/>
    </w:rPr>
  </w:style>
  <w:style w:type="paragraph" w:styleId="1034">
    <w:name w:val="annotation text"/>
    <w:basedOn w:val="1005"/>
    <w:link w:val="1035"/>
    <w:uiPriority w:val="99"/>
    <w:unhideWhenUsed/>
    <w:pPr>
      <w:pBdr/>
      <w:spacing/>
      <w:ind/>
    </w:pPr>
    <w:rPr>
      <w:sz w:val="20"/>
      <w:szCs w:val="20"/>
    </w:rPr>
  </w:style>
  <w:style w:type="character" w:styleId="1035" w:customStyle="1">
    <w:name w:val="Comment Text Char"/>
    <w:basedOn w:val="1010"/>
    <w:link w:val="1034"/>
    <w:uiPriority w:val="99"/>
    <w:pPr>
      <w:pBdr/>
      <w:spacing/>
      <w:ind/>
    </w:pPr>
    <w:rPr>
      <w:rFonts w:ascii="Times New Roman" w:hAnsi="Times New Roman" w:eastAsia="Times New Roman" w:cs="Times New Roman"/>
      <w:sz w:val="20"/>
      <w:szCs w:val="20"/>
    </w:rPr>
  </w:style>
  <w:style w:type="paragraph" w:styleId="1036">
    <w:name w:val="annotation subject"/>
    <w:basedOn w:val="1034"/>
    <w:next w:val="1034"/>
    <w:link w:val="1037"/>
    <w:uiPriority w:val="99"/>
    <w:semiHidden/>
    <w:unhideWhenUsed/>
    <w:pPr>
      <w:pBdr/>
      <w:spacing/>
      <w:ind/>
    </w:pPr>
    <w:rPr>
      <w:b/>
      <w:bCs/>
    </w:rPr>
  </w:style>
  <w:style w:type="character" w:styleId="1037" w:customStyle="1">
    <w:name w:val="Comment Subject Char"/>
    <w:basedOn w:val="1035"/>
    <w:link w:val="1036"/>
    <w:uiPriority w:val="99"/>
    <w:semiHidden/>
    <w:pPr>
      <w:pBdr/>
      <w:spacing/>
      <w:ind/>
    </w:pPr>
    <w:rPr>
      <w:rFonts w:ascii="Times New Roman" w:hAnsi="Times New Roman" w:eastAsia="Times New Roman" w:cs="Times New Roman"/>
      <w:b/>
      <w:bCs/>
      <w:sz w:val="20"/>
      <w:szCs w:val="20"/>
    </w:rPr>
  </w:style>
  <w:style w:type="paragraph" w:styleId="1038" w:customStyle="1">
    <w:name w:val="font5"/>
    <w:basedOn w:val="1005"/>
    <w:pPr>
      <w:pBdr/>
      <w:spacing w:after="100" w:afterAutospacing="1" w:before="100" w:beforeAutospacing="1"/>
      <w:ind/>
    </w:pPr>
    <w:rPr>
      <w:rFonts w:ascii="Tahoma" w:hAnsi="Tahoma" w:cs="Tahoma"/>
      <w:color w:val="000000"/>
      <w:sz w:val="18"/>
      <w:szCs w:val="18"/>
    </w:rPr>
  </w:style>
  <w:style w:type="paragraph" w:styleId="1039" w:customStyle="1">
    <w:name w:val="font6"/>
    <w:basedOn w:val="1005"/>
    <w:pPr>
      <w:pBdr/>
      <w:spacing w:after="100" w:afterAutospacing="1" w:before="100" w:beforeAutospacing="1"/>
      <w:ind/>
    </w:pPr>
    <w:rPr>
      <w:rFonts w:ascii="Tahoma" w:hAnsi="Tahoma" w:cs="Tahoma"/>
      <w:b/>
      <w:bCs/>
      <w:color w:val="000000"/>
      <w:sz w:val="18"/>
      <w:szCs w:val="18"/>
    </w:rPr>
  </w:style>
  <w:style w:type="paragraph" w:styleId="1040" w:customStyle="1">
    <w:name w:val="xl23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1" w:customStyle="1">
    <w:name w:val="xl234"/>
    <w:basedOn w:val="1005"/>
    <w:pPr>
      <w:pBdr/>
      <w:spacing w:after="100" w:afterAutospacing="1" w:before="100" w:beforeAutospacing="1"/>
      <w:ind/>
      <w:jc w:val="center"/>
    </w:pPr>
  </w:style>
  <w:style w:type="paragraph" w:styleId="1042" w:customStyle="1">
    <w:name w:val="xl235"/>
    <w:basedOn w:val="1005"/>
    <w:pPr>
      <w:pBdr/>
      <w:spacing w:after="100" w:afterAutospacing="1" w:before="100" w:beforeAutospacing="1"/>
      <w:ind/>
      <w:jc w:val="center"/>
    </w:pPr>
    <w:rPr>
      <w:b/>
      <w:bCs/>
    </w:rPr>
  </w:style>
  <w:style w:type="paragraph" w:styleId="1043" w:customStyle="1">
    <w:name w:val="xl236"/>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4" w:customStyle="1">
    <w:name w:val="xl23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5" w:customStyle="1">
    <w:name w:val="xl238"/>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6" w:customStyle="1">
    <w:name w:val="xl23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7" w:customStyle="1">
    <w:name w:val="xl240"/>
    <w:basedOn w:val="1005"/>
    <w:pPr>
      <w:pBdr/>
      <w:spacing w:after="100" w:afterAutospacing="1" w:before="100" w:beforeAutospacing="1"/>
      <w:ind/>
    </w:pPr>
  </w:style>
  <w:style w:type="paragraph" w:styleId="1048" w:customStyle="1">
    <w:name w:val="xl241"/>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9" w:customStyle="1">
    <w:name w:val="xl242"/>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0" w:customStyle="1">
    <w:name w:val="xl243"/>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1" w:customStyle="1">
    <w:name w:val="xl244"/>
    <w:basedOn w:val="1005"/>
    <w:pPr>
      <w:pBdr/>
      <w:spacing w:after="100" w:afterAutospacing="1" w:before="100" w:beforeAutospacing="1"/>
      <w:ind/>
    </w:pPr>
    <w:rPr>
      <w:b/>
      <w:bCs/>
    </w:rPr>
  </w:style>
  <w:style w:type="paragraph" w:styleId="1052" w:customStyle="1">
    <w:name w:val="xl245"/>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3" w:customStyle="1">
    <w:name w:val="xl24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4" w:customStyle="1">
    <w:name w:val="xl247"/>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5" w:customStyle="1">
    <w:name w:val="xl24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6" w:customStyle="1">
    <w:name w:val="xl24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5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8" w:customStyle="1">
    <w:name w:val="xl25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5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0" w:customStyle="1">
    <w:name w:val="xl253"/>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1" w:customStyle="1">
    <w:name w:val="xl254"/>
    <w:basedOn w:val="1005"/>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55"/>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3" w:customStyle="1">
    <w:name w:val="xl256"/>
    <w:basedOn w:val="1005"/>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4" w:customStyle="1">
    <w:name w:val="xl25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5" w:customStyle="1">
    <w:name w:val="xl258"/>
    <w:basedOn w:val="1005"/>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7" w:customStyle="1">
    <w:name w:val="xl260"/>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8" w:customStyle="1">
    <w:name w:val="xl261"/>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9" w:customStyle="1">
    <w:name w:val="xl262"/>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0" w:customStyle="1">
    <w:name w:val="xl263"/>
    <w:basedOn w:val="1005"/>
    <w:pPr>
      <w:pBdr/>
      <w:shd w:val="clear" w:color="000000" w:fill="ffffff"/>
      <w:spacing w:after="100" w:afterAutospacing="1" w:before="100" w:beforeAutospacing="1"/>
      <w:ind/>
    </w:pPr>
  </w:style>
  <w:style w:type="paragraph" w:styleId="1071" w:customStyle="1">
    <w:name w:val="xl264"/>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2" w:customStyle="1">
    <w:name w:val="xl265"/>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6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4" w:customStyle="1">
    <w:name w:val="xl267"/>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5" w:customStyle="1">
    <w:name w:val="xl268"/>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9"/>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7" w:customStyle="1">
    <w:name w:val="xl27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71"/>
    <w:basedOn w:val="1005"/>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9" w:customStyle="1">
    <w:name w:val="xl27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73"/>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1" w:customStyle="1">
    <w:name w:val="xl274"/>
    <w:basedOn w:val="1005"/>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2" w:customStyle="1">
    <w:name w:val="xl275"/>
    <w:basedOn w:val="1005"/>
    <w:pPr>
      <w:pBdr/>
      <w:spacing w:after="100" w:afterAutospacing="1" w:before="100" w:beforeAutospacing="1"/>
      <w:ind/>
    </w:pPr>
  </w:style>
  <w:style w:type="paragraph" w:styleId="1083" w:customStyle="1">
    <w:name w:val="xl27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77"/>
    <w:basedOn w:val="1005"/>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5" w:customStyle="1">
    <w:name w:val="xl278"/>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6" w:customStyle="1">
    <w:name w:val="xl279"/>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7" w:customStyle="1">
    <w:name w:val="xl280"/>
    <w:basedOn w:val="1005"/>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81"/>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9" w:customStyle="1">
    <w:name w:val="xl282"/>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83"/>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1" w:customStyle="1">
    <w:name w:val="xl284"/>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092" w:customStyle="1">
    <w:name w:val="xl285"/>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3" w:customStyle="1">
    <w:name w:val="xl286"/>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87"/>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5" w:customStyle="1">
    <w:name w:val="xl288"/>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096" w:customStyle="1">
    <w:name w:val="xl289"/>
    <w:basedOn w:val="1005"/>
    <w:pPr>
      <w:pBdr>
        <w:left w:val="single" w:color="000000" w:sz="4" w:space="0"/>
        <w:right w:val="single" w:color="000000" w:sz="4" w:space="0"/>
      </w:pBdr>
      <w:spacing w:after="100" w:afterAutospacing="1" w:before="100" w:beforeAutospacing="1"/>
      <w:ind/>
    </w:pPr>
    <w:rPr>
      <w:b/>
      <w:bCs/>
    </w:rPr>
  </w:style>
  <w:style w:type="paragraph" w:styleId="1097" w:customStyle="1">
    <w:name w:val="xl290"/>
    <w:basedOn w:val="1005"/>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8" w:customStyle="1">
    <w:name w:val="xl291"/>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9" w:customStyle="1">
    <w:name w:val="xl292"/>
    <w:basedOn w:val="1005"/>
    <w:pPr>
      <w:pBdr>
        <w:top w:val="single" w:color="000000" w:sz="4" w:space="0"/>
        <w:left w:val="single" w:color="000000" w:sz="4" w:space="0"/>
        <w:right w:val="single" w:color="000000" w:sz="4" w:space="0"/>
      </w:pBdr>
      <w:spacing w:after="100" w:afterAutospacing="1" w:before="100" w:beforeAutospacing="1"/>
      <w:ind/>
    </w:pPr>
  </w:style>
  <w:style w:type="paragraph" w:styleId="1100" w:customStyle="1">
    <w:name w:val="xl293"/>
    <w:basedOn w:val="1005"/>
    <w:pPr>
      <w:pBdr>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94"/>
    <w:basedOn w:val="1005"/>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name w:val="Title"/>
    <w:basedOn w:val="1005"/>
    <w:link w:val="1103"/>
    <w:qFormat/>
    <w:pPr>
      <w:pBdr/>
      <w:spacing/>
      <w:ind/>
      <w:jc w:val="center"/>
    </w:pPr>
    <w:rPr>
      <w:b/>
      <w:bCs/>
      <w:sz w:val="32"/>
      <w:szCs w:val="26"/>
    </w:rPr>
  </w:style>
  <w:style w:type="character" w:styleId="1103" w:customStyle="1">
    <w:name w:val="Title Char"/>
    <w:basedOn w:val="1010"/>
    <w:link w:val="1102"/>
    <w:pPr>
      <w:pBdr/>
      <w:spacing/>
      <w:ind/>
    </w:pPr>
    <w:rPr>
      <w:rFonts w:ascii="Times New Roman" w:hAnsi="Times New Roman" w:eastAsia="Times New Roman" w:cs="Times New Roman"/>
      <w:b/>
      <w:bCs/>
      <w:sz w:val="32"/>
      <w:szCs w:val="26"/>
    </w:rPr>
  </w:style>
  <w:style w:type="character" w:styleId="1104" w:customStyle="1">
    <w:name w:val="Unresolved Mention1"/>
    <w:basedOn w:val="1010"/>
    <w:uiPriority w:val="99"/>
    <w:semiHidden/>
    <w:unhideWhenUsed/>
    <w:pPr>
      <w:pBdr/>
      <w:spacing/>
      <w:ind/>
    </w:pPr>
    <w:rPr>
      <w:color w:val="605e5c"/>
      <w:shd w:val="clear" w:color="auto" w:fill="e1dfdd"/>
    </w:rPr>
  </w:style>
  <w:style w:type="character" w:styleId="1105" w:customStyle="1">
    <w:name w:val="Body text (3)_"/>
    <w:link w:val="1106"/>
    <w:pPr>
      <w:pBdr/>
      <w:spacing/>
      <w:ind/>
    </w:pPr>
    <w:rPr>
      <w:rFonts w:ascii="Times New Roman" w:hAnsi="Times New Roman" w:cs="Times New Roman"/>
      <w:i/>
      <w:iCs/>
      <w:spacing w:val="4"/>
      <w:shd w:val="clear" w:color="auto" w:fill="ffffff"/>
    </w:rPr>
  </w:style>
  <w:style w:type="paragraph" w:styleId="1106" w:customStyle="1">
    <w:name w:val="Body text (3)1"/>
    <w:basedOn w:val="1005"/>
    <w:link w:val="1105"/>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7" w:customStyle="1">
    <w:name w:val="t-j"/>
    <w:basedOn w:val="1005"/>
    <w:pPr>
      <w:pBdr/>
      <w:spacing w:after="100" w:afterAutospacing="1" w:before="100" w:beforeAutospacing="1"/>
      <w:ind/>
    </w:pPr>
  </w:style>
  <w:style w:type="character" w:styleId="1108" w:customStyle="1">
    <w:name w:val="Unresolved Mention2"/>
    <w:basedOn w:val="1010"/>
    <w:uiPriority w:val="99"/>
    <w:semiHidden/>
    <w:unhideWhenUsed/>
    <w:pPr>
      <w:pBdr/>
      <w:spacing/>
      <w:ind/>
    </w:pPr>
    <w:rPr>
      <w:color w:val="605e5c"/>
      <w:shd w:val="clear" w:color="auto" w:fill="e1dfdd"/>
    </w:rPr>
  </w:style>
  <w:style w:type="character" w:styleId="1109">
    <w:name w:val="FollowedHyperlink"/>
    <w:basedOn w:val="1010"/>
    <w:uiPriority w:val="99"/>
    <w:semiHidden/>
    <w:unhideWhenUsed/>
    <w:pPr>
      <w:pBdr/>
      <w:spacing/>
      <w:ind/>
    </w:pPr>
    <w:rPr>
      <w:color w:val="800080" w:themeColor="followedHyperlink"/>
      <w:u w:val="single"/>
    </w:rPr>
  </w:style>
  <w:style w:type="character" w:styleId="1110" w:customStyle="1">
    <w:name w:val="text"/>
    <w:basedOn w:val="1010"/>
    <w:pPr>
      <w:pBdr/>
      <w:spacing/>
      <w:ind/>
    </w:pPr>
  </w:style>
  <w:style w:type="character" w:styleId="1111" w:customStyle="1">
    <w:name w:val="card-send-time__sendtime"/>
    <w:basedOn w:val="1010"/>
    <w:pPr>
      <w:pBdr/>
      <w:spacing/>
      <w:ind/>
    </w:pPr>
  </w:style>
  <w:style w:type="character" w:styleId="1112" w:customStyle="1">
    <w:name w:val="Đề cập Chưa giải quyết1"/>
    <w:basedOn w:val="1010"/>
    <w:uiPriority w:val="99"/>
    <w:semiHidden/>
    <w:unhideWhenUsed/>
    <w:pPr>
      <w:pBdr/>
      <w:spacing/>
      <w:ind/>
    </w:pPr>
    <w:rPr>
      <w:color w:val="605e5c"/>
      <w:shd w:val="clear" w:color="auto" w:fill="e1dfdd"/>
    </w:rPr>
  </w:style>
  <w:style w:type="paragraph" w:styleId="1113" w:customStyle="1">
    <w:name w:val="nqtitle"/>
    <w:basedOn w:val="1005"/>
    <w:pPr>
      <w:pBdr/>
      <w:spacing w:after="100" w:afterAutospacing="1" w:before="100" w:beforeAutospacing="1"/>
      <w:ind/>
    </w:pPr>
    <w:rPr>
      <w:lang w:val="vi-VN" w:eastAsia="vi-VN"/>
    </w:rPr>
  </w:style>
  <w:style w:type="character" w:styleId="1114" w:customStyle="1">
    <w:name w:val="List Paragraph Char"/>
    <w:link w:val="1027"/>
    <w:uiPriority w:val="34"/>
    <w:qFormat/>
    <w:pPr>
      <w:pBdr/>
      <w:spacing/>
      <w:ind/>
    </w:pPr>
    <w:rPr>
      <w:rFonts w:ascii="Times New Roman" w:hAnsi="Times New Roman" w:eastAsia="Times New Roman" w:cs="Times New Roman"/>
      <w:sz w:val="24"/>
      <w:szCs w:val="24"/>
    </w:rPr>
  </w:style>
  <w:style w:type="character" w:styleId="1115" w:customStyle="1">
    <w:name w:val="Đề cập Chưa giải quyết2"/>
    <w:basedOn w:val="1010"/>
    <w:uiPriority w:val="99"/>
    <w:semiHidden/>
    <w:unhideWhenUsed/>
    <w:pPr>
      <w:pBdr/>
      <w:spacing/>
      <w:ind/>
    </w:pPr>
    <w:rPr>
      <w:color w:val="605e5c"/>
      <w:shd w:val="clear" w:color="auto" w:fill="e1dfdd"/>
    </w:rPr>
  </w:style>
  <w:style w:type="character" w:styleId="1116" w:customStyle="1">
    <w:name w:val="Unresolved Mention3"/>
    <w:basedOn w:val="1010"/>
    <w:uiPriority w:val="99"/>
    <w:semiHidden/>
    <w:unhideWhenUsed/>
    <w:pPr>
      <w:pBdr/>
      <w:spacing/>
      <w:ind/>
    </w:pPr>
    <w:rPr>
      <w:color w:val="605e5c"/>
      <w:shd w:val="clear" w:color="auto" w:fill="e1dfdd"/>
    </w:rPr>
  </w:style>
  <w:style w:type="character" w:styleId="1117" w:customStyle="1">
    <w:name w:val="copy"/>
    <w:basedOn w:val="1010"/>
    <w:pPr>
      <w:pBdr/>
      <w:spacing/>
      <w:ind/>
    </w:pPr>
  </w:style>
  <w:style w:type="paragraph" w:styleId="1118" w:customStyle="1">
    <w:name w:val="align-justify"/>
    <w:basedOn w:val="1005"/>
    <w:pPr>
      <w:pBdr/>
      <w:spacing w:after="100" w:afterAutospacing="1" w:before="100" w:beforeAutospacing="1"/>
      <w:ind/>
    </w:pPr>
  </w:style>
  <w:style w:type="character" w:styleId="1119" w:customStyle="1">
    <w:name w:val="btn"/>
    <w:basedOn w:val="1010"/>
    <w:pPr>
      <w:pBdr/>
      <w:spacing/>
      <w:ind/>
    </w:pPr>
  </w:style>
  <w:style w:type="character" w:styleId="1120" w:customStyle="1">
    <w:name w:val="hide_mobile"/>
    <w:basedOn w:val="1010"/>
    <w:pPr>
      <w:pBdr/>
      <w:spacing/>
      <w:ind/>
    </w:pPr>
  </w:style>
  <w:style w:type="character" w:styleId="1121">
    <w:name w:val="Emphasis"/>
    <w:basedOn w:val="1010"/>
    <w:uiPriority w:val="20"/>
    <w:qFormat/>
    <w:pPr>
      <w:pBdr/>
      <w:spacing/>
      <w:ind/>
    </w:pPr>
    <w:rPr>
      <w:i/>
      <w:iCs/>
    </w:rPr>
  </w:style>
  <w:style w:type="character" w:styleId="1122" w:customStyle="1">
    <w:name w:val="t1"/>
    <w:basedOn w:val="1010"/>
    <w:pPr>
      <w:pBdr/>
      <w:spacing/>
      <w:ind/>
    </w:pPr>
  </w:style>
  <w:style w:type="character" w:styleId="1123" w:customStyle="1">
    <w:name w:val="Unresolved Mention4"/>
    <w:basedOn w:val="1010"/>
    <w:uiPriority w:val="99"/>
    <w:semiHidden/>
    <w:unhideWhenUsed/>
    <w:pPr>
      <w:pBdr/>
      <w:spacing/>
      <w:ind/>
    </w:pPr>
    <w:rPr>
      <w:color w:val="605e5c"/>
      <w:shd w:val="clear" w:color="auto" w:fill="e1dfdd"/>
    </w:rPr>
  </w:style>
  <w:style w:type="character" w:styleId="1124">
    <w:name w:val="Unresolved Mention"/>
    <w:basedOn w:val="1010"/>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hyperlink" Target="https://batdongsan.com.vn/ban-can-ho-chung-cu-an-binh-homeland" TargetMode="External"/><Relationship Id="rId18" Type="http://schemas.openxmlformats.org/officeDocument/2006/relationships/hyperlink" Target="https://batdongsan.com.vn/ban-can-ho-chung-cu-xa-duong-xa-prj-vinhomes-ocean-park-gia-lam" TargetMode="External"/><Relationship Id="rId19" Type="http://schemas.openxmlformats.org/officeDocument/2006/relationships/hyperlink" Target="https://batdongsan.com.vn/ban-can-ho-chung-cu-ha-noi" TargetMode="External"/><Relationship Id="rId20" Type="http://schemas.openxmlformats.org/officeDocument/2006/relationships/hyperlink" Target="https://batdongsan.com.vn/ban-can-ho-chung-cu-long-bien-central" TargetMode="External"/><Relationship Id="rId21" Type="http://schemas.openxmlformats.org/officeDocument/2006/relationships/hyperlink" Target="https://batdongsan.com.vn/ban-can-ho-chung-cu-sun-feliza-suites" TargetMode="External"/><Relationship Id="rId22" Type="http://schemas.openxmlformats.org/officeDocument/2006/relationships/hyperlink" Target="https://batdongsan.com.vn/ban-can-ho-chung-cu-hausman-premium-residences" TargetMode="External"/><Relationship Id="rId23" Type="http://schemas.openxmlformats.org/officeDocument/2006/relationships/image" Target="media/image3.png"/><Relationship Id="rId24" Type="http://schemas.openxmlformats.org/officeDocument/2006/relationships/image" Target="media/image4.png"/><Relationship Id="rId25" Type="http://schemas.openxmlformats.org/officeDocument/2006/relationships/image" Target="media/image5.png"/><Relationship Id="rId26" Type="http://schemas.openxmlformats.org/officeDocument/2006/relationships/image" Target="media/image6.png"/><Relationship Id="rId27" Type="http://schemas.openxmlformats.org/officeDocument/2006/relationships/image" Target="media/image7.png"/><Relationship Id="rId28" Type="http://schemas.openxmlformats.org/officeDocument/2006/relationships/image" Target="media/image8.png"/><Relationship Id="rId29" Type="http://schemas.openxmlformats.org/officeDocument/2006/relationships/image" Target="media/image9.png"/><Relationship Id="rId30" Type="http://schemas.openxmlformats.org/officeDocument/2006/relationships/image" Target="media/image10.png"/><Relationship Id="rId31" Type="http://schemas.openxmlformats.org/officeDocument/2006/relationships/image" Target="media/image11.png"/><Relationship Id="rId32" Type="http://schemas.openxmlformats.org/officeDocument/2006/relationships/image" Target="media/image12.png"/><Relationship Id="rId33" Type="http://schemas.openxmlformats.org/officeDocument/2006/relationships/image" Target="media/image13.png"/><Relationship Id="rId34" Type="http://schemas.openxmlformats.org/officeDocument/2006/relationships/image" Target="media/image14.png"/><Relationship Id="rId35" Type="http://schemas.openxmlformats.org/officeDocument/2006/relationships/image" Target="media/image15.png"/><Relationship Id="rId36" Type="http://schemas.openxmlformats.org/officeDocument/2006/relationships/image" Target="media/image16.png"/><Relationship Id="rId37" Type="http://schemas.openxmlformats.org/officeDocument/2006/relationships/image" Target="media/image17.png"/><Relationship Id="rId38" Type="http://schemas.openxmlformats.org/officeDocument/2006/relationships/image" Target="media/image18.png"/><Relationship Id="rId39" Type="http://schemas.openxmlformats.org/officeDocument/2006/relationships/image" Target="media/image19.png"/><Relationship Id="rId40" Type="http://schemas.openxmlformats.org/officeDocument/2006/relationships/image" Target="media/image20.png"/><Relationship Id="rId41" Type="http://schemas.openxmlformats.org/officeDocument/2006/relationships/image" Target="media/image21.png"/><Relationship Id="rId42" Type="http://schemas.openxmlformats.org/officeDocument/2006/relationships/image" Target="media/image2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Đăng Hiếu</cp:lastModifiedBy>
  <cp:revision>282</cp:revision>
  <dcterms:created xsi:type="dcterms:W3CDTF">2025-09-15T09:58:00Z</dcterms:created>
  <dcterms:modified xsi:type="dcterms:W3CDTF">2026-04-08T03:19:03Z</dcterms:modified>
</cp:coreProperties>
</file>