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2968293"/>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2968291"/>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275/2026/0371/VFI-CT.53.A</w:t>
                            </w:r>
                            <w:r>
                              <w:rPr>
                                <w:b/>
                              </w:rPr>
                            </w:r>
                            <w:r>
                              <w:rPr>
                                <w:b/>
                              </w:rPr>
                            </w:r>
                          </w:p>
                          <w:p>
                            <w:pPr>
                              <w:pBdr/>
                              <w:tabs>
                                <w:tab w:val="left" w:leader="none" w:pos="3002"/>
                              </w:tabs>
                              <w:spacing w:after="120" w:before="120" w:line="276" w:lineRule="auto"/>
                              <w:ind/>
                              <w:jc w:val="center"/>
                              <w:rPr>
                                <w:rFonts w:ascii="Times New Roman Bold" w:hAnsi="Times New Roman Bold"/>
                                <w:b/>
                                <w:highlight w:val="yellow"/>
                              </w:rPr>
                            </w:pPr>
                            <w:r>
                              <w:rPr>
                                <w:rFonts w:ascii="Times New Roman Bold" w:hAnsi="Times New Roman Bold"/>
                                <w:b/>
                                <w:highlight w:val="white"/>
                                <w:lang w:val="pt-BR"/>
                              </w:rPr>
                              <w:t xml:space="preserve">Khách hàng yêu cầu: </w:t>
                            </w:r>
                            <w:r>
                              <w:rPr>
                                <w:rFonts w:ascii="Times New Roman Bold" w:hAnsi="Times New Roman Bold"/>
                                <w:b/>
                                <w:color w:val="000000" w:themeColor="text1"/>
                                <w:highlight w:val="none"/>
                                <w:lang w:val="pt-BR"/>
                              </w:rPr>
                              <w:t xml:space="preserve">Bà Nguyễn Thị Chiến </w:t>
                            </w:r>
                            <w:r>
                              <w:rPr>
                                <w:rFonts w:ascii="Times New Roman Bold" w:hAnsi="Times New Roman Bold"/>
                                <w:b/>
                                <w:highlight w:val="yellow"/>
                              </w:rPr>
                            </w:r>
                            <w:r>
                              <w:rPr>
                                <w:rFonts w:ascii="Times New Roman Bold" w:hAnsi="Times New Roman Bold"/>
                                <w:b/>
                                <w:highlight w:val="yellow"/>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179-5, tờ bản đồ số: 19, địa chỉ: Tổ 49, phường Dịch Vọng, quận Cầu Giấy (</w:t>
                            </w:r>
                            <w:r>
                              <w:rPr>
                                <w:i/>
                                <w:iCs/>
                                <w:color w:val="000000"/>
                              </w:rPr>
                              <w:t xml:space="preserve">nay là phường Cầu Giấy)</w:t>
                            </w:r>
                            <w:r>
                              <w:rPr>
                                <w:color w:val="000000"/>
                              </w:rPr>
                              <w:t xml:space="preserve">, thành phố Hà Nội theo Giấy chứng nhận quyền sử dụng đất</w:t>
                            </w:r>
                            <w:r>
                              <w:rPr>
                                <w:color w:val="000000"/>
                              </w:rPr>
                              <w:t xml:space="preserve"> số: AM 000769, </w:t>
                            </w:r>
                            <w:r>
                              <w:rPr>
                                <w:color w:val="000000" w:themeColor="text1"/>
                              </w:rPr>
                              <w:t xml:space="preserve">hồ sơ gốc số</w:t>
                            </w:r>
                            <w:r>
                              <w:rPr>
                                <w:color w:val="ff0000"/>
                              </w:rPr>
                              <w:t xml:space="preserve">:</w:t>
                            </w:r>
                            <w:r>
                              <w:rPr>
                                <w:color w:val="000000"/>
                              </w:rPr>
                              <w:t xml:space="preserve"> 3643.2002.QĐUB 12538.2002 do UBND Thành phố Hà Nội cấp ngày 10/01/2008; Chủ sử dụng đất là Ông Bùi Văn Hương và bà Nguyễn Thị Chiến.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3.72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275/2026/0371/VFI-CT.53.A</w:t>
                      </w:r>
                      <w:r>
                        <w:rPr>
                          <w:b/>
                        </w:rPr>
                      </w:r>
                      <w:r>
                        <w:rPr>
                          <w:b/>
                        </w:rPr>
                      </w:r>
                    </w:p>
                    <w:p>
                      <w:pPr>
                        <w:pBdr/>
                        <w:tabs>
                          <w:tab w:val="left" w:leader="none" w:pos="3002"/>
                        </w:tabs>
                        <w:spacing w:after="120" w:before="120" w:line="276" w:lineRule="auto"/>
                        <w:ind/>
                        <w:jc w:val="center"/>
                        <w:rPr>
                          <w:rFonts w:ascii="Times New Roman Bold" w:hAnsi="Times New Roman Bold"/>
                          <w:b/>
                          <w:highlight w:val="yellow"/>
                        </w:rPr>
                      </w:pPr>
                      <w:r>
                        <w:rPr>
                          <w:rFonts w:ascii="Times New Roman Bold" w:hAnsi="Times New Roman Bold"/>
                          <w:b/>
                          <w:highlight w:val="white"/>
                          <w:lang w:val="pt-BR"/>
                        </w:rPr>
                        <w:t xml:space="preserve">Khách hàng yêu cầu: </w:t>
                      </w:r>
                      <w:r>
                        <w:rPr>
                          <w:rFonts w:ascii="Times New Roman Bold" w:hAnsi="Times New Roman Bold"/>
                          <w:b/>
                          <w:color w:val="000000" w:themeColor="text1"/>
                          <w:highlight w:val="none"/>
                          <w:lang w:val="pt-BR"/>
                        </w:rPr>
                        <w:t xml:space="preserve">Bà Nguyễn Thị Chiến </w:t>
                      </w:r>
                      <w:r>
                        <w:rPr>
                          <w:rFonts w:ascii="Times New Roman Bold" w:hAnsi="Times New Roman Bold"/>
                          <w:b/>
                          <w:highlight w:val="yellow"/>
                        </w:rPr>
                      </w:r>
                      <w:r>
                        <w:rPr>
                          <w:rFonts w:ascii="Times New Roman Bold" w:hAnsi="Times New Roman Bold"/>
                          <w:b/>
                          <w:highlight w:val="yellow"/>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179-5, tờ bản đồ số: 19, địa chỉ: Tổ 49, phường Dịch Vọng, quận Cầu Giấy (</w:t>
                      </w:r>
                      <w:r>
                        <w:rPr>
                          <w:i/>
                          <w:iCs/>
                          <w:color w:val="000000"/>
                        </w:rPr>
                        <w:t xml:space="preserve">nay là phường Cầu Giấy)</w:t>
                      </w:r>
                      <w:r>
                        <w:rPr>
                          <w:color w:val="000000"/>
                        </w:rPr>
                        <w:t xml:space="preserve">, thành phố Hà Nội theo Giấy chứng nhận quyền sử dụng đất</w:t>
                      </w:r>
                      <w:r>
                        <w:rPr>
                          <w:color w:val="000000"/>
                        </w:rPr>
                        <w:t xml:space="preserve"> số: AM 000769, </w:t>
                      </w:r>
                      <w:r>
                        <w:rPr>
                          <w:color w:val="000000" w:themeColor="text1"/>
                        </w:rPr>
                        <w:t xml:space="preserve">hồ sơ gốc số</w:t>
                      </w:r>
                      <w:r>
                        <w:rPr>
                          <w:color w:val="ff0000"/>
                        </w:rPr>
                        <w:t xml:space="preserve">:</w:t>
                      </w:r>
                      <w:r>
                        <w:rPr>
                          <w:color w:val="000000"/>
                        </w:rPr>
                        <w:t xml:space="preserve"> 3643.2002.QĐUB 12538.2002 do UBND Thành phố Hà Nội cấp ngày 10/01/2008; Chủ sử dụng đất là Ông Bùi Văn Hương và bà Nguyễn Thị Chiến.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highlight w:val="white"/>
        </w:rPr>
      </w:pPr>
      <w:r>
        <w:rPr>
          <w:b/>
          <w:sz w:val="28"/>
          <w:highlight w:val="white"/>
        </w:rPr>
        <w:t xml:space="preserve">MỤC LỤC</w:t>
      </w:r>
      <w:r>
        <w:rPr>
          <w:sz w:val="28"/>
          <w:highlight w:val="white"/>
        </w:rPr>
      </w:r>
      <w:r>
        <w:rPr>
          <w:sz w:val="28"/>
          <w:highlight w:val="white"/>
        </w:rPr>
      </w:r>
    </w:p>
    <w:p>
      <w:pPr>
        <w:pBdr/>
        <w:spacing/>
        <w:ind/>
        <w:rPr>
          <w:highlight w:val="white"/>
        </w:rPr>
      </w:pPr>
      <w:r>
        <w:rPr>
          <w:highlight w:val="white"/>
        </w:rPr>
      </w:r>
      <w:r>
        <w:rPr>
          <w:highlight w:val="white"/>
        </w:rPr>
      </w:r>
      <w:r>
        <w:rPr>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4-21</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43"/>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 + Hồ sơ pháp lý + BBKS</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22-25</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43"/>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26-3</w:t>
            </w:r>
            <w:r>
              <w:rPr>
                <w:b/>
                <w:bCs/>
                <w:highlight w:val="white"/>
              </w:rPr>
              <w:t xml:space="preserve">1</w:t>
            </w:r>
            <w:r>
              <w:rPr>
                <w:b/>
                <w:bCs/>
                <w:highlight w:val="white"/>
              </w:rPr>
            </w:r>
            <w:r>
              <w:rPr>
                <w:b/>
                <w:bCs/>
                <w:highlight w:val="white"/>
              </w:rPr>
            </w:r>
          </w:p>
        </w:tc>
      </w:tr>
    </w:tbl>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ayout w:type="fixed"/>
        <w:tblLook w:val="04A0" w:firstRow="1" w:lastRow="0" w:firstColumn="1" w:lastColumn="0" w:noHBand="0" w:noVBand="1"/>
      </w:tblPr>
      <w:tblGrid>
        <w:gridCol w:w="29"/>
        <w:gridCol w:w="1829"/>
        <w:gridCol w:w="2388"/>
        <w:gridCol w:w="5846"/>
        <w:gridCol w:w="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217" w:type="dxa"/>
            <w:textDirection w:val="lrTb"/>
            <w:noWrap w:val="false"/>
          </w:tcPr>
          <w:p>
            <w:pPr>
              <w:pStyle w:val="1042"/>
              <w:pBdr/>
              <w:spacing w:after="60"/>
              <w:ind/>
              <w:rPr>
                <w:color w:val="000000" w:themeColor="text1"/>
                <w:sz w:val="24"/>
                <w:szCs w:val="24"/>
              </w:rPr>
            </w:pPr>
            <w:r>
              <w:rPr>
                <w:rStyle w:val="1041"/>
                <w:rFonts w:ascii="Times New Roman" w:hAnsi="Times New Roman"/>
                <w:color w:val="000000" w:themeColor="text1"/>
                <w:lang w:val="pt-BR"/>
              </w:rPr>
              <w:t xml:space="preserve">Số: </w:t>
            </w:r>
            <w:r>
              <w:rPr>
                <w:rStyle w:val="1041"/>
                <w:rFonts w:ascii="Times New Roman" w:hAnsi="Times New Roman"/>
                <w:color w:val="000000" w:themeColor="text1"/>
                <w:lang w:val="pt-BR"/>
              </w:rPr>
              <w:t xml:space="preserve">275/2026/0371/VFI-CT.53.A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46" w:type="dxa"/>
            <w:textDirection w:val="lrTb"/>
            <w:noWrap w:val="false"/>
          </w:tcPr>
          <w:p>
            <w:pPr>
              <w:pStyle w:val="1042"/>
              <w:pBdr/>
              <w:spacing w:after="60"/>
              <w:ind w:right="-56"/>
              <w:jc w:val="right"/>
              <w:rPr>
                <w:color w:val="000000" w:themeColor="text1"/>
                <w:sz w:val="24"/>
                <w:szCs w:val="24"/>
                <w:lang w:val="vi-VN"/>
              </w:rPr>
            </w:pPr>
            <w:r>
              <w:rPr>
                <w:rStyle w:val="1041"/>
                <w:rFonts w:ascii="Times New Roman" w:hAnsi="Times New Roman"/>
                <w:i/>
                <w:color w:val="auto"/>
              </w:rPr>
              <w:t xml:space="preserve">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09 tháng 3 năm 2026</w:t>
            </w:r>
            <w:r>
              <w:rPr>
                <w:color w:val="000000" w:themeColor="text1"/>
                <w:sz w:val="24"/>
                <w:szCs w:val="24"/>
                <w:lang w:val="vi-VN"/>
              </w:rPr>
            </w:r>
            <w:r>
              <w:rPr>
                <w:color w:val="000000" w:themeColor="text1"/>
                <w:sz w:val="24"/>
                <w:szCs w:val="24"/>
                <w:lang w:val="vi-VN"/>
              </w:rPr>
            </w:r>
          </w:p>
        </w:tc>
      </w:tr>
    </w:tbl>
    <w:p>
      <w:pPr>
        <w:pStyle w:val="1042"/>
        <w:pBdr/>
        <w:spacing w:after="120" w:before="200" w:line="288" w:lineRule="auto"/>
        <w:ind/>
        <w:jc w:val="center"/>
        <w:rPr>
          <w:rStyle w:val="1041"/>
          <w:rFonts w:ascii="Times New Roman" w:hAnsi="Times New Roman"/>
          <w:b/>
          <w:bCs/>
          <w:color w:val="auto"/>
          <w:sz w:val="30"/>
          <w:szCs w:val="30"/>
          <w:lang w:val="vi-VN"/>
        </w:rPr>
      </w:pPr>
      <w:r>
        <w:rPr>
          <w:rStyle w:val="1041"/>
          <w:rFonts w:ascii="Times New Roman" w:hAnsi="Times New Roman"/>
          <w:b/>
          <w:bCs/>
          <w:color w:val="auto"/>
          <w:sz w:val="30"/>
          <w:szCs w:val="30"/>
          <w:lang w:val="vi-VN"/>
        </w:rPr>
        <w:t xml:space="preserve">CHỨNG THƯ THẨM ĐỊNH GIÁ</w:t>
      </w:r>
      <w:r>
        <w:rPr>
          <w:rStyle w:val="1041"/>
          <w:rFonts w:ascii="Times New Roman" w:hAnsi="Times New Roman"/>
          <w:b/>
          <w:bCs/>
          <w:color w:val="auto"/>
          <w:sz w:val="30"/>
          <w:szCs w:val="30"/>
          <w:lang w:val="vi-VN"/>
        </w:rPr>
      </w:r>
      <w:r>
        <w:rPr>
          <w:rStyle w:val="104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lang w:val="pt-BR"/>
        </w:rPr>
        <w:t xml:space="preserve">Bà Nguyễn Thị Chiến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275/2026/0371/VFI-HĐTĐ.53.A</w:t>
      </w:r>
      <w:r>
        <w:rPr>
          <w:spacing w:val="-4"/>
          <w:lang w:val="vi-VN"/>
        </w:rPr>
        <w:t xml:space="preserve"> ký ngày </w:t>
      </w:r>
      <w:r>
        <w:rPr>
          <w:color w:val="000000" w:themeColor="text1"/>
          <w:spacing w:val="-4"/>
        </w:rPr>
        <w:t xml:space="preserve">06 tháng 3 năm 2026</w:t>
      </w:r>
      <w:r>
        <w:rPr>
          <w:spacing w:val="-4"/>
          <w:lang w:val="vi-VN"/>
        </w:rPr>
        <w:t xml:space="preserve"> </w:t>
      </w:r>
      <w:r>
        <w:rPr>
          <w:spacing w:val="-4"/>
          <w:lang w:val="vi-VN"/>
        </w:rPr>
        <w:t xml:space="preserve">giữa </w:t>
      </w:r>
      <w:r>
        <w:rPr>
          <w:color w:val="000000" w:themeColor="text1"/>
          <w:spacing w:val="-4"/>
        </w:rPr>
        <w:t xml:space="preserve">Bà Nguyễn Thị Chiến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275/2026/0371/VFI-BC.53.A</w:t>
      </w:r>
      <w:r>
        <w:rPr>
          <w:spacing w:val="-2"/>
          <w:lang w:val="pt-BR"/>
        </w:rPr>
        <w:t xml:space="preserve"> </w:t>
      </w:r>
      <w:r>
        <w:rPr>
          <w:spacing w:val="-2"/>
          <w:lang w:val="pt-BR"/>
        </w:rPr>
        <w:t xml:space="preserve">ngày</w:t>
      </w:r>
      <w:r>
        <w:rPr>
          <w:spacing w:val="-2"/>
          <w:lang w:val="vi-VN"/>
        </w:rPr>
        <w:t xml:space="preserve"> 0</w:t>
      </w:r>
      <w:r>
        <w:rPr>
          <w:color w:val="000000" w:themeColor="text1"/>
          <w:spacing w:val="-2"/>
        </w:rPr>
        <w:t xml:space="preserve">9 tháng 3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74" w:type="pct"/>
        <w:tblBorders/>
        <w:tblLayout w:type="fixed"/>
        <w:tblLook w:val="04A0" w:firstRow="1" w:lastRow="0" w:firstColumn="1" w:lastColumn="0" w:noHBand="0" w:noVBand="1"/>
      </w:tblPr>
      <w:tblGrid>
        <w:gridCol w:w="2234"/>
        <w:gridCol w:w="283"/>
        <w:gridCol w:w="7149"/>
      </w:tblGrid>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7149" w:type="dxa"/>
            <w:vAlign w:val="center"/>
            <w:textDirection w:val="lrTb"/>
            <w:noWrap w:val="false"/>
          </w:tcPr>
          <w:p>
            <w:pPr>
              <w:pBdr/>
              <w:spacing/>
              <w:ind/>
              <w:rPr>
                <w:highlight w:val="yellow"/>
              </w:rPr>
            </w:pPr>
            <w:r>
              <w:rPr>
                <w:b/>
                <w:bCs/>
                <w:highlight w:val="yellow"/>
              </w:rPr>
            </w:r>
            <w:r>
              <w:rPr>
                <w:rFonts w:ascii="Times New Roman Bold" w:hAnsi="Times New Roman Bold"/>
                <w:b/>
                <w:color w:val="000000" w:themeColor="text1"/>
                <w:lang w:val="pt-BR"/>
              </w:rPr>
              <w:t xml:space="preserve">Bà Nguyễn Thị Chiến</w:t>
            </w:r>
            <w:r>
              <w:rPr>
                <w:highlight w:val="yellow"/>
              </w:rPr>
            </w:r>
            <w:r>
              <w:rPr>
                <w:highlight w:val="yellow"/>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7149" w:type="dxa"/>
            <w:vAlign w:val="center"/>
            <w:textDirection w:val="lrTb"/>
            <w:noWrap w:val="false"/>
          </w:tcPr>
          <w:p>
            <w:pPr>
              <w:pBdr/>
              <w:spacing w:after="40" w:before="40" w:line="276" w:lineRule="auto"/>
              <w:ind/>
              <w:jc w:val="both"/>
              <w:rPr>
                <w:color w:val="ff0000"/>
                <w:highlight w:val="yellow"/>
              </w:rPr>
            </w:pPr>
            <w:r>
              <w:rPr>
                <w:color w:val="000000" w:themeColor="text1"/>
                <w:highlight w:val="none"/>
                <w:lang w:val="vi-VN"/>
              </w:rPr>
              <w:t xml:space="preserve">030169008456</w:t>
            </w:r>
            <w:r>
              <w:rPr>
                <w:color w:val="ff0000"/>
                <w:highlight w:val="yellow"/>
              </w:rPr>
            </w:r>
            <w:r>
              <w:rPr>
                <w:color w:val="ff0000"/>
                <w:highlight w:val="yellow"/>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7149" w:type="dxa"/>
            <w:vAlign w:val="center"/>
            <w:textDirection w:val="lrTb"/>
            <w:noWrap w:val="false"/>
          </w:tcPr>
          <w:p>
            <w:pPr>
              <w:pBdr/>
              <w:spacing w:after="40" w:before="40" w:line="276" w:lineRule="auto"/>
              <w:ind/>
              <w:jc w:val="both"/>
              <w:rPr>
                <w:color w:val="ff0000"/>
                <w:highlight w:val="yellow"/>
              </w:rPr>
            </w:pPr>
            <w:r>
              <w:rPr>
                <w:color w:val="000000" w:themeColor="text1"/>
                <w:highlight w:val="none"/>
                <w:lang w:val="vi-VN"/>
              </w:rPr>
              <w:t xml:space="preserve">1969</w:t>
            </w:r>
            <w:r>
              <w:rPr>
                <w:color w:val="ff0000"/>
                <w:highlight w:val="yellow"/>
              </w:rPr>
            </w:r>
            <w:r>
              <w:rPr>
                <w:color w:val="ff0000"/>
                <w:highlight w:val="yellow"/>
              </w:rPr>
            </w:r>
          </w:p>
        </w:tc>
      </w:tr>
      <w:tr>
        <w:trPr>
          <w:trHeight w:val="20"/>
        </w:trPr>
        <w:tc>
          <w:tcPr>
            <w:shd w:val="clear" w:color="auto" w:fill="auto"/>
            <w:tcBorders/>
            <w:tcW w:w="2234"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shd w:val="clear" w:color="auto" w:fill="auto"/>
            <w:tcBorders/>
            <w:tcW w:w="28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7149" w:type="dxa"/>
            <w:vAlign w:val="center"/>
            <w:textDirection w:val="lrTb"/>
            <w:noWrap w:val="false"/>
          </w:tcPr>
          <w:p>
            <w:pPr>
              <w:pBdr/>
              <w:spacing w:after="40" w:before="40" w:line="276" w:lineRule="auto"/>
              <w:ind/>
              <w:jc w:val="both"/>
              <w:rPr>
                <w:color w:val="ff0000"/>
                <w:highlight w:val="yellow"/>
              </w:rPr>
            </w:pPr>
            <w:r>
              <w:rPr>
                <w:color w:val="000000" w:themeColor="text1"/>
                <w:highlight w:val="none"/>
                <w:lang w:val="vi-VN"/>
              </w:rPr>
              <w:t xml:space="preserve">Số 50, Tổ 16, phường Dịch Vọng Hậu, quận Cầu Giấy (</w:t>
            </w:r>
            <w:r>
              <w:rPr>
                <w:i/>
                <w:iCs/>
                <w:color w:val="000000" w:themeColor="text1"/>
                <w:highlight w:val="none"/>
                <w:lang w:val="vi-VN"/>
              </w:rPr>
              <w:t xml:space="preserve">nay là phường Cầu Giấy</w:t>
            </w:r>
            <w:r>
              <w:rPr>
                <w:color w:val="000000" w:themeColor="text1"/>
                <w:highlight w:val="none"/>
                <w:lang w:val="vi-VN"/>
              </w:rPr>
              <w:t xml:space="preserve">), thành phố Hà Nội </w:t>
            </w:r>
            <w:r>
              <w:rPr>
                <w:color w:val="ff0000"/>
                <w:highlight w:val="yellow"/>
              </w:rPr>
            </w:r>
            <w:r>
              <w:rPr>
                <w:color w:val="ff0000"/>
                <w:highlight w:val="yellow"/>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TGĐ</w:t>
            </w:r>
            <w:r>
              <w:rPr>
                <w:b/>
                <w:bCs/>
                <w:lang w:val="vi-VN"/>
              </w:rPr>
            </w:r>
            <w:r>
              <w:rPr>
                <w:b/>
                <w:bCs/>
                <w:lang w:val="vi-VN"/>
              </w:rPr>
            </w:r>
          </w:p>
        </w:tc>
      </w:tr>
    </w:tbl>
    <w:p>
      <w:pPr>
        <w:pBdr/>
        <w:spacing w:after="120" w:before="120" w:line="276"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rPr>
        <w:t xml:space="preserve">Quyền sử dụng đất tại Thửa đất số: 179-5, tờ bản đồ số: 19, địa chỉ: Tổ 49, phường Dịch Vọng, quận Cầu Giấy (</w:t>
      </w:r>
      <w:r>
        <w:rPr>
          <w:i/>
          <w:iCs/>
          <w:color w:val="000000"/>
        </w:rPr>
        <w:t xml:space="preserve">nay là phường Cầu Giấy)</w:t>
      </w:r>
      <w:r>
        <w:rPr>
          <w:color w:val="000000"/>
        </w:rPr>
        <w:t xml:space="preserve">, thành phố Hà Nội theo Giấy chứng nhận quyền sử dụng đất</w:t>
      </w:r>
      <w:r>
        <w:rPr>
          <w:color w:val="000000"/>
        </w:rPr>
        <w:t xml:space="preserve"> số: AM 000769,</w:t>
      </w:r>
      <w:r>
        <w:rPr>
          <w:color w:val="000000" w:themeColor="text1"/>
        </w:rPr>
        <w:t xml:space="preserve"> </w:t>
      </w:r>
      <w:r>
        <w:rPr>
          <w:color w:val="000000" w:themeColor="text1"/>
        </w:rPr>
        <w:t xml:space="preserve">hồ sơ gốc số:</w:t>
      </w:r>
      <w:r>
        <w:rPr>
          <w:color w:val="000000"/>
        </w:rPr>
        <w:t xml:space="preserve"> 3643.2002.QĐUB 12538.2002 do UBND Thành phố Hà Nội cấp ngày 10/01/2008; Chủ sử dụng đất là Ông Bùi Văn Hương và bà Nguyễn Thị Chiến.</w:t>
      </w:r>
      <w:r>
        <w:rPr>
          <w:b/>
          <w:bCs/>
        </w:rPr>
      </w:r>
      <w:r>
        <w:rPr>
          <w:b/>
          <w:bCs/>
        </w:rPr>
      </w:r>
    </w:p>
    <w:p>
      <w:pPr>
        <w:pBdr/>
        <w:spacing w:after="120" w:before="120" w:line="240"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3/2026</w:t>
      </w:r>
      <w:r>
        <w:rPr>
          <w:bCs/>
          <w:lang w:val="nl-NL"/>
        </w:rPr>
        <w:t xml:space="preserve">.</w:t>
      </w:r>
      <w:r>
        <w:rPr>
          <w:b/>
          <w:bCs/>
        </w:rPr>
      </w:r>
      <w:r>
        <w:rPr>
          <w:b/>
          <w:bCs/>
        </w:rPr>
      </w:r>
    </w:p>
    <w:p>
      <w:pPr>
        <w:pBdr/>
        <w:tabs>
          <w:tab w:val="left" w:leader="none" w:pos="851"/>
        </w:tabs>
        <w:spacing w:after="120" w:before="120" w:line="324" w:lineRule="auto"/>
        <w:ind/>
        <w:jc w:val="both"/>
        <w:rPr>
          <w:bCs/>
          <w:color w:val="ff0000"/>
          <w:highlight w:val="white"/>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highlight w:val="white"/>
        </w:rPr>
        <w:t xml:space="preserve">Kết quả thẩm định giá để khách hàng tham khảo giá trị tài sản phục vụ công tác xử lý nợ hoặc xử lý tài sản theo quy định của pháp luật. </w:t>
      </w:r>
      <w:r>
        <w:rPr>
          <w:bCs/>
          <w:color w:val="ff0000"/>
          <w:highlight w:val="white"/>
        </w:rPr>
      </w:r>
      <w:r>
        <w:rPr>
          <w:bCs/>
          <w:color w:val="ff0000"/>
          <w:highlight w:val="white"/>
        </w:rPr>
      </w:r>
    </w:p>
    <w:p>
      <w:pPr>
        <w:pBdr/>
        <w:tabs>
          <w:tab w:val="left" w:leader="none" w:pos="851"/>
        </w:tabs>
        <w:spacing w:after="120" w:before="120" w:line="324"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24"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24"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24"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24"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24"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24"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24"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w:t>
      </w:r>
      <w:r>
        <w:rPr>
          <w:highlight w:val="white"/>
          <w:lang w:val="vi-VN"/>
        </w:rPr>
        <w:t xml:space="preserve"> </w:t>
      </w:r>
      <w:r>
        <w:rPr>
          <w:bCs/>
          <w:color w:val="000000" w:themeColor="text1"/>
          <w:highlight w:val="white"/>
          <w:lang w:val="nl-NL"/>
        </w:rPr>
        <w:t xml:space="preserve">Tháng 3/2026</w:t>
      </w:r>
      <w:r>
        <w:rPr>
          <w:highlight w:val="white"/>
          <w:lang w:val="vi-VN"/>
        </w:rPr>
        <w:t xml:space="preserve"> </w:t>
      </w:r>
      <w:r>
        <w:rPr>
          <w:lang w:val="vi-VN"/>
        </w:rPr>
        <w:t xml:space="preserve">ước tính</w:t>
      </w:r>
      <w:r>
        <w:t xml:space="preserve"> </w:t>
      </w:r>
      <w:r>
        <w:rPr>
          <w:lang w:val="vi-VN"/>
        </w:rPr>
        <w:t xml:space="preserve">như sau:</w:t>
      </w:r>
      <w:r/>
    </w:p>
    <w:tbl>
      <w:tblPr>
        <w:tblW w:w="5173"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17"/>
        <w:gridCol w:w="2801"/>
        <w:gridCol w:w="1802"/>
        <w:gridCol w:w="2167"/>
        <w:gridCol w:w="2268"/>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801"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16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69" w:type="dxa"/>
            <w:vAlign w:val="center"/>
            <w:textDirection w:val="lrTb"/>
            <w:noWrap w:val="false"/>
          </w:tcPr>
          <w:p>
            <w:pPr>
              <w:pBdr/>
              <w:spacing w:after="40" w:before="40" w:line="288" w:lineRule="auto"/>
              <w:ind/>
              <w:jc w:val="both"/>
              <w:rPr>
                <w:b/>
                <w:bCs/>
              </w:rPr>
            </w:pPr>
            <w:r>
              <w:rPr>
                <w:color w:val="000000"/>
              </w:rPr>
            </w:r>
            <w:r>
              <w:rPr>
                <w:b/>
                <w:bCs/>
                <w:color w:val="000000"/>
              </w:rPr>
              <w:t xml:space="preserve">Quyền sử dụng đất tại Thửa đất số: 179-5, tờ bản đồ số: 19, địa chỉ: Tổ 49, phường Dịch Vọng, quận Cầu Giấy (</w:t>
            </w:r>
            <w:r>
              <w:rPr>
                <w:b/>
                <w:bCs/>
                <w:i/>
                <w:iCs/>
                <w:color w:val="000000"/>
              </w:rPr>
              <w:t xml:space="preserve">nay là phường Cầu Giấy)</w:t>
            </w:r>
            <w:r>
              <w:rPr>
                <w:b/>
                <w:bCs/>
                <w:color w:val="000000"/>
              </w:rPr>
              <w:t xml:space="preserve">, thành phố Hà Nội theo Giấy chứng nhận quyền sử dụng đất</w:t>
            </w:r>
            <w:r>
              <w:rPr>
                <w:b/>
                <w:bCs/>
                <w:color w:val="000000"/>
              </w:rPr>
              <w:t xml:space="preserve"> số: AM 000769, </w:t>
            </w:r>
            <w:r>
              <w:rPr>
                <w:b/>
                <w:bCs/>
                <w:color w:val="000000" w:themeColor="text1"/>
              </w:rPr>
              <w:t xml:space="preserve">hồ sơ gốc số:</w:t>
            </w:r>
            <w:r>
              <w:rPr>
                <w:b/>
                <w:bCs/>
                <w:color w:val="000000"/>
              </w:rPr>
              <w:t xml:space="preserve"> 3643.2002.QĐUB 12538.2002 do UBND Thành phố Hà Nội cấp ngày 10/01/2008; Chủ sử dụng đất là Ông Bùi Văn Hương và bà Nguyễn Thị Chiến.</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458"/>
        </w:trPr>
        <w:tc>
          <w:tcPr>
            <w:shd w:val="clear" w:color="000000" w:fill="ffffff"/>
            <w:tcBorders/>
            <w:tcW w:w="817" w:type="dxa"/>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01</w:t>
            </w:r>
            <w:r>
              <w:rPr>
                <w:b w:val="0"/>
                <w:bCs w:val="0"/>
                <w:highlight w:val="white"/>
              </w:rPr>
            </w:r>
            <w:r>
              <w:rPr>
                <w:b w:val="0"/>
                <w:bCs w:val="0"/>
                <w:highlight w:val="white"/>
              </w:rPr>
            </w:r>
          </w:p>
        </w:tc>
        <w:tc>
          <w:tcPr>
            <w:shd w:val="clear" w:color="000000" w:fill="ffffff"/>
            <w:tcBorders/>
            <w:tcW w:w="2801" w:type="dxa"/>
            <w:vAlign w:val="center"/>
            <w:textDirection w:val="lrTb"/>
            <w:noWrap w:val="false"/>
          </w:tcPr>
          <w:p>
            <w:pPr>
              <w:pBdr/>
              <w:spacing w:after="40" w:before="40" w:line="288" w:lineRule="auto"/>
              <w:ind/>
              <w:rPr>
                <w:b w:val="0"/>
                <w:bCs w:val="0"/>
                <w:highlight w:val="white"/>
              </w:rPr>
            </w:pPr>
            <w:r>
              <w:rPr>
                <w:b w:val="0"/>
                <w:bCs w:val="0"/>
                <w:highlight w:val="white"/>
              </w:rPr>
              <w:t xml:space="preserve">Đất ODT (PHQH). </w:t>
            </w:r>
            <w:r>
              <w:rPr>
                <w:b w:val="0"/>
                <w:bCs w:val="0"/>
                <w:highlight w:val="white"/>
              </w:rPr>
            </w:r>
            <w:r>
              <w:rPr>
                <w:b w:val="0"/>
                <w:bCs w:val="0"/>
                <w:highlight w:val="white"/>
              </w:rPr>
            </w:r>
          </w:p>
        </w:tc>
        <w:tc>
          <w:tcPr>
            <w:tcBorders/>
            <w:tcW w:w="1802" w:type="dxa"/>
            <w:vAlign w:val="center"/>
            <w:textDirection w:val="lrTb"/>
            <w:noWrap/>
          </w:tcPr>
          <w:p>
            <w:pPr>
              <w:pBdr/>
              <w:shd w:val="nil" w:color="auto"/>
              <w:spacing/>
              <w:ind/>
              <w:jc w:val="center"/>
              <w:rPr>
                <w:highlight w:val="white"/>
                <w14:ligatures w14:val="none"/>
              </w:rPr>
            </w:pPr>
            <w:r>
              <w:rPr>
                <w:highlight w:val="white"/>
              </w:rPr>
              <w:t xml:space="preserve">13,87</w:t>
            </w:r>
            <w:r>
              <w:rPr>
                <w:highlight w:val="white"/>
                <w14:ligatures w14:val="none"/>
              </w:rPr>
            </w:r>
            <w:r>
              <w:rPr>
                <w:highlight w:val="white"/>
                <w14:ligatures w14:val="none"/>
              </w:rPr>
            </w:r>
          </w:p>
        </w:tc>
        <w:tc>
          <w:tcPr>
            <w:shd w:val="clear" w:color="000000" w:fill="ffffff"/>
            <w:tcBorders/>
            <w:tcW w:w="2166" w:type="dxa"/>
            <w:vAlign w:val="center"/>
            <w:textDirection w:val="lrTb"/>
            <w:noWrap w:val="false"/>
          </w:tcPr>
          <w:p>
            <w:pPr>
              <w:pBdr/>
              <w:shd w:val="nil" w:color="auto"/>
              <w:spacing/>
              <w:ind/>
              <w:jc w:val="center"/>
              <w:rPr>
                <w:highlight w:val="white"/>
                <w14:ligatures w14:val="none"/>
              </w:rPr>
            </w:pPr>
            <w:r>
              <w:rPr>
                <w:highlight w:val="white"/>
              </w:rPr>
              <w:t xml:space="preserve">233.000.000</w:t>
            </w:r>
            <w:r>
              <w:rPr>
                <w:highlight w:val="white"/>
                <w14:ligatures w14:val="none"/>
              </w:rPr>
            </w:r>
            <w:r>
              <w:rPr>
                <w:highlight w:val="white"/>
                <w14:ligatures w14:val="none"/>
              </w:rPr>
            </w:r>
          </w:p>
        </w:tc>
        <w:tc>
          <w:tcPr>
            <w:shd w:val="clear" w:color="000000" w:fill="ffffff"/>
            <w:tcBorders/>
            <w:tcW w:w="2268" w:type="dxa"/>
            <w:vAlign w:val="center"/>
            <w:textDirection w:val="lrTb"/>
            <w:noWrap w:val="false"/>
          </w:tcPr>
          <w:p>
            <w:pPr>
              <w:pBdr/>
              <w:spacing w:after="0" w:before="0" w:line="240" w:lineRule="auto"/>
              <w:ind/>
              <w:jc w:val="right"/>
              <w:rPr>
                <w:highlight w:val="white"/>
              </w:rPr>
            </w:pPr>
            <w:r>
              <w:rPr>
                <w:rFonts w:ascii="Times New Roman" w:hAnsi="Times New Roman" w:eastAsia="Times New Roman" w:cs="Times New Roman"/>
                <w:color w:val="000000"/>
                <w:sz w:val="24"/>
                <w:highlight w:val="white"/>
              </w:rPr>
              <w:t xml:space="preserve">       3.231.710.000 </w:t>
            </w:r>
            <w:r>
              <w:rPr>
                <w:highlight w:val="white"/>
              </w:rPr>
            </w:r>
            <w:r>
              <w:rPr>
                <w:highlight w:val="white"/>
              </w:rPr>
            </w:r>
          </w:p>
        </w:tc>
      </w:tr>
      <w:tr>
        <w:trPr>
          <w:trHeight w:val="20"/>
        </w:trPr>
        <w:tc>
          <w:tcPr>
            <w:shd w:val="clear" w:color="000000" w:fill="ffffff"/>
            <w:tcBorders/>
            <w:tcW w:w="817" w:type="dxa"/>
            <w:vAlign w:val="center"/>
            <w:vMerge w:val="restart"/>
            <w:textDirection w:val="lrTb"/>
            <w:noWrap w:val="false"/>
          </w:tcPr>
          <w:p>
            <w:pPr>
              <w:pBdr/>
              <w:spacing w:after="40" w:before="40" w:line="288" w:lineRule="auto"/>
              <w:ind/>
              <w:jc w:val="center"/>
              <w:rPr>
                <w:b w:val="0"/>
                <w:bCs w:val="0"/>
                <w:highlight w:val="white"/>
              </w:rPr>
            </w:pPr>
            <w:r>
              <w:rPr>
                <w:b w:val="0"/>
                <w:bCs w:val="0"/>
                <w:highlight w:val="white"/>
              </w:rPr>
              <w:t xml:space="preserve">02</w:t>
            </w:r>
            <w:r>
              <w:rPr>
                <w:b w:val="0"/>
                <w:bCs w:val="0"/>
                <w:highlight w:val="white"/>
              </w:rPr>
            </w:r>
            <w:r>
              <w:rPr>
                <w:b w:val="0"/>
                <w:bCs w:val="0"/>
                <w:highlight w:val="white"/>
              </w:rPr>
            </w:r>
          </w:p>
        </w:tc>
        <w:tc>
          <w:tcPr>
            <w:shd w:val="clear" w:color="000000" w:fill="ffffff"/>
            <w:tcBorders/>
            <w:tcW w:w="2801" w:type="dxa"/>
            <w:vAlign w:val="center"/>
            <w:vMerge w:val="restart"/>
            <w:textDirection w:val="lrTb"/>
            <w:noWrap w:val="false"/>
          </w:tcPr>
          <w:p>
            <w:pPr>
              <w:pBdr/>
              <w:spacing w:after="40" w:before="40" w:line="288" w:lineRule="auto"/>
              <w:ind/>
              <w:rPr>
                <w:b w:val="0"/>
                <w:bCs w:val="0"/>
                <w:highlight w:val="white"/>
              </w:rPr>
            </w:pPr>
            <w:r>
              <w:rPr>
                <w:b w:val="0"/>
                <w:bCs w:val="0"/>
                <w:highlight w:val="white"/>
              </w:rPr>
              <w:t xml:space="preserve">Đất ODT (KPHQH).</w:t>
            </w:r>
            <w:r>
              <w:rPr>
                <w:b w:val="0"/>
                <w:bCs w:val="0"/>
                <w:highlight w:val="white"/>
              </w:rPr>
            </w:r>
            <w:r>
              <w:rPr>
                <w:b w:val="0"/>
                <w:bCs w:val="0"/>
                <w:highlight w:val="white"/>
              </w:rPr>
            </w:r>
          </w:p>
        </w:tc>
        <w:tc>
          <w:tcPr>
            <w:tcBorders/>
            <w:tcW w:w="1802" w:type="dxa"/>
            <w:vAlign w:val="center"/>
            <w:vMerge w:val="restart"/>
            <w:textDirection w:val="lrTb"/>
            <w:noWrap/>
          </w:tcPr>
          <w:p>
            <w:pPr>
              <w:pBdr/>
              <w:shd w:val="nil" w:color="auto"/>
              <w:spacing/>
              <w:ind/>
              <w:jc w:val="center"/>
              <w:rPr>
                <w:highlight w:val="white"/>
                <w14:ligatures w14:val="none"/>
              </w:rPr>
            </w:pPr>
            <w:r>
              <w:rPr>
                <w:highlight w:val="white"/>
              </w:rPr>
            </w:r>
            <w:r>
              <w:rPr>
                <w:highlight w:val="white"/>
              </w:rPr>
              <w:t xml:space="preserve">14,73</w:t>
            </w:r>
            <w:r>
              <w:rPr>
                <w:highlight w:val="white"/>
                <w14:ligatures w14:val="none"/>
              </w:rPr>
            </w:r>
            <w:r>
              <w:rPr>
                <w:highlight w:val="white"/>
                <w14:ligatures w14:val="none"/>
              </w:rPr>
            </w:r>
          </w:p>
        </w:tc>
        <w:tc>
          <w:tcPr>
            <w:shd w:val="clear" w:color="000000" w:fill="ffffff"/>
            <w:tcBorders/>
            <w:tcW w:w="2166" w:type="dxa"/>
            <w:vAlign w:val="center"/>
            <w:vMerge w:val="restart"/>
            <w:textDirection w:val="lrTb"/>
            <w:noWrap w:val="false"/>
          </w:tcPr>
          <w:p>
            <w:pPr>
              <w:pBdr/>
              <w:shd w:val="nil" w:color="auto"/>
              <w:spacing/>
              <w:ind/>
              <w:jc w:val="center"/>
              <w:rPr>
                <w:highlight w:val="white"/>
                <w14:ligatures w14:val="none"/>
              </w:rPr>
            </w:pPr>
            <w:r>
              <w:rPr>
                <w:highlight w:val="white"/>
              </w:rPr>
            </w:r>
            <w:r>
              <w:rPr>
                <w:highlight w:val="white"/>
              </w:rPr>
              <w:t xml:space="preserve">44.764.000</w:t>
            </w:r>
            <w:r>
              <w:rPr>
                <w:highlight w:val="white"/>
                <w14:ligatures w14:val="none"/>
              </w:rPr>
            </w:r>
            <w:r>
              <w:rPr>
                <w:highlight w:val="white"/>
                <w14:ligatures w14:val="none"/>
              </w:rPr>
            </w:r>
          </w:p>
        </w:tc>
        <w:tc>
          <w:tcPr>
            <w:shd w:val="clear" w:color="000000" w:fill="ffffff"/>
            <w:tcBorders/>
            <w:tcW w:w="2268" w:type="dxa"/>
            <w:vAlign w:val="center"/>
            <w:vMerge w:val="restart"/>
            <w:textDirection w:val="lrTb"/>
            <w:noWrap w:val="false"/>
          </w:tcPr>
          <w:p>
            <w:pPr>
              <w:pBdr/>
              <w:spacing w:after="0" w:before="0" w:line="240" w:lineRule="auto"/>
              <w:ind/>
              <w:jc w:val="right"/>
              <w:rPr>
                <w:highlight w:val="white"/>
              </w:rPr>
            </w:pPr>
            <w:r>
              <w:rPr>
                <w:rFonts w:ascii="Times New Roman" w:hAnsi="Times New Roman" w:eastAsia="Times New Roman" w:cs="Times New Roman"/>
                <w:color w:val="000000"/>
                <w:sz w:val="24"/>
                <w:highlight w:val="white"/>
              </w:rPr>
              <w:t xml:space="preserve">       659.373.720</w:t>
            </w:r>
            <w:r>
              <w:rPr>
                <w:highlight w:val="white"/>
              </w:rPr>
            </w:r>
            <w:r>
              <w:rPr>
                <w:highlight w:val="white"/>
              </w:rPr>
            </w:r>
          </w:p>
        </w:tc>
      </w:tr>
      <w:tr>
        <w:trPr>
          <w:trHeight w:val="20"/>
        </w:trPr>
        <w:tc>
          <w:tcPr>
            <w:gridSpan w:val="4"/>
            <w:tcBorders/>
            <w:tcW w:w="7587"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2268" w:type="dxa"/>
            <w:vAlign w:val="center"/>
            <w:textDirection w:val="lrTb"/>
            <w:noWrap/>
          </w:tcPr>
          <w:p>
            <w:pPr>
              <w:pBdr/>
              <w:spacing w:after="0" w:before="0" w:line="240" w:lineRule="auto"/>
              <w:ind/>
              <w:jc w:val="right"/>
              <w:rPr>
                <w:b/>
                <w:bCs/>
                <w:highlight w:val="white"/>
              </w:rPr>
            </w:pPr>
            <w:r>
              <w:rPr>
                <w:rFonts w:ascii="Times New Roman" w:hAnsi="Times New Roman" w:eastAsia="Times New Roman" w:cs="Times New Roman"/>
                <w:b/>
                <w:bCs/>
                <w:color w:val="000000"/>
                <w:sz w:val="24"/>
                <w:highlight w:val="white"/>
              </w:rPr>
              <w:t xml:space="preserve">3.891.083.720</w:t>
            </w:r>
            <w:r>
              <w:rPr>
                <w:b/>
                <w:bCs/>
                <w:highlight w:val="white"/>
              </w:rPr>
            </w:r>
            <w:r>
              <w:rPr>
                <w:b/>
                <w:bCs/>
                <w:highlight w:val="white"/>
              </w:rPr>
            </w:r>
          </w:p>
        </w:tc>
      </w:tr>
      <w:tr>
        <w:trPr>
          <w:trHeight w:val="20"/>
        </w:trPr>
        <w:tc>
          <w:tcPr>
            <w:gridSpan w:val="4"/>
            <w:tcBorders/>
            <w:tcW w:w="7587"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cW w:w="2268" w:type="dxa"/>
            <w:vAlign w:val="center"/>
            <w:textDirection w:val="lrTb"/>
            <w:noWrap/>
          </w:tcPr>
          <w:p>
            <w:pPr>
              <w:pBdr/>
              <w:spacing w:after="0" w:before="0" w:line="240" w:lineRule="auto"/>
              <w:ind/>
              <w:jc w:val="right"/>
              <w:rPr>
                <w:b/>
                <w:bCs/>
                <w:highlight w:val="white"/>
              </w:rPr>
            </w:pPr>
            <w:r>
              <w:rPr>
                <w:rFonts w:ascii="Times New Roman" w:hAnsi="Times New Roman" w:eastAsia="Times New Roman" w:cs="Times New Roman"/>
                <w:b/>
                <w:bCs/>
                <w:color w:val="000000"/>
                <w:sz w:val="24"/>
                <w:highlight w:val="white"/>
              </w:rPr>
              <w:t xml:space="preserve">3.891.000.000</w:t>
            </w:r>
            <w:r>
              <w:rPr>
                <w:b/>
                <w:bCs/>
                <w:highlight w:val="white"/>
              </w:rPr>
            </w:r>
            <w:r>
              <w:rPr>
                <w:b/>
                <w:bCs/>
                <w:highlight w:val="white"/>
              </w:rPr>
            </w:r>
          </w:p>
        </w:tc>
      </w:tr>
      <w:tr>
        <w:trPr>
          <w:trHeight w:val="20"/>
        </w:trPr>
        <w:tc>
          <w:tcPr>
            <w:gridSpan w:val="5"/>
            <w:tcBorders/>
            <w:tcW w:w="9855" w:type="dxa"/>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Ba tỷ, tám trăm chín mươi mốt triệu đồng chẵn</w:t>
            </w:r>
            <w:r>
              <w:rPr>
                <w:b/>
                <w:bCs/>
                <w:i/>
                <w:iCs/>
                <w:color w:val="000000"/>
                <w:highlight w:val="white"/>
              </w:rPr>
              <w:t xml:space="preserve">./.)</w:t>
            </w:r>
            <w:r>
              <w:rPr>
                <w:b/>
                <w:bCs/>
                <w:i/>
                <w:iCs/>
                <w:color w:val="000000"/>
                <w:highlight w:val="white"/>
              </w:rPr>
            </w:r>
            <w:r>
              <w:rPr>
                <w:b/>
                <w:bCs/>
                <w:i/>
                <w:iCs/>
                <w:color w:val="000000"/>
                <w:highlight w:val="white"/>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55" w:type="dxa"/>
        <w:tblW w:w="9921" w:type="dxa"/>
        <w:tblBorders/>
        <w:tblLayout w:type="fixed"/>
        <w:tblLook w:val="04A0" w:firstRow="1" w:lastRow="0" w:firstColumn="1" w:lastColumn="0" w:noHBand="0" w:noVBand="1"/>
      </w:tblPr>
      <w:tblGrid>
        <w:gridCol w:w="1787"/>
        <w:gridCol w:w="2335"/>
        <w:gridCol w:w="5799"/>
      </w:tblGrid>
      <w:tr>
        <w:trPr>
          <w:trHeight w:val="1843"/>
        </w:trPr>
        <w:tc>
          <w:tcPr>
            <w:tcBorders/>
            <w:tcW w:w="1787"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13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042"/>
              <w:pBdr/>
              <w:spacing w:after="60"/>
              <w:ind/>
              <w:rPr>
                <w:color w:val="000000" w:themeColor="text1"/>
                <w:sz w:val="24"/>
                <w:szCs w:val="24"/>
              </w:rPr>
            </w:pPr>
            <w:r>
              <w:rPr>
                <w:rStyle w:val="1041"/>
                <w:rFonts w:ascii="Times New Roman" w:hAnsi="Times New Roman"/>
                <w:color w:val="000000" w:themeColor="text1"/>
                <w:lang w:val="pt-BR"/>
              </w:rPr>
              <w:t xml:space="preserve">Số: </w:t>
            </w:r>
            <w:r>
              <w:rPr>
                <w:rStyle w:val="1041"/>
                <w:rFonts w:ascii="Times New Roman" w:hAnsi="Times New Roman"/>
                <w:color w:val="000000" w:themeColor="text1"/>
                <w:lang w:val="pt-BR"/>
              </w:rPr>
              <w:t xml:space="preserve">275/2026/0371/VFI-BC.53.A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799" w:type="dxa"/>
            <w:textDirection w:val="lrTb"/>
            <w:noWrap w:val="false"/>
          </w:tcPr>
          <w:p>
            <w:pPr>
              <w:pStyle w:val="1042"/>
              <w:pBdr/>
              <w:spacing w:after="60"/>
              <w:ind w:right="-56"/>
              <w:jc w:val="right"/>
              <w:rPr>
                <w:color w:val="000000" w:themeColor="text1"/>
                <w:sz w:val="24"/>
                <w:szCs w:val="24"/>
                <w:lang w:val="vi-VN"/>
              </w:rPr>
            </w:pPr>
            <w:r>
              <w:rPr>
                <w:rStyle w:val="1041"/>
                <w:rFonts w:ascii="Times New Roman" w:hAnsi="Times New Roman"/>
                <w:i/>
                <w:color w:val="auto"/>
              </w:rPr>
              <w:t xml:space="preserve">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09 tháng 3 năm 2026</w:t>
            </w:r>
            <w:r>
              <w:rPr>
                <w:color w:val="000000" w:themeColor="text1"/>
                <w:sz w:val="24"/>
                <w:szCs w:val="24"/>
                <w:lang w:val="vi-VN"/>
              </w:rPr>
            </w:r>
            <w:r>
              <w:rPr>
                <w:color w:val="000000" w:themeColor="text1"/>
                <w:sz w:val="24"/>
                <w:szCs w:val="24"/>
                <w:lang w:val="vi-VN"/>
              </w:rPr>
            </w:r>
          </w:p>
        </w:tc>
      </w:tr>
      <w:tr>
        <w:trPr>
          <w:trHeight w:val="84"/>
        </w:trPr>
        <w:tc>
          <w:tcPr>
            <w:gridSpan w:val="2"/>
            <w:shd w:val="clear" w:color="auto" w:fill="auto"/>
            <w:tcBorders/>
            <w:tcMar>
              <w:left w:w="108" w:type="dxa"/>
              <w:top w:w="0" w:type="dxa"/>
              <w:right w:w="108" w:type="dxa"/>
              <w:bottom w:w="0" w:type="dxa"/>
            </w:tcMar>
            <w:tcW w:w="4122" w:type="dxa"/>
            <w:textDirection w:val="lrTb"/>
            <w:noWrap w:val="false"/>
          </w:tcPr>
          <w:p>
            <w:pPr>
              <w:pStyle w:val="1042"/>
              <w:pBdr/>
              <w:spacing w:after="60"/>
              <w:ind/>
              <w:rPr>
                <w:rStyle w:val="1041"/>
                <w:rFonts w:ascii="Times New Roman" w:hAnsi="Times New Roman"/>
                <w:color w:val="000000" w:themeColor="text1"/>
                <w:lang w:val="pt-BR"/>
              </w:rPr>
            </w:pPr>
            <w:r>
              <w:rPr>
                <w:rStyle w:val="1041"/>
                <w:rFonts w:ascii="Times New Roman" w:hAnsi="Times New Roman"/>
                <w:color w:val="000000" w:themeColor="text1"/>
                <w:lang w:val="pt-BR"/>
              </w:rPr>
            </w:r>
            <w:r>
              <w:rPr>
                <w:rStyle w:val="1041"/>
                <w:rFonts w:ascii="Times New Roman" w:hAnsi="Times New Roman"/>
                <w:color w:val="000000" w:themeColor="text1"/>
                <w:lang w:val="pt-BR"/>
              </w:rPr>
            </w:r>
            <w:r>
              <w:rPr>
                <w:rStyle w:val="1041"/>
                <w:rFonts w:ascii="Times New Roman" w:hAnsi="Times New Roman"/>
                <w:color w:val="000000" w:themeColor="text1"/>
                <w:lang w:val="pt-BR"/>
              </w:rPr>
            </w:r>
          </w:p>
        </w:tc>
        <w:tc>
          <w:tcPr>
            <w:shd w:val="clear" w:color="auto" w:fill="auto"/>
            <w:tcBorders/>
            <w:tcMar>
              <w:left w:w="108" w:type="dxa"/>
              <w:top w:w="0" w:type="dxa"/>
              <w:right w:w="108" w:type="dxa"/>
              <w:bottom w:w="0" w:type="dxa"/>
            </w:tcMar>
            <w:tcW w:w="5799" w:type="dxa"/>
            <w:textDirection w:val="lrTb"/>
            <w:noWrap w:val="false"/>
          </w:tcPr>
          <w:p>
            <w:pPr>
              <w:pStyle w:val="1042"/>
              <w:pBdr/>
              <w:spacing w:after="60"/>
              <w:ind w:right="-56"/>
              <w:rPr>
                <w:rStyle w:val="1041"/>
                <w:rFonts w:ascii="Times New Roman" w:hAnsi="Times New Roman"/>
                <w:i/>
                <w:color w:val="auto"/>
              </w:rPr>
            </w:pPr>
            <w:r>
              <w:rPr>
                <w:rFonts w:ascii="Times New Roman" w:hAnsi="Times New Roman"/>
                <w:i/>
                <w:color w:val="auto"/>
              </w:rPr>
            </w:r>
            <w:r>
              <w:rPr>
                <w:rStyle w:val="1041"/>
                <w:rFonts w:ascii="Times New Roman" w:hAnsi="Times New Roman"/>
                <w:i/>
                <w:color w:val="auto"/>
              </w:rPr>
            </w:r>
            <w:r>
              <w:rPr>
                <w:rStyle w:val="1041"/>
                <w:rFonts w:ascii="Times New Roman" w:hAnsi="Times New Roman"/>
                <w:i/>
                <w:color w:val="auto"/>
              </w:rPr>
            </w:r>
          </w:p>
        </w:tc>
      </w:tr>
    </w:tbl>
    <w:p>
      <w:pPr>
        <w:pStyle w:val="104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275/2026/0371/VFI-CT.53.A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09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4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Tên khách hàng</w:t>
            </w:r>
            <w:r>
              <w:rPr>
                <w:bCs/>
                <w:highlight w:val="white"/>
              </w:rPr>
            </w:r>
            <w:r>
              <w:rPr>
                <w:bCs/>
                <w:highlight w:val="white"/>
              </w:rPr>
            </w:r>
          </w:p>
        </w:tc>
        <w:tc>
          <w:tcPr>
            <w:tcBorders/>
            <w:tcW w:w="284" w:type="dxa"/>
            <w:vAlign w:val="center"/>
            <w:textDirection w:val="lrTb"/>
            <w:noWrap w:val="false"/>
          </w:tcPr>
          <w:p>
            <w:pPr>
              <w:pStyle w:val="1043"/>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ind/>
              <w:rPr>
                <w:highlight w:val="yellow"/>
              </w:rPr>
            </w:pPr>
            <w:r>
              <w:rPr>
                <w:b/>
                <w:bCs/>
                <w:highlight w:val="yellow"/>
              </w:rPr>
            </w:r>
            <w:r>
              <w:rPr>
                <w:rFonts w:ascii="Times New Roman Bold" w:hAnsi="Times New Roman Bold"/>
                <w:b/>
                <w:color w:val="000000" w:themeColor="text1"/>
                <w:lang w:val="pt-BR"/>
              </w:rPr>
              <w:t xml:space="preserve">Bà Nguyễn Thị Chiến</w:t>
            </w:r>
            <w:r>
              <w:rPr>
                <w:highlight w:val="yellow"/>
              </w:rPr>
            </w:r>
            <w:r>
              <w:rPr>
                <w:highlight w:val="yellow"/>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CCCD:</w:t>
            </w:r>
            <w:r>
              <w:rPr>
                <w:bCs/>
                <w:highlight w:val="white"/>
              </w:rPr>
            </w:r>
            <w:r>
              <w:rPr>
                <w:bCs/>
                <w:highlight w:val="white"/>
              </w:rPr>
            </w:r>
          </w:p>
        </w:tc>
        <w:tc>
          <w:tcPr>
            <w:tcBorders/>
            <w:tcW w:w="284" w:type="dxa"/>
            <w:vAlign w:val="center"/>
            <w:textDirection w:val="lrTb"/>
            <w:noWrap w:val="false"/>
          </w:tcPr>
          <w:p>
            <w:pPr>
              <w:pStyle w:val="1043"/>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40" w:before="40" w:line="276" w:lineRule="auto"/>
              <w:ind/>
              <w:jc w:val="both"/>
              <w:rPr>
                <w:color w:val="ff0000"/>
                <w:highlight w:val="yellow"/>
              </w:rPr>
            </w:pPr>
            <w:r>
              <w:rPr>
                <w:color w:val="000000" w:themeColor="text1"/>
                <w:highlight w:val="none"/>
                <w:lang w:val="vi-VN"/>
              </w:rPr>
              <w:t xml:space="preserve">030169008456</w:t>
            </w:r>
            <w:r>
              <w:rPr>
                <w:color w:val="ff0000"/>
                <w:highlight w:val="yellow"/>
              </w:rPr>
            </w:r>
            <w:r>
              <w:rPr>
                <w:color w:val="ff0000"/>
                <w:highlight w:val="yellow"/>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Năm sinh:</w:t>
            </w:r>
            <w:r>
              <w:rPr>
                <w:bCs/>
                <w:highlight w:val="white"/>
              </w:rPr>
            </w:r>
            <w:r>
              <w:rPr>
                <w:bCs/>
                <w:highlight w:val="white"/>
              </w:rPr>
            </w:r>
          </w:p>
        </w:tc>
        <w:tc>
          <w:tcPr>
            <w:tcBorders/>
            <w:tcW w:w="284" w:type="dxa"/>
            <w:vAlign w:val="center"/>
            <w:textDirection w:val="lrTb"/>
            <w:noWrap w:val="false"/>
          </w:tcPr>
          <w:p>
            <w:pPr>
              <w:pStyle w:val="1043"/>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40" w:before="40" w:line="276" w:lineRule="auto"/>
              <w:ind/>
              <w:jc w:val="both"/>
              <w:rPr>
                <w:color w:val="ff0000"/>
                <w:highlight w:val="yellow"/>
              </w:rPr>
            </w:pPr>
            <w:r>
              <w:rPr>
                <w:color w:val="000000" w:themeColor="text1"/>
                <w:highlight w:val="none"/>
                <w:lang w:val="vi-VN"/>
              </w:rPr>
              <w:t xml:space="preserve">1969</w:t>
            </w:r>
            <w:r>
              <w:rPr>
                <w:color w:val="ff0000"/>
                <w:highlight w:val="yellow"/>
              </w:rPr>
            </w:r>
            <w:r>
              <w:rPr>
                <w:color w:val="ff0000"/>
                <w:highlight w:val="yellow"/>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color w:val="000000" w:themeColor="text1"/>
                <w:highlight w:val="white"/>
                <w:lang w:val="pt-BR"/>
              </w:rPr>
              <w:t xml:space="preserve">Địa chỉ</w:t>
            </w:r>
            <w:r>
              <w:rPr>
                <w:bCs/>
                <w:highlight w:val="white"/>
              </w:rPr>
            </w:r>
            <w:r>
              <w:rPr>
                <w:bCs/>
                <w:highlight w:val="white"/>
              </w:rPr>
            </w:r>
          </w:p>
        </w:tc>
        <w:tc>
          <w:tcPr>
            <w:tcBorders/>
            <w:tcW w:w="284" w:type="dxa"/>
            <w:vAlign w:val="center"/>
            <w:textDirection w:val="lrTb"/>
            <w:noWrap w:val="false"/>
          </w:tcPr>
          <w:p>
            <w:pPr>
              <w:pStyle w:val="1043"/>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40" w:before="40" w:line="276" w:lineRule="auto"/>
              <w:ind/>
              <w:jc w:val="both"/>
              <w:rPr>
                <w:color w:val="ff0000"/>
                <w:highlight w:val="yellow"/>
              </w:rPr>
            </w:pPr>
            <w:r>
              <w:rPr>
                <w:color w:val="000000" w:themeColor="text1"/>
                <w:highlight w:val="none"/>
                <w:lang w:val="vi-VN"/>
              </w:rPr>
              <w:t xml:space="preserve">Số 50, Tổ 16, phường Dịch Vọng Hậu, quận Cầu Giấy (</w:t>
            </w:r>
            <w:r>
              <w:rPr>
                <w:i/>
                <w:iCs/>
                <w:color w:val="000000" w:themeColor="text1"/>
                <w:highlight w:val="none"/>
                <w:lang w:val="vi-VN"/>
              </w:rPr>
              <w:t xml:space="preserve">nay là phường Cầu Giấy</w:t>
            </w:r>
            <w:r>
              <w:rPr>
                <w:color w:val="000000" w:themeColor="text1"/>
                <w:highlight w:val="none"/>
                <w:lang w:val="vi-VN"/>
              </w:rPr>
              <w:t xml:space="preserve">), thành phố Hà Nội </w:t>
            </w:r>
            <w:r>
              <w:rPr>
                <w:color w:val="ff0000"/>
                <w:highlight w:val="yellow"/>
              </w:rPr>
            </w:r>
            <w:r>
              <w:rPr>
                <w:color w:val="ff0000"/>
                <w:highlight w:val="yellow"/>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Quyền sử dụng đất tại Thửa đất số: 179-5, tờ bản đồ số: 19, địa chỉ: Tổ 49, phường Dịch Vọng, quận Cầu Giấy (</w:t>
            </w:r>
            <w:r>
              <w:rPr>
                <w:i/>
                <w:iCs/>
                <w:color w:val="000000"/>
              </w:rPr>
              <w:t xml:space="preserve">nay là phường Cầu Giấy)</w:t>
            </w:r>
            <w:r>
              <w:rPr>
                <w:color w:val="000000"/>
              </w:rPr>
              <w:t xml:space="preserve">, thành phố Hà Nội theo Giấy chứng nhận quyền sử dụng đất</w:t>
            </w:r>
            <w:r>
              <w:rPr>
                <w:color w:val="000000"/>
              </w:rPr>
              <w:t xml:space="preserve"> số: AM 000769, </w:t>
            </w:r>
            <w:r>
              <w:rPr>
                <w:color w:val="000000" w:themeColor="text1"/>
              </w:rPr>
              <w:t xml:space="preserve">hồ sơ gốc số:</w:t>
            </w:r>
            <w:r>
              <w:rPr>
                <w:color w:val="000000" w:themeColor="text1"/>
              </w:rPr>
              <w:t xml:space="preserve"> </w:t>
            </w:r>
            <w:r>
              <w:rPr>
                <w:color w:val="000000"/>
              </w:rPr>
              <w:t xml:space="preserve">3643.2002.QĐUB 12538.2002 do UBND Thành phố Hà Nội cấp ngày 10/01/2008; Chủ sử dụng đất là Ông Bùi Văn Hương và bà Nguyễn Thị Chiến.</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ff0000"/>
                <w:spacing w:val="-4"/>
                <w:highlight w:val="white"/>
              </w:rPr>
            </w:pPr>
            <w:r>
              <w:rPr>
                <w:bCs/>
                <w:color w:val="000000" w:themeColor="text1"/>
                <w:spacing w:val="-4"/>
                <w:highlight w:val="white"/>
              </w:rPr>
            </w:r>
            <w:r>
              <w:rPr>
                <w:bCs/>
                <w:color w:val="000000" w:themeColor="text1"/>
                <w:spacing w:val="-4"/>
                <w:highlight w:val="white"/>
              </w:rPr>
              <w:t xml:space="preserve">Kết qu</w:t>
            </w:r>
            <w:r>
              <w:rPr>
                <w:bCs/>
                <w:color w:val="000000" w:themeColor="text1"/>
                <w:spacing w:val="-4"/>
                <w:highlight w:val="white"/>
              </w:rPr>
              <w:t xml:space="preserve">ả thẩm định giá để khách hàng tham khảo giá trị tài sản phục vụ công tác xử lý nợ hoặc xử lý tài sản theo quy định của pháp luật </w:t>
            </w:r>
            <w:r>
              <w:rPr>
                <w:bCs/>
                <w:color w:val="ff0000"/>
                <w:spacing w:val="-4"/>
                <w:highlight w:val="white"/>
              </w:rPr>
            </w:r>
            <w:r>
              <w:rPr>
                <w:bCs/>
                <w:color w:val="ff0000"/>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highlight w:val="white"/>
              </w:rPr>
            </w:pPr>
            <w:r>
              <w:rPr>
                <w:color w:val="000000" w:themeColor="text1"/>
                <w:highlight w:val="none"/>
                <w:lang w:val="pt-BR"/>
              </w:rPr>
              <w:t xml:space="preserve">Phường Cầu Giấy, thành ph</w:t>
            </w:r>
            <w:r>
              <w:rPr>
                <w:color w:val="000000" w:themeColor="text1"/>
                <w:highlight w:val="white"/>
                <w:lang w:val="pt-BR"/>
              </w:rPr>
              <w:t xml:space="preserve">ố </w:t>
            </w:r>
            <w:r>
              <w:rPr>
                <w:color w:val="000000" w:themeColor="text1"/>
                <w:highlight w:val="white"/>
                <w:lang w:val="pt-BR"/>
              </w:rPr>
              <w:t xml:space="preserve">Hà Nội</w:t>
            </w:r>
            <w:r>
              <w:rPr>
                <w:color w:val="ee0000"/>
                <w:highlight w:val="white"/>
              </w:rPr>
            </w:r>
            <w:r>
              <w:rPr>
                <w:color w:val="ee0000"/>
                <w:highlight w:val="white"/>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21.033666666667, 105.78580555556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3"/>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3"/>
        <w:numPr>
          <w:ilvl w:val="0"/>
          <w:numId w:val="1"/>
        </w:numPr>
        <w:pBdr/>
        <w:tabs>
          <w:tab w:val="left" w:leader="none" w:pos="993"/>
        </w:tabs>
        <w:spacing w:after="120" w:before="120" w:line="276" w:lineRule="auto"/>
        <w:ind/>
        <w:jc w:val="both"/>
        <w:rPr>
          <w:spacing w:val="-4"/>
          <w:highlight w:val="white"/>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w:t>
      </w:r>
      <w:r>
        <w:rPr>
          <w:spacing w:val="-4"/>
          <w:highlight w:val="white"/>
          <w:lang w:val="pt-BR"/>
        </w:rPr>
        <w:t xml:space="preserve">13/10/2016 của Bộ Tài chính hướng dẫn chế độ quản lý, sử dụng và trích khấu hao tài sản cố định;</w:t>
      </w:r>
      <w:r>
        <w:rPr>
          <w:spacing w:val="-4"/>
          <w:highlight w:val="white"/>
        </w:rPr>
      </w:r>
      <w:r>
        <w:rPr>
          <w:spacing w:val="-4"/>
          <w:highlight w:val="white"/>
          <w:lang w:val="pt-BR"/>
        </w:rPr>
      </w:r>
    </w:p>
    <w:p>
      <w:pPr>
        <w:pStyle w:val="1043"/>
        <w:numPr>
          <w:ilvl w:val="0"/>
          <w:numId w:val="1"/>
        </w:numPr>
        <w:pBdr/>
        <w:tabs>
          <w:tab w:val="left" w:leader="none" w:pos="993"/>
        </w:tabs>
        <w:spacing w:after="120" w:before="120" w:line="276" w:lineRule="auto"/>
        <w:ind/>
        <w:jc w:val="both"/>
        <w:rPr>
          <w:spacing w:val="-4"/>
          <w:highlight w:val="white"/>
        </w:rPr>
      </w:pPr>
      <w:r>
        <w:rPr>
          <w:spacing w:val="-4"/>
          <w:highlight w:val="white"/>
          <w:lang w:val="pt-BR"/>
        </w:rPr>
      </w:r>
      <w:r>
        <w:rPr>
          <w:bCs/>
          <w:color w:val="000000" w:themeColor="text1"/>
          <w:spacing w:val="-4"/>
          <w:highlight w:val="none"/>
          <w:lang w:val="pt-BR"/>
        </w:rPr>
        <w:t xml:space="preserve">Q</w:t>
      </w:r>
      <w:r>
        <w:rPr>
          <w:bCs/>
          <w:color w:val="000000" w:themeColor="text1"/>
          <w:spacing w:val="-4"/>
          <w:highlight w:val="white"/>
          <w:lang w:val="pt-BR"/>
        </w:rPr>
        <w:t xml:space="preserve">uyết định số 409/QĐ-BXD </w:t>
      </w:r>
      <w:r>
        <w:rPr>
          <w:color w:val="000000" w:themeColor="text1"/>
          <w:spacing w:val="-4"/>
          <w:highlight w:val="white"/>
          <w:lang w:val="pt-BR"/>
        </w:rPr>
        <w:t xml:space="preserve">ngày 11 tháng 4 năm 2025</w:t>
      </w:r>
      <w:r>
        <w:rPr>
          <w:bCs/>
          <w:color w:val="000000" w:themeColor="text1"/>
          <w:spacing w:val="-4"/>
          <w:highlight w:val="white"/>
          <w:lang w:val="pt-BR"/>
        </w:rPr>
        <w:t xml:space="preserve"> của Bộ Xây dựng về việc Công bố suất vốn đầu tư xây dựng công trình và giá xây dựng tổng hợp bộ phận kết cấu công trình năm 2024;</w:t>
      </w:r>
      <w:r>
        <w:rPr>
          <w:bCs/>
          <w:color w:val="000000" w:themeColor="text1"/>
          <w:spacing w:val="-4"/>
          <w:highlight w:val="none"/>
          <w:lang w:val="pt-BR"/>
        </w:rPr>
        <w:t xml:space="preserve"> </w:t>
      </w:r>
      <w:r>
        <w:rPr>
          <w:spacing w:val="-4"/>
          <w:highlight w:val="white"/>
        </w:rPr>
      </w:r>
      <w:r>
        <w:rPr>
          <w:spacing w:val="-4"/>
          <w:highlight w:val="white"/>
        </w:rPr>
      </w:r>
    </w:p>
    <w:p>
      <w:pPr>
        <w:pStyle w:val="104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3"/>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dụng đất</w:t>
      </w:r>
      <w:r>
        <w:rPr>
          <w:color w:val="000000"/>
        </w:rPr>
        <w:t xml:space="preserve"> số: AM 000769, </w:t>
      </w:r>
      <w:r>
        <w:rPr>
          <w:color w:val="000000" w:themeColor="text1"/>
        </w:rPr>
        <w:t xml:space="preserve">hồ sơ gốc số:</w:t>
      </w:r>
      <w:r>
        <w:rPr>
          <w:color w:val="000000"/>
        </w:rPr>
        <w:t xml:space="preserve"> 3643.2002.QĐUB 12538.2002 do UBND Thành phố Hà Nội cấp ngày 10/01/2008; Chủ sử dụng đất là Ông Bùi Văn Hương và bà Nguyễn Thị Chiến</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275/2026/0371/VFI-HĐTĐ.53.A ngày</w:t>
      </w:r>
      <w:r>
        <w:rPr>
          <w:color w:val="000000" w:themeColor="text1"/>
          <w:lang w:val="pt-BR"/>
        </w:rPr>
        <w:t xml:space="preserve"> 06/3/202</w:t>
      </w:r>
      <w:r>
        <w:rPr>
          <w:color w:val="000000" w:themeColor="text1"/>
          <w:lang w:val="pt-BR"/>
        </w:rPr>
        <w:t xml:space="preserve">6 giữa </w:t>
      </w:r>
      <w:r>
        <w:rPr>
          <w:color w:val="000000" w:themeColor="text1"/>
          <w:spacing w:val="-4"/>
        </w:rPr>
        <w:t xml:space="preserve">Bà Nguyễn Thị Chiến </w:t>
      </w:r>
      <w:r>
        <w:rPr>
          <w:color w:val="000000" w:themeColor="text1"/>
          <w:lang w:val="pt-BR"/>
        </w:rPr>
        <w:t xml:space="preserve">với Công ty Cổ phần Thẩm định và Đầu tư Tài chính Hoa Sen;</w:t>
      </w:r>
      <w:r>
        <w:rPr>
          <w:b/>
          <w:lang w:val="pt-BR"/>
        </w:rPr>
      </w:r>
      <w:r>
        <w:rPr>
          <w:b/>
          <w:lang w:val="pt-BR"/>
        </w:rPr>
      </w:r>
    </w:p>
    <w:p>
      <w:pPr>
        <w:pStyle w:val="104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Thị trường bất động sản Hà Nội trong năm 2026 đang bước vào giai đoạn phục hồi nhưng có sự sàng lọc rõ rệt. Nguồn cung mới đã tăng trở lại, đặc biệt ở phân khúc căn hộ, tuy nhiên người mua không còn xuống tiền nhanh như giai đoạn 2024–2025. Lãi suất cho va</w:t>
      </w:r>
      <w:r>
        <w:rPr>
          <w:rFonts w:ascii="Times New Roman" w:hAnsi="Times New Roman" w:eastAsia="Times New Roman" w:cs="Times New Roman"/>
          <w:color w:val="0d0d0d"/>
          <w:sz w:val="24"/>
        </w:rPr>
        <w:t xml:space="preserve">y cao hơn và mặt bằng giá nhà tăng mạnh khiến người mua quan tâm nhiều hơn đến giá trị thực, pháp lý và khả năng khai thác của bất động sản.</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Phân khúc căn hộ chung cư vẫn là một trong những phân khúc sôi động nhất. Trong 6 tháng đầu năm 2026, Hà Nội ghi nhận khoảng 16.600 căn hộ mở bán mới, mức cao nhất trong 6 tháng đầu năm kể từ năm 2020. Tuy nhiên, nguồn cung mới đang nghiêng mạnh về phân kh</w:t>
      </w:r>
      <w:r>
        <w:rPr>
          <w:rFonts w:ascii="Times New Roman" w:hAnsi="Times New Roman" w:eastAsia="Times New Roman" w:cs="Times New Roman"/>
          <w:color w:val="0d0d0d"/>
          <w:sz w:val="24"/>
        </w:rPr>
        <w:t xml:space="preserve">úc trung và cao cấp; thị trường gần như không còn sản phẩm mới dưới 60 triệu đồng/m².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Về giá bán, căn hộ sơ cấp tại Hà Nội tiếp tục duy trì ở mức cao. Trong quý II/2026, giá bán sơ cấp trung bình đạt khoảng 95 triệu đồng/m², tăng 12% so với quý trước và 21% so với cùng kỳ năm 2025. Ngược lại, giá căn hộ trên thị trường thứ cấp đã bắt đầu đi</w:t>
      </w:r>
      <w:r>
        <w:rPr>
          <w:rFonts w:ascii="Times New Roman" w:hAnsi="Times New Roman" w:eastAsia="Times New Roman" w:cs="Times New Roman"/>
          <w:color w:val="0d0d0d"/>
          <w:sz w:val="24"/>
        </w:rPr>
        <w:t xml:space="preserve">ều chỉnh, xuống khoảng 60 triệu đồng/m², giảm gần 3% so với quý trước. Điều này cho thấy thị trường đang có sự phân hóa rõ giữa sản phẩm mới và sản phẩm chuyển nhượng. Thanh khoản cũng là vấn đề đáng chú ý. Trong quý II/2026, lượng căn hộ bán được đạt hơn </w:t>
      </w:r>
      <w:r>
        <w:rPr>
          <w:rFonts w:ascii="Times New Roman" w:hAnsi="Times New Roman" w:eastAsia="Times New Roman" w:cs="Times New Roman"/>
          <w:color w:val="0d0d0d"/>
          <w:sz w:val="24"/>
        </w:rPr>
        <w:t xml:space="preserve">5.800 căn, tương đương khoảng 68% nguồn cung mở bán mới. Tỷ lệ này thấp hơn đáng kể so với giai đoạn 2024–2025, khi tỷ lệ hấp thụ thường xuyên trên 90%. Người mua hiện có xu hướng cân nhắc kỹ về dòng tiền và khả năng trả nợ trước khi quyết định mua.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Về khu vực phát triển, nguồn cung đang có xu hướng dịch chuyển từ khu vực lõi trung tâm sang các khu vực rìa trung tâm và ngoại thành. Các khu vực phía Tây, phía Đông và một số huyện ngoại thành tiếp tục được hưởng lợi từ quỹ đất lớn, tốc độ đô thị hóa và </w:t>
      </w:r>
      <w:r>
        <w:rPr>
          <w:rFonts w:ascii="Times New Roman" w:hAnsi="Times New Roman" w:eastAsia="Times New Roman" w:cs="Times New Roman"/>
          <w:color w:val="0d0d0d"/>
          <w:sz w:val="24"/>
        </w:rPr>
        <w:t xml:space="preserve">đầu tư hạ tầng. Cushman &amp; Wakefield nhận định nguồn cung nhà ở trong thời gian tới sẽ tiếp tục dịch chuyển ra ngoài trung tâm, phù hợp với xu hướng phát triển đô thị đa cực của Hà Nội.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Đối với nhà liền thổ và đất nền, thị trường cũng đang có xu hướng mở rộng ra vùng ven. Những khu vực như Đông Anh, Gia Lâm, Hoài Đức, Thường Tín, Đan Phượng và một số khu vực phía Tây Hà Nội được chú ý nhờ quỹ đất và sự phát triển của hệ thống giao thông. </w:t>
      </w:r>
      <w:r>
        <w:rPr>
          <w:rFonts w:ascii="Times New Roman" w:hAnsi="Times New Roman" w:eastAsia="Times New Roman" w:cs="Times New Roman"/>
          <w:color w:val="0d0d0d"/>
          <w:sz w:val="24"/>
        </w:rPr>
        <w:t xml:space="preserve">Tuy nhiên, giá đất tại từng khu vực có sự khác biệt lớn và nhà đầu tư cần đặc biệt quan tâm đến quy hoạch, pháp lý và khả năng hình thành nhu cầu ở thực.</w:t>
      </w:r>
      <w:r/>
    </w:p>
    <w:p>
      <w:pPr>
        <w:pBdr/>
        <w:tabs>
          <w:tab w:val="left" w:leader="none" w:pos="426"/>
        </w:tabs>
        <w:spacing w:after="120" w:before="120" w:line="276" w:lineRule="auto"/>
        <w:ind w:right="0" w:firstLine="283" w:left="0"/>
        <w:jc w:val="both"/>
        <w:rPr>
          <w:bCs/>
          <w:i/>
          <w:lang w:val="pt-BR"/>
        </w:rPr>
      </w:pPr>
      <w:r>
        <w:rPr>
          <w:rFonts w:ascii="Times New Roman" w:hAnsi="Times New Roman" w:eastAsia="Times New Roman" w:cs="Times New Roman"/>
          <w:color w:val="0d0d0d"/>
          <w:sz w:val="24"/>
        </w:rPr>
        <w:t xml:space="preserve">Nhìn chung, thị trường bất động sản Hà Nội hiện không còn là thị trường tăng giá đồng loạt. Cơ hội đang tập trung nhiều hơn vào những dự án có vị trí tốt, pháp lý rõ ràng, hạ tầng hoàn thiện và mức giá phù hợp với khả năng tài chính của người mua. Trong tr</w:t>
      </w:r>
      <w:r>
        <w:rPr>
          <w:rFonts w:ascii="Times New Roman" w:hAnsi="Times New Roman" w:eastAsia="Times New Roman" w:cs="Times New Roman"/>
          <w:color w:val="0d0d0d"/>
          <w:sz w:val="24"/>
        </w:rPr>
        <w:t xml:space="preserve">ung và dài hạn, hạ tầng giao thông, quá trình mở rộng đô thị và sự dịch chuyển dân cư ra các khu vực phía Đông, phía Tây và vùng ven sẽ tiếp tục là những yếu tố quan trọng ảnh hưởng đến giá trị bất động sản</w:t>
      </w:r>
      <w:r>
        <w:rPr>
          <w:i/>
          <w:iCs/>
          <w:lang w:val="pt-BR"/>
        </w:rPr>
        <w:t xml:space="preserve">.</w:t>
      </w:r>
      <w:r>
        <w:rPr>
          <w:bCs/>
          <w:i/>
          <w:lang w:val="pt-BR"/>
        </w:rPr>
      </w:r>
      <w:r>
        <w:rPr>
          <w:bCs/>
          <w:i/>
          <w:lang w:val="pt-BR"/>
        </w:rPr>
      </w:r>
    </w:p>
    <w:p>
      <w:pPr>
        <w:pStyle w:val="1043"/>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Style w:val="1047"/>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67"/>
        <w:gridCol w:w="2141"/>
        <w:gridCol w:w="2237"/>
        <w:gridCol w:w="2177"/>
        <w:gridCol w:w="2576"/>
      </w:tblGrid>
      <w:tr>
        <w:trPr>
          <w:trHeight w:val="140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jc w:val="both"/>
              <w:rPr>
                <w:b/>
                <w:bCs/>
              </w:rPr>
            </w:pPr>
            <w:r>
              <w:rPr>
                <w:rFonts w:ascii="Times New Roman" w:hAnsi="Times New Roman" w:eastAsia="Times New Roman" w:cs="Times New Roman"/>
                <w:b/>
                <w:color w:val="000000"/>
                <w:sz w:val="24"/>
              </w:rPr>
            </w:r>
            <w:r>
              <w:rPr>
                <w:b/>
                <w:bCs/>
                <w:color w:val="000000"/>
              </w:rPr>
              <w:t xml:space="preserve">Quyền sử dụng đất tại Thửa đất số: 179-5, tờ bản đồ số: 19, địa chỉ: Tổ 49, phường Dịch Vọng, quận Cầu Giấy (</w:t>
            </w:r>
            <w:r>
              <w:rPr>
                <w:b/>
                <w:bCs/>
                <w:i/>
                <w:iCs/>
                <w:color w:val="000000"/>
              </w:rPr>
              <w:t xml:space="preserve">nay là phường Cầu Giấy)</w:t>
            </w:r>
            <w:r>
              <w:rPr>
                <w:b/>
                <w:bCs/>
                <w:color w:val="000000"/>
              </w:rPr>
              <w:t xml:space="preserve">, thành phố Hà Nội theo Giấy chứng nhận quyền sử dụng đất</w:t>
            </w:r>
            <w:r>
              <w:rPr>
                <w:b/>
                <w:bCs/>
                <w:color w:val="000000"/>
              </w:rPr>
              <w:t xml:space="preserve"> số: AM 000769, </w:t>
            </w:r>
            <w:r>
              <w:rPr>
                <w:b/>
                <w:bCs/>
                <w:color w:val="000000" w:themeColor="text1"/>
              </w:rPr>
              <w:t xml:space="preserve">hồ sơ gốc số:</w:t>
            </w:r>
            <w:r>
              <w:rPr>
                <w:b/>
                <w:bCs/>
                <w:color w:val="000000"/>
              </w:rPr>
              <w:t xml:space="preserve"> 3643.2002.QĐUB 12538.2002 do UBND Thành phố Hà Nội cấp ngày 10/01/2008; Chủ sử dụng đất là Ông Bùi Văn Hương và bà Nguyễn Thị Chiến.</w:t>
            </w:r>
            <w:r>
              <w:rPr>
                <w:b/>
                <w:bCs/>
              </w:rPr>
            </w:r>
            <w:r>
              <w:rPr>
                <w:b/>
                <w:bCs/>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237"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179-5</w:t>
            </w:r>
            <w:r/>
          </w:p>
        </w:tc>
        <w:tc>
          <w:tcPr>
            <w:shd w:val="clear" w:color="ffffff" w:fill="ffffff"/>
            <w:tcBorders>
              <w:bottom w:val="single" w:color="000000" w:sz="6" w:space="0"/>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576"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19</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990" w:type="dxa"/>
            <w:vAlign w:val="center"/>
            <w:textDirection w:val="lrTb"/>
            <w:noWrap w:val="false"/>
          </w:tcPr>
          <w:p>
            <w:pPr>
              <w:pBdr/>
              <w:spacing w:after="0" w:before="0" w:line="240" w:lineRule="auto"/>
              <w:ind w:right="60" w:firstLine="0" w:left="90"/>
              <w:jc w:val="both"/>
              <w:rPr/>
            </w:pPr>
            <w:r>
              <w:rPr>
                <w:rFonts w:ascii="Times New Roman" w:hAnsi="Times New Roman" w:eastAsia="Times New Roman" w:cs="Times New Roman"/>
                <w:i w:val="0"/>
                <w:iCs w:val="0"/>
                <w:color w:val="000000"/>
                <w:sz w:val="24"/>
              </w:rPr>
              <w:t xml:space="preserve">T</w:t>
            </w:r>
            <w:r>
              <w:rPr>
                <w:rFonts w:ascii="Times New Roman" w:hAnsi="Times New Roman" w:eastAsia="Times New Roman" w:cs="Times New Roman"/>
                <w:i w:val="0"/>
                <w:iCs w:val="0"/>
                <w:color w:val="000000"/>
                <w:sz w:val="24"/>
              </w:rPr>
              <w:t xml:space="preserve">ổ 49, phường Dịch Vọng, quận Cầu Giấy </w:t>
            </w:r>
            <w:r>
              <w:rPr>
                <w:rFonts w:ascii="Times New Roman" w:hAnsi="Times New Roman" w:eastAsia="Times New Roman" w:cs="Times New Roman"/>
                <w:i/>
                <w:iCs/>
                <w:color w:val="000000"/>
                <w:sz w:val="24"/>
              </w:rPr>
              <w:t xml:space="preserve">(nay là phường Cầu Giấy)</w:t>
            </w:r>
            <w:r>
              <w:rPr>
                <w:rFonts w:ascii="Times New Roman" w:hAnsi="Times New Roman" w:eastAsia="Times New Roman" w:cs="Times New Roman"/>
                <w:i w:val="0"/>
                <w:iCs w:val="0"/>
                <w:color w:val="000000"/>
                <w:sz w:val="24"/>
              </w:rPr>
              <w:t xml:space="preserve">, thành phố Hà Nội</w:t>
            </w:r>
            <w:r>
              <w:rPr>
                <w:rFonts w:ascii="Times New Roman" w:hAnsi="Times New Roman" w:eastAsia="Times New Roman" w:cs="Times New Roman"/>
                <w:i w:val="0"/>
                <w:iCs w:val="0"/>
                <w:color w:val="000000"/>
                <w:sz w:val="24"/>
              </w:rPr>
              <w:t xml:space="preserve"> </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37"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28,6</w:t>
            </w:r>
            <w:r/>
          </w:p>
        </w:tc>
        <w:tc>
          <w:tcPr>
            <w:tcBorders>
              <w:bottom w:val="single" w:color="000000" w:sz="6" w:space="0"/>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576"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Mục đích sử dụng:</w:t>
            </w:r>
            <w:r/>
          </w:p>
        </w:tc>
        <w:tc>
          <w:tcPr>
            <w:tcBorders/>
            <w:tcMar>
              <w:left w:w="0" w:type="dxa"/>
              <w:top w:w="0" w:type="dxa"/>
              <w:right w:w="0" w:type="dxa"/>
              <w:bottom w:w="0" w:type="dxa"/>
            </w:tcMar>
            <w:tcW w:w="2237" w:type="dxa"/>
            <w:vAlign w:val="bottom"/>
            <w:textDirection w:val="lrTb"/>
            <w:noWrap/>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Đất ở tại đô thị</w:t>
            </w:r>
            <w:r/>
          </w:p>
        </w:tc>
        <w:tc>
          <w:tcPr>
            <w:tcBorders>
              <w:left w:val="single" w:color="000000" w:sz="6" w:space="0"/>
              <w:bottom w:val="single" w:color="000000" w:sz="6" w:space="0"/>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576"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Lâu dài </w:t>
            </w: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990" w:type="dxa"/>
            <w:vAlign w:val="center"/>
            <w:textDirection w:val="lrTb"/>
            <w:noWrap w:val="false"/>
          </w:tcPr>
          <w:p>
            <w:pPr>
              <w:pBdr/>
              <w:spacing w:after="0" w:before="0" w:line="240" w:lineRule="auto"/>
              <w:ind w:right="60" w:firstLine="0" w:left="90"/>
              <w:jc w:val="both"/>
              <w:rPr/>
            </w:pPr>
            <w:r>
              <w:rPr>
                <w:rFonts w:ascii="Times New Roman" w:hAnsi="Times New Roman" w:eastAsia="Times New Roman" w:cs="Times New Roman"/>
                <w:color w:val="000000"/>
                <w:sz w:val="24"/>
              </w:rPr>
              <w:t xml:space="preserve">Nhà nước công nhận quyền sử dụng đất như được Nhà nước giao đất có thu tiền sử dụng đất *Nhận chuyển nhượng QSDĐ.</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b/>
                <w:color w:val="000000"/>
                <w:sz w:val="24"/>
              </w:rPr>
              <w:t xml:space="preserve">Nhà ở </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Loại nhà ở:</w:t>
            </w:r>
            <w:r/>
          </w:p>
        </w:tc>
        <w:tc>
          <w:tcPr>
            <w:tcBorders>
              <w:bottom w:val="single" w:color="000000" w:sz="6" w:space="0"/>
              <w:right w:val="single" w:color="000000" w:sz="6" w:space="0"/>
            </w:tcBorders>
            <w:tcMar>
              <w:left w:w="0" w:type="dxa"/>
              <w:top w:w="0" w:type="dxa"/>
              <w:right w:w="0" w:type="dxa"/>
              <w:bottom w:w="0" w:type="dxa"/>
            </w:tcMar>
            <w:tcW w:w="2237"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Nhà xây gạch 01 tầng</w:t>
            </w:r>
            <w:r/>
          </w:p>
        </w:tc>
        <w:tc>
          <w:tcPr>
            <w:tcBorders>
              <w:bottom w:val="single" w:color="000000" w:sz="6" w:space="0"/>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Hình thức sở hữu:</w:t>
            </w:r>
            <w:r/>
          </w:p>
        </w:tc>
        <w:tc>
          <w:tcPr>
            <w:tcBorders>
              <w:bottom w:val="single" w:color="000000" w:sz="6" w:space="0"/>
              <w:right w:val="single" w:color="000000" w:sz="6" w:space="0"/>
            </w:tcBorders>
            <w:tcMar>
              <w:left w:w="0" w:type="dxa"/>
              <w:top w:w="0" w:type="dxa"/>
              <w:right w:w="0" w:type="dxa"/>
              <w:bottom w:w="0" w:type="dxa"/>
            </w:tcMar>
            <w:tcW w:w="2576"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 -</w:t>
            </w: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Diện tích xây dựng (m²):</w:t>
            </w:r>
            <w:r/>
          </w:p>
        </w:tc>
        <w:tc>
          <w:tcPr>
            <w:tcBorders>
              <w:bottom w:val="single" w:color="000000" w:sz="6" w:space="0"/>
              <w:right w:val="single" w:color="000000" w:sz="6" w:space="0"/>
            </w:tcBorders>
            <w:tcMar>
              <w:left w:w="0" w:type="dxa"/>
              <w:top w:w="0" w:type="dxa"/>
              <w:right w:w="0" w:type="dxa"/>
              <w:bottom w:w="0" w:type="dxa"/>
            </w:tcMar>
            <w:tcW w:w="2237"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28,6</w:t>
            </w:r>
            <w:r/>
          </w:p>
        </w:tc>
        <w:tc>
          <w:tcPr>
            <w:tcBorders>
              <w:bottom w:val="single" w:color="000000" w:sz="6" w:space="0"/>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Diện tích sử dụng (m²):</w:t>
            </w:r>
            <w:r/>
          </w:p>
        </w:tc>
        <w:tc>
          <w:tcPr>
            <w:tcBorders>
              <w:bottom w:val="single" w:color="000000" w:sz="6" w:space="0"/>
              <w:right w:val="single" w:color="000000" w:sz="6" w:space="0"/>
            </w:tcBorders>
            <w:tcMar>
              <w:left w:w="0" w:type="dxa"/>
              <w:top w:w="0" w:type="dxa"/>
              <w:right w:w="0" w:type="dxa"/>
              <w:bottom w:w="0" w:type="dxa"/>
            </w:tcMar>
            <w:tcW w:w="2576" w:type="dxa"/>
            <w:vAlign w:val="center"/>
            <w:textDirection w:val="lrTb"/>
            <w:noWrap/>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28,6</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Số tầng:</w:t>
            </w:r>
            <w:r/>
          </w:p>
        </w:tc>
        <w:tc>
          <w:tcPr>
            <w:tcBorders>
              <w:bottom w:val="single" w:color="000000" w:sz="6" w:space="0"/>
              <w:right w:val="single" w:color="000000" w:sz="6" w:space="0"/>
            </w:tcBorders>
            <w:tcMar>
              <w:left w:w="0" w:type="dxa"/>
              <w:top w:w="0" w:type="dxa"/>
              <w:right w:w="0" w:type="dxa"/>
              <w:bottom w:w="0" w:type="dxa"/>
            </w:tcMar>
            <w:tcW w:w="2237"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01</w:t>
            </w:r>
            <w:r/>
          </w:p>
        </w:tc>
        <w:tc>
          <w:tcPr>
            <w:tcBorders>
              <w:bottom w:val="single" w:color="000000" w:sz="6" w:space="0"/>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Kết cấu:</w:t>
            </w:r>
            <w:r/>
          </w:p>
        </w:tc>
        <w:tc>
          <w:tcPr>
            <w:tcBorders>
              <w:bottom w:val="single" w:color="000000" w:sz="6" w:space="0"/>
              <w:right w:val="single" w:color="000000" w:sz="6" w:space="0"/>
            </w:tcBorders>
            <w:tcMar>
              <w:left w:w="0" w:type="dxa"/>
              <w:top w:w="0" w:type="dxa"/>
              <w:right w:w="0" w:type="dxa"/>
              <w:bottom w:w="0" w:type="dxa"/>
            </w:tcMar>
            <w:tcW w:w="2576"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 Nhà gạch </w:t>
            </w:r>
            <w:r/>
          </w:p>
        </w:tc>
      </w:tr>
      <w:tr>
        <w:trPr>
          <w:trHeight w:val="817"/>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jc w:val="both"/>
              <w:rPr>
                <w:bCs/>
                <w:i/>
              </w:rPr>
            </w:pPr>
            <w:r>
              <w:rPr>
                <w:rFonts w:ascii="Times New Roman" w:hAnsi="Times New Roman" w:eastAsia="Times New Roman" w:cs="Times New Roman"/>
                <w:b/>
                <w:color w:val="000000"/>
                <w:sz w:val="24"/>
              </w:rPr>
              <w:t xml:space="preserve">Ghi chú: </w:t>
            </w:r>
            <w:r>
              <w:rPr>
                <w:rFonts w:ascii="Times New Roman" w:hAnsi="Times New Roman" w:eastAsia="Times New Roman" w:cs="Times New Roman"/>
                <w:b w:val="0"/>
                <w:bCs w:val="0"/>
                <w:i/>
                <w:iCs/>
                <w:color w:val="000000"/>
                <w:sz w:val="24"/>
              </w:rPr>
              <w:t xml:space="preserve">Giấy chứng nhận này được tách ra từ GCN QSHNƠ và QSDĐƠ số 10113091207 đã cấp theo Quyết định số 3643/QĐ-UB ngày 22/5/2002 của UBND Thành phố Hà Nộ</w:t>
            </w:r>
            <w:r>
              <w:rPr>
                <w:rFonts w:ascii="Times New Roman" w:hAnsi="Times New Roman" w:eastAsia="Times New Roman" w:cs="Times New Roman"/>
                <w:b w:val="0"/>
                <w:bCs w:val="0"/>
                <w:i/>
                <w:iCs/>
                <w:color w:val="000000"/>
                <w:sz w:val="24"/>
              </w:rPr>
              <w:t xml:space="preserve">i.</w:t>
            </w:r>
            <w:r>
              <w:rPr>
                <w:i/>
                <w:iCs/>
              </w:rPr>
            </w:r>
            <w:r>
              <w:rPr>
                <w:bCs/>
                <w:i/>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1.4.</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b/>
                <w:color w:val="000000"/>
                <w:sz w:val="24"/>
              </w:rPr>
              <w:t xml:space="preserve">Thông tin quy hoạch:</w:t>
            </w:r>
            <w:r/>
          </w:p>
        </w:tc>
      </w:tr>
      <w:tr>
        <w:trPr>
          <w:trHeight w:val="1236"/>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Tại thời điểm thẩm định, qua tham khảo trên ứng dụng Meeymap.co</w:t>
            </w:r>
            <w:r>
              <w:rPr>
                <w:rFonts w:ascii="Times New Roman" w:hAnsi="Times New Roman" w:eastAsia="Times New Roman" w:cs="Times New Roman"/>
                <w:color w:val="000000" w:themeColor="text1"/>
                <w:sz w:val="24"/>
                <w:highlight w:val="white"/>
              </w:rPr>
              <w:t xml:space="preserve">m, </w:t>
            </w:r>
            <w:r>
              <w:rPr>
                <w:rFonts w:ascii="Times New Roman" w:hAnsi="Times New Roman" w:eastAsia="Times New Roman" w:cs="Times New Roman"/>
                <w:color w:val="000000" w:themeColor="text1"/>
                <w:sz w:val="24"/>
                <w:highlight w:val="white"/>
              </w:rPr>
              <w:t xml:space="preserve">Thửa đất có </w:t>
            </w:r>
            <w:r>
              <w:rPr>
                <w:rFonts w:ascii="Times New Roman" w:hAnsi="Times New Roman" w:eastAsia="Times New Roman" w:cs="Times New Roman"/>
                <w:color w:val="000000" w:themeColor="text1"/>
                <w:sz w:val="24"/>
                <w:highlight w:val="white"/>
              </w:rPr>
              <w:t xml:space="preserve"> 14,73m² n</w:t>
            </w:r>
            <w:r>
              <w:rPr>
                <w:rFonts w:ascii="Times New Roman" w:hAnsi="Times New Roman" w:eastAsia="Times New Roman" w:cs="Times New Roman"/>
                <w:color w:val="000000" w:themeColor="text1"/>
                <w:sz w:val="24"/>
                <w:highlight w:val="white"/>
              </w:rPr>
              <w:t xml:space="preserve">ằm t</w:t>
            </w:r>
            <w:r>
              <w:rPr>
                <w:rFonts w:ascii="Times New Roman" w:hAnsi="Times New Roman" w:eastAsia="Times New Roman" w:cs="Times New Roman"/>
                <w:color w:val="000000"/>
                <w:sz w:val="24"/>
              </w:rPr>
              <w:t xml:space="preserve">rong quy hoạch giao thông.</w:t>
            </w:r>
            <w:r/>
          </w:p>
        </w:tc>
      </w:tr>
      <w:tr>
        <w:trPr>
          <w:trHeight w:val="1236"/>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131" w:type="dxa"/>
            <w:vAlign w:val="center"/>
            <w:vMerge w:val="restart"/>
            <w:textDirection w:val="lrTb"/>
            <w:noWrap w:val="false"/>
          </w:tcPr>
          <w:p>
            <w:pPr>
              <w:pBdr/>
              <w:spacing w:after="0" w:before="0" w:line="240" w:lineRule="auto"/>
              <w:ind w:right="60" w:firstLine="0" w:left="90"/>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5727072" cy="246493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462530" name=""/>
                              <pic:cNvPicPr>
                                <a:picLocks noChangeAspect="1"/>
                              </pic:cNvPicPr>
                              <pic:nvPr/>
                            </pic:nvPicPr>
                            <pic:blipFill rotWithShape="1">
                              <a:blip r:embed="rId17"/>
                              <a:stretch/>
                            </pic:blipFill>
                            <pic:spPr bwMode="auto">
                              <a:xfrm flipH="0" flipV="0">
                                <a:off x="0" y="0"/>
                                <a:ext cx="5727071" cy="24649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50.95pt;height:194.09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349"/>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b/>
                <w:color w:val="000000"/>
                <w:sz w:val="24"/>
              </w:rPr>
              <w:t xml:space="preserve">Vị trí; Giao thông:</w:t>
            </w:r>
            <w:r/>
          </w:p>
        </w:tc>
      </w:tr>
      <w:tr>
        <w:trPr>
          <w:trHeight w:val="43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highlight w:val="white"/>
              </w:rPr>
            </w:pPr>
            <w:r>
              <w:rPr>
                <w:rFonts w:ascii="Times New Roman" w:hAnsi="Times New Roman" w:eastAsia="Times New Roman" w:cs="Times New Roman"/>
                <w:color w:val="000000"/>
                <w:sz w:val="24"/>
                <w:highlight w:val="white"/>
              </w:rPr>
              <w:t xml:space="preserve">Địa chỉ thực tế: </w:t>
            </w:r>
            <w:r>
              <w:rPr>
                <w:highlight w:val="white"/>
              </w:rPr>
            </w:r>
            <w:r>
              <w:rPr>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990" w:type="dxa"/>
            <w:vAlign w:val="center"/>
            <w:textDirection w:val="lrTb"/>
            <w:noWrap w:val="false"/>
          </w:tcPr>
          <w:p>
            <w:pPr>
              <w:pBdr/>
              <w:spacing w:after="0" w:before="0" w:line="240" w:lineRule="auto"/>
              <w:ind w:right="60" w:firstLine="0" w:left="90"/>
              <w:jc w:val="both"/>
              <w:rPr>
                <w:bCs w:val="0"/>
                <w:i w:val="0"/>
                <w:highlight w:val="yellow"/>
              </w:rPr>
            </w:pPr>
            <w:r>
              <w:rPr>
                <w:rFonts w:ascii="Times New Roman" w:hAnsi="Times New Roman" w:eastAsia="Times New Roman" w:cs="Times New Roman"/>
                <w:i w:val="0"/>
                <w:iCs w:val="0"/>
                <w:color w:val="000000"/>
                <w:sz w:val="24"/>
                <w:highlight w:val="none"/>
              </w:rPr>
              <w:t xml:space="preserve">Số 60, ngõ 63 Trần Quốc Vượng, phường Dịch Vọng, quận Cầu Giấy </w:t>
            </w:r>
            <w:r>
              <w:rPr>
                <w:rFonts w:ascii="Times New Roman" w:hAnsi="Times New Roman" w:eastAsia="Times New Roman" w:cs="Times New Roman"/>
                <w:i w:val="0"/>
                <w:iCs w:val="0"/>
                <w:color w:val="000000"/>
                <w:sz w:val="24"/>
                <w:highlight w:val="none"/>
              </w:rPr>
              <w:t xml:space="preserve">(</w:t>
            </w:r>
            <w:r>
              <w:rPr>
                <w:rFonts w:ascii="Times New Roman" w:hAnsi="Times New Roman" w:eastAsia="Times New Roman" w:cs="Times New Roman"/>
                <w:i/>
                <w:iCs/>
                <w:color w:val="000000"/>
                <w:sz w:val="24"/>
                <w:highlight w:val="none"/>
              </w:rPr>
              <w:t xml:space="preserve">nay là </w:t>
            </w:r>
            <w:r>
              <w:rPr>
                <w:rFonts w:ascii="Times New Roman" w:hAnsi="Times New Roman" w:eastAsia="Times New Roman" w:cs="Times New Roman"/>
                <w:i/>
                <w:iCs/>
                <w:color w:val="000000"/>
                <w:sz w:val="24"/>
                <w:highlight w:val="white"/>
              </w:rPr>
              <w:t xml:space="preserve">Phường Cầu Giấy</w:t>
            </w:r>
            <w:r>
              <w:rPr>
                <w:rFonts w:ascii="Times New Roman" w:hAnsi="Times New Roman" w:eastAsia="Times New Roman" w:cs="Times New Roman"/>
                <w:i w:val="0"/>
                <w:iCs w:val="0"/>
                <w:color w:val="000000"/>
                <w:sz w:val="24"/>
                <w:highlight w:val="white"/>
              </w:rPr>
              <w:t xml:space="preserve">),  thành phố Hà Nội </w:t>
            </w:r>
            <w:r>
              <w:rPr>
                <w:bCs w:val="0"/>
                <w:i w:val="0"/>
                <w:highlight w:val="yellow"/>
              </w:rPr>
            </w:r>
            <w:r>
              <w:rPr>
                <w:bCs w:val="0"/>
                <w:i w:val="0"/>
                <w:highlight w:val="yellow"/>
              </w:rP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237"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Ngõ giao thông </w:t>
            </w:r>
            <w:r/>
          </w:p>
        </w:tc>
        <w:tc>
          <w:tcPr>
            <w:tcBorders>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576"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01</w:t>
            </w:r>
            <w:r/>
          </w:p>
        </w:tc>
      </w:tr>
      <w:tr>
        <w:trPr>
          <w:trHeight w:val="1261"/>
        </w:trPr>
        <w:tc>
          <w:tcPr>
            <w:tcBorders>
              <w:left w:val="single" w:color="000000" w:sz="6" w:space="0"/>
              <w:bottom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37"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3m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576"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3m</w:t>
            </w: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highlight w:val="white"/>
              </w:rPr>
            </w:pPr>
            <w:r>
              <w:rPr>
                <w:rFonts w:ascii="Times New Roman" w:hAnsi="Times New Roman" w:eastAsia="Times New Roman" w:cs="Times New Roman"/>
                <w:color w:val="000000"/>
                <w:sz w:val="24"/>
                <w:highlight w:val="white"/>
              </w:rPr>
              <w:t xml:space="preserve">Khoảng cách đến trục đường chính:</w:t>
            </w:r>
            <w:r>
              <w:rPr>
                <w:highlight w:val="white"/>
              </w:rPr>
            </w:r>
            <w:r>
              <w:rPr>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990" w:type="dxa"/>
            <w:vAlign w:val="center"/>
            <w:textDirection w:val="lrTb"/>
            <w:noWrap w:val="false"/>
          </w:tcPr>
          <w:p>
            <w:pPr>
              <w:pBdr/>
              <w:tabs>
                <w:tab w:val="left" w:leader="none" w:pos="2182"/>
              </w:tabs>
              <w:spacing w:after="0" w:before="0" w:line="240" w:lineRule="auto"/>
              <w:ind w:right="60" w:firstLine="0" w:left="90"/>
              <w:rPr>
                <w:highlight w:val="yellow"/>
              </w:rPr>
            </w:pPr>
            <w:r>
              <w:rPr>
                <w:highlight w:val="none"/>
              </w:rPr>
              <w:t xml:space="preserve">Cách đường Trần Quốc Vượng khoảng 200m.</w:t>
            </w:r>
            <w:r>
              <w:rPr>
                <w:highlight w:val="yellow"/>
              </w:rPr>
            </w:r>
            <w:r>
              <w:rPr>
                <w:highlight w:val="yellow"/>
              </w:rPr>
            </w:r>
          </w:p>
        </w:tc>
      </w:tr>
      <w:tr>
        <w:trPr>
          <w:trHeight w:val="633"/>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highlight w:val="white"/>
              </w:rPr>
            </w:pPr>
            <w:r>
              <w:rPr>
                <w:rFonts w:ascii="Times New Roman" w:hAnsi="Times New Roman" w:eastAsia="Times New Roman" w:cs="Times New Roman"/>
                <w:color w:val="000000"/>
                <w:sz w:val="24"/>
                <w:highlight w:val="white"/>
              </w:rPr>
              <w:t xml:space="preserve">Các hướng tiếp giáp:</w:t>
            </w:r>
            <w:r>
              <w:rPr>
                <w:highlight w:val="white"/>
              </w:rPr>
            </w:r>
            <w:r>
              <w:rPr>
                <w:highlight w:val="white"/>
              </w:rP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6990" w:type="dxa"/>
            <w:vAlign w:val="center"/>
            <w:textDirection w:val="lrTb"/>
            <w:noWrap w:val="false"/>
          </w:tcPr>
          <w:p>
            <w:pPr>
              <w:pBdr/>
              <w:spacing w:after="0" w:before="0" w:line="240" w:lineRule="auto"/>
              <w:ind w:right="60" w:firstLine="0" w:left="90"/>
              <w:rPr>
                <w:highlight w:val="yellow"/>
              </w:rPr>
            </w:pPr>
            <w:r>
              <w:rPr>
                <w:rFonts w:ascii="Times New Roman" w:hAnsi="Times New Roman" w:eastAsia="Times New Roman" w:cs="Times New Roman"/>
                <w:color w:val="000000"/>
                <w:sz w:val="24"/>
                <w:highlight w:val="none"/>
              </w:rPr>
              <w:t xml:space="preserve">+ </w:t>
            </w:r>
            <w:r>
              <w:rPr>
                <w:rFonts w:ascii="Times New Roman" w:hAnsi="Times New Roman" w:eastAsia="Times New Roman" w:cs="Times New Roman"/>
                <w:color w:val="000000"/>
                <w:sz w:val="24"/>
                <w:highlight w:val="white"/>
              </w:rPr>
              <w:t xml:space="preserve">Hướng Đông Bắc: tiếp giáp đường giao thông rộng 3m;</w:t>
              <w:br/>
              <w:t xml:space="preserve">+ Các hướng còn lại: tiếp giáp với thửa đất khác.</w:t>
            </w:r>
            <w:r>
              <w:rPr>
                <w:highlight w:val="yellow"/>
              </w:rPr>
            </w:r>
            <w:r>
              <w:rPr>
                <w:highlight w:val="yellow"/>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Vị trí trên bản đồ vệ tinh:  (21.033666666667, 105.78580555556)</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rPr/>
            </w:pPr>
            <w:r>
              <mc:AlternateContent>
                <mc:Choice Requires="wpg">
                  <w:drawing>
                    <wp:inline xmlns:wp="http://schemas.openxmlformats.org/drawingml/2006/wordprocessingDrawing" distT="0" distB="0" distL="0" distR="0">
                      <wp:extent cx="6048375" cy="281319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442170" name=""/>
                              <pic:cNvPicPr>
                                <a:picLocks noChangeAspect="1"/>
                              </pic:cNvPicPr>
                              <pic:nvPr/>
                            </pic:nvPicPr>
                            <pic:blipFill rotWithShape="1">
                              <a:blip r:embed="rId18"/>
                              <a:stretch/>
                            </pic:blipFill>
                            <pic:spPr bwMode="auto">
                              <a:xfrm>
                                <a:off x="0" y="0"/>
                                <a:ext cx="6048374" cy="28131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6.25pt;height:221.51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p>
        </w:tc>
      </w:tr>
      <w:tr>
        <w:trPr>
          <w:trHeight w:val="483"/>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b/>
                <w:color w:val="000000"/>
                <w:sz w:val="24"/>
              </w:rPr>
              <w:t xml:space="preserve">Diện tích; Kích thước; Hình dáng</w:t>
            </w:r>
            <w:r/>
          </w:p>
        </w:tc>
      </w:tr>
      <w:tr>
        <w:trPr>
          <w:trHeight w:val="494"/>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37"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28,6</w:t>
            </w:r>
            <w:r/>
          </w:p>
        </w:tc>
        <w:tc>
          <w:tcPr>
            <w:shd w:val="clear" w:color="ffffff" w:fill="ffffff"/>
            <w:tcBorders>
              <w:bottom w:val="single" w:color="000000" w:sz="6" w:space="0"/>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576"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w:t>
            </w:r>
            <w:r/>
          </w:p>
        </w:tc>
      </w:tr>
      <w:tr>
        <w:trPr>
          <w:trHeight w:val="352"/>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2237" w:type="dxa"/>
            <w:vAlign w:val="center"/>
            <w:textDirection w:val="lrTb"/>
            <w:noWrap w:val="false"/>
          </w:tcPr>
          <w:p>
            <w:pPr>
              <w:pBdr/>
              <w:spacing w:after="0" w:before="0" w:line="240" w:lineRule="auto"/>
              <w:ind w:right="60" w:firstLine="0" w:left="9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4,2 (</w:t>
            </w:r>
            <w:r>
              <w:rPr>
                <w:rFonts w:ascii="Times New Roman" w:hAnsi="Times New Roman" w:eastAsia="Times New Roman" w:cs="Times New Roman"/>
                <w:i/>
                <w:iCs/>
                <w:color w:val="000000" w:themeColor="text1"/>
                <w:sz w:val="24"/>
                <w:highlight w:val="white"/>
              </w:rPr>
              <w:t xml:space="preserve">theo GCN là 3,31)</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rPr>
                <w:color w:val="000000" w:themeColor="text1"/>
                <w:highlight w:val="white"/>
              </w:rPr>
            </w:pPr>
            <w:r>
              <w:rPr>
                <w:rFonts w:ascii="Times New Roman" w:hAnsi="Times New Roman" w:eastAsia="Times New Roman" w:cs="Times New Roman"/>
                <w:color w:val="000000" w:themeColor="text1"/>
                <w:sz w:val="24"/>
                <w:highlight w:val="white"/>
              </w:rPr>
              <w:t xml:space="preserve">Chiều sâu (m): </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76" w:type="dxa"/>
            <w:vAlign w:val="center"/>
            <w:textDirection w:val="lrTb"/>
            <w:noWrap w:val="false"/>
          </w:tcPr>
          <w:p>
            <w:pPr>
              <w:pBdr/>
              <w:spacing w:after="0" w:before="0" w:line="240" w:lineRule="auto"/>
              <w:ind w:right="60" w:firstLine="0" w:left="9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6,</w:t>
            </w:r>
            <w:r>
              <w:rPr>
                <w:rFonts w:ascii="Times New Roman" w:hAnsi="Times New Roman" w:eastAsia="Times New Roman" w:cs="Times New Roman"/>
                <w:color w:val="000000" w:themeColor="text1"/>
                <w:sz w:val="24"/>
                <w:highlight w:val="white"/>
              </w:rPr>
              <w:t xml:space="preserve">8 (</w:t>
            </w:r>
            <w:r>
              <w:rPr>
                <w:rFonts w:ascii="Times New Roman" w:hAnsi="Times New Roman" w:eastAsia="Times New Roman" w:cs="Times New Roman"/>
                <w:i/>
                <w:iCs/>
                <w:color w:val="000000" w:themeColor="text1"/>
                <w:sz w:val="24"/>
                <w:highlight w:val="white"/>
              </w:rPr>
              <w:t xml:space="preserve">theo GCN là </w:t>
            </w:r>
            <w:r>
              <w:rPr>
                <w:rFonts w:ascii="Times New Roman" w:hAnsi="Times New Roman" w:eastAsia="Times New Roman" w:cs="Times New Roman"/>
                <w:i/>
                <w:iCs/>
                <w:color w:val="ff0000"/>
                <w:sz w:val="24"/>
                <w:highlight w:val="white"/>
              </w:rPr>
              <w:t xml:space="preserve">9,16</w:t>
            </w: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r>
      <w:tr>
        <w:trPr>
          <w:trHeight w:val="4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6" w:space="0"/>
              <w:right w:val="single" w:color="000000" w:sz="6" w:space="0"/>
            </w:tcBorders>
            <w:tcMar>
              <w:left w:w="0" w:type="dxa"/>
              <w:top w:w="0" w:type="dxa"/>
              <w:right w:w="0" w:type="dxa"/>
              <w:bottom w:w="0" w:type="dxa"/>
            </w:tcMar>
            <w:tcW w:w="2237" w:type="dxa"/>
            <w:vAlign w:val="center"/>
            <w:textDirection w:val="lrTb"/>
            <w:noWrap w:val="false"/>
          </w:tcPr>
          <w:p>
            <w:pPr>
              <w:pBdr/>
              <w:spacing w:after="0" w:before="0" w:line="240" w:lineRule="auto"/>
              <w:ind w:right="60" w:firstLine="0" w:left="9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Hình chữ nhật </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rPr>
                <w:color w:val="000000" w:themeColor="text1"/>
                <w:highlight w:val="white"/>
              </w:rPr>
            </w:pPr>
            <w:r>
              <w:rPr>
                <w:rFonts w:ascii="Times New Roman" w:hAnsi="Times New Roman" w:eastAsia="Times New Roman" w:cs="Times New Roman"/>
                <w:color w:val="000000" w:themeColor="text1"/>
                <w:sz w:val="24"/>
                <w:highlight w:val="white"/>
              </w:rPr>
              <w:t xml:space="preserve">Hướng chính</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576" w:type="dxa"/>
            <w:vAlign w:val="center"/>
            <w:textDirection w:val="lrTb"/>
            <w:noWrap w:val="false"/>
          </w:tcPr>
          <w:p>
            <w:pPr>
              <w:pBdr/>
              <w:spacing w:after="0" w:before="0" w:line="240" w:lineRule="auto"/>
              <w:ind w:right="60" w:firstLine="0" w:left="9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Đông Bắc </w:t>
            </w:r>
            <w:r>
              <w:rPr>
                <w:color w:val="000000" w:themeColor="text1"/>
                <w:highlight w:val="white"/>
              </w:rPr>
            </w:r>
            <w:r>
              <w:rPr>
                <w:color w:val="000000" w:themeColor="text1"/>
                <w:highlight w:val="white"/>
              </w:rPr>
            </w:r>
          </w:p>
        </w:tc>
      </w:tr>
      <w:tr>
        <w:trPr>
          <w:trHeight w:val="410"/>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498"/>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Mật độ dân cư:</w:t>
            </w:r>
            <w:r/>
          </w:p>
        </w:tc>
        <w:tc>
          <w:tcPr>
            <w:tcBorders/>
            <w:tcMar>
              <w:left w:w="0" w:type="dxa"/>
              <w:top w:w="0" w:type="dxa"/>
              <w:right w:w="0" w:type="dxa"/>
              <w:bottom w:w="0" w:type="dxa"/>
            </w:tcMar>
            <w:tcW w:w="2237" w:type="dxa"/>
            <w:vAlign w:val="center"/>
            <w:textDirection w:val="lrTb"/>
            <w:noWrap/>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Cao/đông đúc</w:t>
            </w:r>
            <w:r/>
          </w:p>
        </w:tc>
        <w:tc>
          <w:tcPr>
            <w:tcBorders>
              <w:left w:val="single" w:color="000000" w:sz="6" w:space="0"/>
              <w:bottom w:val="single" w:color="000000" w:sz="6" w:space="0"/>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576"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Ổn định</w:t>
            </w:r>
            <w:r/>
          </w:p>
        </w:tc>
      </w:tr>
      <w:tr>
        <w:trPr>
          <w:trHeight w:val="464"/>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Lợi thế kinh doanh:</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37"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Khá</w:t>
            </w:r>
            <w:r/>
          </w:p>
        </w:tc>
        <w:tc>
          <w:tcPr>
            <w:tcBorders>
              <w:bottom w:val="single" w:color="000000" w:sz="6" w:space="0"/>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576"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Tốt </w:t>
            </w:r>
            <w:r/>
          </w:p>
        </w:tc>
      </w:tr>
      <w:tr>
        <w:trPr>
          <w:trHeight w:val="1173"/>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141"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2237"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2177" w:type="dxa"/>
            <w:vAlign w:val="center"/>
            <w:textDirection w:val="lrTb"/>
            <w:noWrap w:val="false"/>
          </w:tcPr>
          <w:p>
            <w:pPr>
              <w:pBdr/>
              <w:spacing w:after="0" w:before="0" w:line="240" w:lineRule="auto"/>
              <w:ind w:right="60" w:firstLine="0" w:left="90"/>
              <w:rPr/>
            </w:pPr>
            <w:r>
              <w:rPr>
                <w:rFonts w:ascii="Times New Roman" w:hAnsi="Times New Roman" w:eastAsia="Times New Roman" w:cs="Times New Roman"/>
                <w:color w:val="000000"/>
                <w:sz w:val="24"/>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2576" w:type="dxa"/>
            <w:vAlign w:val="center"/>
            <w:textDirection w:val="lrTb"/>
            <w:noWrap w:val="false"/>
          </w:tcPr>
          <w:p>
            <w:pPr>
              <w:pBdr/>
              <w:spacing w:after="0" w:before="0" w:line="240" w:lineRule="auto"/>
              <w:ind w:right="60" w:firstLine="0" w:left="90"/>
              <w:jc w:val="center"/>
              <w:rPr/>
            </w:pPr>
            <w:r>
              <w:rPr>
                <w:rFonts w:ascii="Times New Roman" w:hAnsi="Times New Roman" w:eastAsia="Times New Roman" w:cs="Times New Roman"/>
                <w:color w:val="000000"/>
                <w:sz w:val="24"/>
              </w:rPr>
              <w:t xml:space="preserve">Tốt </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rPr>
                <w:color w:val="000000" w:themeColor="text1"/>
                <w:highlight w:val="white"/>
              </w:rPr>
            </w:pPr>
            <w:r>
              <w:rPr>
                <w:rFonts w:ascii="Times New Roman" w:hAnsi="Times New Roman" w:eastAsia="Times New Roman" w:cs="Times New Roman"/>
                <w:b/>
                <w:color w:val="000000" w:themeColor="text1"/>
                <w:sz w:val="24"/>
                <w:highlight w:val="white"/>
              </w:rPr>
              <w:t xml:space="preserve"> Tài sản gắn liền với đất: </w:t>
            </w:r>
            <w:r>
              <w:rPr>
                <w:rFonts w:ascii="Times New Roman" w:hAnsi="Times New Roman" w:eastAsia="Times New Roman" w:cs="Times New Roman"/>
                <w:b/>
                <w:color w:val="000000" w:themeColor="text1"/>
                <w:sz w:val="24"/>
                <w:highlight w:val="white"/>
              </w:rPr>
              <w:t xml:space="preserve">Nhà 05 tầng</w:t>
            </w:r>
            <w:r>
              <w:rPr>
                <w:rFonts w:ascii="Times New Roman" w:hAnsi="Times New Roman" w:eastAsia="Times New Roman" w:cs="Times New Roman"/>
                <w:b/>
                <w:color w:val="000000" w:themeColor="text1"/>
                <w:sz w:val="24"/>
                <w:highlight w:val="white"/>
              </w:rPr>
              <w:t xml:space="preserve"> </w:t>
            </w:r>
            <w:r>
              <w:rPr>
                <w:rFonts w:ascii="Times New Roman" w:hAnsi="Times New Roman" w:eastAsia="Times New Roman" w:cs="Times New Roman"/>
                <w:b/>
                <w:color w:val="000000" w:themeColor="text1"/>
                <w:sz w:val="24"/>
                <w:highlight w:val="white"/>
              </w:rPr>
              <w:t xml:space="preserve">+1 tum</w:t>
            </w:r>
            <w:r>
              <w:rPr>
                <w:rFonts w:ascii="Times New Roman" w:hAnsi="Times New Roman" w:eastAsia="Times New Roman" w:cs="Times New Roman"/>
                <w:b/>
                <w:color w:val="000000" w:themeColor="text1"/>
                <w:sz w:val="24"/>
                <w:highlight w:val="white"/>
              </w:rPr>
              <w:t xml:space="preserve"> </w:t>
            </w:r>
            <w:r>
              <w:rPr>
                <w:color w:val="000000" w:themeColor="text1"/>
                <w:highlight w:val="white"/>
              </w:rPr>
            </w:r>
            <w:r>
              <w:rPr>
                <w:color w:val="000000" w:themeColor="text1"/>
                <w:highlight w:val="white"/>
              </w:rPr>
            </w:r>
          </w:p>
        </w:tc>
      </w:tr>
      <w:tr>
        <w:trPr>
          <w:trHeight w:val="931"/>
        </w:trPr>
        <w:tc>
          <w:tcPr>
            <w:tcBorders>
              <w:left w:val="single" w:color="000000" w:sz="6" w:space="0"/>
              <w:bottom w:val="single" w:color="000000" w:sz="6" w:space="0"/>
              <w:right w:val="single" w:color="000000" w:sz="6" w:space="0"/>
            </w:tcBorders>
            <w:tcMar>
              <w:left w:w="0" w:type="dxa"/>
              <w:top w:w="0" w:type="dxa"/>
              <w:right w:w="0" w:type="dxa"/>
              <w:bottom w:w="0" w:type="dxa"/>
            </w:tcMar>
            <w:tcW w:w="5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131" w:type="dxa"/>
            <w:vAlign w:val="center"/>
            <w:textDirection w:val="lrTb"/>
            <w:noWrap w:val="false"/>
          </w:tcPr>
          <w:p>
            <w:pPr>
              <w:pBdr/>
              <w:spacing w:after="0" w:before="0" w:line="240" w:lineRule="auto"/>
              <w:ind w:right="60" w:firstLine="0" w:left="90"/>
              <w:jc w:val="both"/>
              <w:rPr>
                <w:highlight w:val="yellow"/>
              </w:rPr>
            </w:pPr>
            <w:r>
              <w:rPr>
                <w:rFonts w:ascii="Times New Roman" w:hAnsi="Times New Roman" w:eastAsia="Times New Roman" w:cs="Times New Roman"/>
                <w:color w:val="000000"/>
                <w:sz w:val="24"/>
                <w:highlight w:val="none"/>
              </w:rPr>
              <w:t xml:space="preserve">Theo GCN, trên bất đông sản là ngôi nhà xây gạch 01 tầng (DTSD = DTXD = 28,6m</w:t>
            </w:r>
            <w:r>
              <w:rPr>
                <w:rFonts w:ascii="Times New Roman" w:hAnsi="Times New Roman" w:eastAsia="Times New Roman" w:cs="Times New Roman"/>
                <w:color w:val="000000"/>
                <w:sz w:val="24"/>
                <w:highlight w:val="none"/>
                <w:vertAlign w:val="superscript"/>
              </w:rPr>
              <w:t xml:space="preserve">2</w:t>
            </w:r>
            <w:r>
              <w:rPr>
                <w:rFonts w:ascii="Times New Roman" w:hAnsi="Times New Roman" w:eastAsia="Times New Roman" w:cs="Times New Roman"/>
                <w:color w:val="000000"/>
                <w:sz w:val="24"/>
                <w:highlight w:val="none"/>
              </w:rPr>
              <w:t xml:space="preserve">). Tuy nhiên, </w:t>
            </w:r>
            <w:r>
              <w:rPr>
                <w:rFonts w:ascii="Times New Roman" w:hAnsi="Times New Roman" w:eastAsia="Times New Roman" w:cs="Times New Roman"/>
                <w:color w:val="000000"/>
                <w:sz w:val="24"/>
                <w:highlight w:val="none"/>
              </w:rPr>
              <w:t xml:space="preserve">t</w:t>
            </w:r>
            <w:r>
              <w:rPr>
                <w:rFonts w:ascii="Times New Roman" w:hAnsi="Times New Roman" w:eastAsia="Times New Roman" w:cs="Times New Roman"/>
                <w:color w:val="000000"/>
                <w:sz w:val="24"/>
                <w:highlight w:val="white"/>
              </w:rPr>
              <w:t xml:space="preserve">ại thời điểm khảo sát, dưới sự </w:t>
            </w:r>
            <w:r>
              <w:rPr>
                <w:rFonts w:ascii="Times New Roman" w:hAnsi="Times New Roman" w:eastAsia="Times New Roman" w:cs="Times New Roman"/>
                <w:b w:val="0"/>
                <w:bCs w:val="0"/>
                <w:color w:val="000000" w:themeColor="text1"/>
                <w:sz w:val="24"/>
                <w:highlight w:val="white"/>
              </w:rPr>
              <w:t xml:space="preserve">hướng dẫn của đại diện ngân hàng, trê</w:t>
            </w:r>
            <w:r>
              <w:rPr>
                <w:rFonts w:ascii="Times New Roman" w:hAnsi="Times New Roman" w:eastAsia="Times New Roman" w:cs="Times New Roman"/>
                <w:color w:val="000000"/>
                <w:sz w:val="24"/>
                <w:highlight w:val="white"/>
              </w:rPr>
              <w:t xml:space="preserve">n đất có CTXD nhà 05 tầng + 01 tum, diện tích xây dựng khoảng 28,6m</w:t>
            </w:r>
            <w:r>
              <w:rPr>
                <w:rFonts w:ascii="Times New Roman" w:hAnsi="Times New Roman" w:eastAsia="Times New Roman" w:cs="Times New Roman"/>
                <w:color w:val="000000"/>
                <w:sz w:val="24"/>
                <w:highlight w:val="white"/>
                <w:vertAlign w:val="superscript"/>
              </w:rPr>
              <w:t xml:space="preserve">2</w:t>
            </w:r>
            <w:r>
              <w:rPr>
                <w:rFonts w:ascii="Times New Roman" w:hAnsi="Times New Roman" w:eastAsia="Times New Roman" w:cs="Times New Roman"/>
                <w:color w:val="000000"/>
                <w:sz w:val="24"/>
                <w:highlight w:val="white"/>
              </w:rPr>
              <w:t xml:space="preserve">, tổng diện tích sàn khoảng 157,3m</w:t>
            </w:r>
            <w:r>
              <w:rPr>
                <w:rFonts w:ascii="Times New Roman" w:hAnsi="Times New Roman" w:eastAsia="Times New Roman" w:cs="Times New Roman"/>
                <w:color w:val="000000"/>
                <w:sz w:val="24"/>
                <w:highlight w:val="white"/>
                <w:vertAlign w:val="superscript"/>
              </w:rPr>
              <w:t xml:space="preserve">2</w:t>
            </w:r>
            <w:r>
              <w:rPr>
                <w:rFonts w:ascii="Times New Roman" w:hAnsi="Times New Roman" w:eastAsia="Times New Roman" w:cs="Times New Roman"/>
                <w:color w:val="000000"/>
                <w:sz w:val="24"/>
                <w:highlight w:val="white"/>
              </w:rPr>
              <w:t xml:space="preserve">, ngoại quan đã cũ. Công trình chưa được công nhận trên GCN QSDĐ số: AM 000769.</w:t>
            </w:r>
            <w:r>
              <w:rPr>
                <w:highlight w:val="yellow"/>
              </w:rPr>
            </w:r>
            <w:r>
              <w:rPr>
                <w:highlight w:val="yellow"/>
              </w:rPr>
            </w:r>
          </w:p>
        </w:tc>
      </w:tr>
    </w:tbl>
    <w:p>
      <w:pPr>
        <w:pBdr/>
        <w:spacing w:line="235" w:lineRule="auto"/>
        <w:ind w:left="0"/>
        <w:jc w:val="both"/>
        <w:rPr>
          <w:u w:val="single"/>
        </w:rPr>
      </w:pPr>
      <w:r>
        <w:rPr>
          <w:u w:val="single"/>
        </w:rPr>
      </w:r>
      <w:r>
        <w:rPr>
          <w:u w:val="single"/>
        </w:rPr>
      </w:r>
      <w:r>
        <w:rPr>
          <w:u w:val="single"/>
        </w:rPr>
      </w:r>
    </w:p>
    <w:p>
      <w:pPr>
        <w:pBdr/>
        <w:spacing w:line="235" w:lineRule="auto"/>
        <w:ind w:left="0"/>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4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43"/>
        <w:numPr>
          <w:ilvl w:val="0"/>
          <w:numId w:val="3"/>
        </w:numPr>
        <w:pBdr/>
        <w:tabs>
          <w:tab w:val="left" w:leader="none" w:pos="993"/>
        </w:tabs>
        <w:spacing w:after="120" w:before="120" w:line="264" w:lineRule="auto"/>
        <w:ind/>
        <w:jc w:val="both"/>
        <w:rPr>
          <w:spacing w:val="-2"/>
          <w:lang w:val="pt-BR"/>
        </w:rPr>
      </w:pPr>
      <w:r>
        <w:rPr>
          <w:spacing w:val="-2"/>
          <w:lang w:val="pt-BR"/>
        </w:rPr>
      </w:r>
      <w:r>
        <w:rPr>
          <w:rFonts w:ascii="Times New Roman" w:hAnsi="Times New Roman" w:eastAsia="Times New Roman" w:cs="Times New Roman"/>
          <w:color w:val="000000"/>
          <w:sz w:val="24"/>
          <w:highlight w:val="none"/>
        </w:rPr>
        <w:t xml:space="preserve">Theo GCN, trên bất đông sản là ngôi nhà xây gạch 01 tầng (DTSD = DTXD = 28,6m</w:t>
      </w:r>
      <w:r>
        <w:rPr>
          <w:rFonts w:ascii="Times New Roman" w:hAnsi="Times New Roman" w:eastAsia="Times New Roman" w:cs="Times New Roman"/>
          <w:color w:val="000000"/>
          <w:sz w:val="24"/>
          <w:highlight w:val="none"/>
          <w:vertAlign w:val="superscript"/>
        </w:rPr>
        <w:t xml:space="preserve">2</w:t>
      </w:r>
      <w:r>
        <w:rPr>
          <w:rFonts w:ascii="Times New Roman" w:hAnsi="Times New Roman" w:eastAsia="Times New Roman" w:cs="Times New Roman"/>
          <w:color w:val="000000"/>
          <w:sz w:val="24"/>
          <w:highlight w:val="none"/>
        </w:rPr>
        <w:t xml:space="preserve">). Tuy nhiên, </w:t>
      </w:r>
      <w:r>
        <w:rPr>
          <w:rFonts w:ascii="Times New Roman" w:hAnsi="Times New Roman" w:eastAsia="Times New Roman" w:cs="Times New Roman"/>
          <w:color w:val="000000"/>
          <w:sz w:val="24"/>
          <w:highlight w:val="none"/>
        </w:rPr>
        <w:t xml:space="preserve">t</w:t>
      </w:r>
      <w:r>
        <w:rPr>
          <w:rFonts w:ascii="Times New Roman" w:hAnsi="Times New Roman" w:eastAsia="Times New Roman" w:cs="Times New Roman"/>
          <w:color w:val="000000"/>
          <w:sz w:val="24"/>
          <w:highlight w:val="white"/>
        </w:rPr>
        <w:t xml:space="preserve">ại thời điểm khảo sát, dưới</w:t>
      </w:r>
      <w:r>
        <w:rPr>
          <w:rFonts w:ascii="Times New Roman" w:hAnsi="Times New Roman" w:eastAsia="Times New Roman" w:cs="Times New Roman"/>
          <w:b w:val="0"/>
          <w:bCs w:val="0"/>
          <w:color w:val="000000" w:themeColor="text1"/>
          <w:sz w:val="24"/>
          <w:highlight w:val="white"/>
        </w:rPr>
        <w:t xml:space="preserve"> sự hướng dẫn của đại diện ngân hàng,</w:t>
      </w:r>
      <w:r>
        <w:rPr>
          <w:rFonts w:ascii="Times New Roman" w:hAnsi="Times New Roman" w:eastAsia="Times New Roman" w:cs="Times New Roman"/>
          <w:b/>
          <w:bCs/>
          <w:color w:val="ff0000"/>
          <w:sz w:val="24"/>
          <w:highlight w:val="white"/>
        </w:rPr>
        <w:t xml:space="preserve"> </w:t>
      </w:r>
      <w:r>
        <w:rPr>
          <w:rFonts w:ascii="Times New Roman" w:hAnsi="Times New Roman" w:eastAsia="Times New Roman" w:cs="Times New Roman"/>
          <w:color w:val="000000"/>
          <w:sz w:val="24"/>
          <w:highlight w:val="white"/>
        </w:rPr>
        <w:t xml:space="preserve">trên đất có CTXD nhà 05 tầng + 1 tum, diện tích xây dựng khoảng 28,6m</w:t>
      </w:r>
      <w:r>
        <w:rPr>
          <w:rFonts w:ascii="Times New Roman" w:hAnsi="Times New Roman" w:eastAsia="Times New Roman" w:cs="Times New Roman"/>
          <w:color w:val="000000"/>
          <w:sz w:val="24"/>
          <w:highlight w:val="white"/>
          <w:vertAlign w:val="superscript"/>
        </w:rPr>
        <w:t xml:space="preserve">2</w:t>
      </w:r>
      <w:r>
        <w:rPr>
          <w:rFonts w:ascii="Times New Roman" w:hAnsi="Times New Roman" w:eastAsia="Times New Roman" w:cs="Times New Roman"/>
          <w:color w:val="000000"/>
          <w:sz w:val="24"/>
          <w:highlight w:val="white"/>
        </w:rPr>
        <w:t xml:space="preserve">, tổng diện tích sàn khoảng 157,3m</w:t>
      </w:r>
      <w:r>
        <w:rPr>
          <w:rFonts w:ascii="Times New Roman" w:hAnsi="Times New Roman" w:eastAsia="Times New Roman" w:cs="Times New Roman"/>
          <w:color w:val="000000"/>
          <w:sz w:val="24"/>
          <w:highlight w:val="white"/>
          <w:vertAlign w:val="superscript"/>
        </w:rPr>
        <w:t xml:space="preserve">2</w:t>
      </w:r>
      <w:r>
        <w:rPr>
          <w:rFonts w:ascii="Times New Roman" w:hAnsi="Times New Roman" w:eastAsia="Times New Roman" w:cs="Times New Roman"/>
          <w:color w:val="000000"/>
          <w:sz w:val="24"/>
          <w:highlight w:val="white"/>
        </w:rPr>
        <w:t xml:space="preserve">, ngoại quan đã cũ. Công trình chưa được công nhận trên GCN QSDĐ số: AM 000769</w:t>
      </w:r>
      <w:r>
        <w:rPr>
          <w:highlight w:val="white"/>
        </w:rPr>
        <w:t xml:space="preserve">.</w:t>
      </w:r>
      <w:r>
        <w:rPr>
          <w:highlight w:val="none"/>
        </w:rPr>
        <w:t xml:space="preserve"> Đồng thời, Tổ thẩm định cũng không nhận được bất kỳ giấy tờ pháp lý nào liên quan đến CTXD trên. Theo đề  nghị phía Ngân hàng, Tổ thẩm định không xác định giá trị CTXD nhưng vẫn coi đó là phần không thể thiếu của tài sản thẩm định.</w:t>
      </w:r>
      <w:r>
        <w:rPr>
          <w:spacing w:val="-2"/>
          <w:lang w:val="pt-BR"/>
        </w:rPr>
      </w:r>
      <w:r>
        <w:rPr>
          <w:spacing w:val="-2"/>
          <w:lang w:val="pt-BR"/>
        </w:rPr>
      </w:r>
    </w:p>
    <w:p>
      <w:pPr>
        <w:pStyle w:val="1043"/>
        <w:numPr>
          <w:ilvl w:val="0"/>
          <w:numId w:val="3"/>
        </w:numPr>
        <w:pBdr/>
        <w:spacing w:after="0" w:before="0" w:line="240" w:lineRule="auto"/>
        <w:ind w:right="0"/>
        <w:jc w:val="both"/>
        <w:rPr>
          <w:rFonts w:ascii="Times New Roman" w:hAnsi="Times New Roman" w:eastAsia="Times New Roman" w:cs="Times New Roman"/>
          <w:color w:val="000000"/>
          <w:sz w:val="24"/>
          <w:szCs w:val="24"/>
          <w:highlight w:val="none"/>
          <w14:ligatures w14:val="none"/>
        </w:rPr>
      </w:pPr>
      <w:r>
        <w:rPr>
          <w:highlight w:val="none"/>
        </w:rPr>
      </w:r>
      <w:r>
        <w:rPr>
          <w:rFonts w:ascii="Times New Roman" w:hAnsi="Times New Roman" w:eastAsia="Times New Roman" w:cs="Times New Roman"/>
          <w:color w:val="000000"/>
          <w:sz w:val="24"/>
          <w:highlight w:val="white"/>
        </w:rPr>
        <w:t xml:space="preserve">T</w:t>
      </w:r>
      <w:r>
        <w:rPr>
          <w:rFonts w:ascii="Times New Roman" w:hAnsi="Times New Roman" w:eastAsia="Times New Roman" w:cs="Times New Roman"/>
          <w:color w:val="000000"/>
          <w:sz w:val="24"/>
          <w:highlight w:val="white"/>
        </w:rPr>
        <w:t xml:space="preserve">heo GCN QSDĐ số: </w:t>
      </w:r>
      <w:r>
        <w:rPr>
          <w:rFonts w:ascii="Times New Roman" w:hAnsi="Times New Roman" w:eastAsia="Times New Roman" w:cs="Times New Roman"/>
          <w:color w:val="000000"/>
          <w:sz w:val="24"/>
          <w:highlight w:val="white"/>
        </w:rPr>
        <w:t xml:space="preserve">AM 000769</w:t>
      </w:r>
      <w:r>
        <w:rPr>
          <w:rFonts w:ascii="Times New Roman" w:hAnsi="Times New Roman" w:eastAsia="Times New Roman" w:cs="Times New Roman"/>
          <w:color w:val="000000"/>
          <w:sz w:val="24"/>
          <w:highlight w:val="white"/>
        </w:rPr>
        <w:t xml:space="preserve">, thửa đất có mặt tiền rộng 3,31m; chiều dài là 8,49m-9,16m, </w:t>
      </w:r>
      <w:r>
        <w:rPr>
          <w:rFonts w:ascii="Times New Roman" w:hAnsi="Times New Roman" w:eastAsia="Times New Roman" w:cs="Times New Roman"/>
          <w:color w:val="000000"/>
          <w:sz w:val="24"/>
          <w:highlight w:val="white"/>
        </w:rPr>
        <w:t xml:space="preserve">không thể hiện hướng tiếp giáp lối đi và độ rộng lối đi</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highlight w:val="white"/>
        </w:rPr>
        <w:t xml:space="preserve">Qua khảo sát và đo đạc thực tế, Thửa đất có mặt tiền rộng khoảng 4,2m, dài khoảng 6,8m, mặt tiền tiếp giá</w:t>
      </w:r>
      <w:r>
        <w:rPr>
          <w:rFonts w:ascii="Times New Roman" w:hAnsi="Times New Roman" w:eastAsia="Times New Roman" w:cs="Times New Roman"/>
          <w:color w:val="000000"/>
          <w:sz w:val="24"/>
          <w:highlight w:val="white"/>
        </w:rPr>
        <w:t xml:space="preserve">p đường bê tông rộng 3m t</w:t>
      </w:r>
      <w:r>
        <w:rPr>
          <w:rFonts w:ascii="Times New Roman" w:hAnsi="Times New Roman" w:eastAsia="Times New Roman" w:cs="Times New Roman"/>
          <w:color w:val="000000"/>
          <w:sz w:val="24"/>
          <w:highlight w:val="none"/>
        </w:rPr>
        <w:t xml:space="preserve">heo hướng Đông Bắc. Theo đề nghị </w:t>
      </w:r>
      <w:r>
        <w:rPr>
          <w:rFonts w:ascii="Times New Roman" w:hAnsi="Times New Roman" w:eastAsia="Times New Roman" w:cs="Times New Roman"/>
          <w:color w:val="000000"/>
          <w:sz w:val="24"/>
          <w:szCs w:val="24"/>
          <w:highlight w:val="none"/>
        </w:rPr>
        <w:t xml:space="preserve">của Ngân hàng, Tổ thẩm định xác định giá trị tài sản theo thông tin khảo sát đo đạc thực tế.</w:t>
      </w:r>
      <w:r>
        <w:rPr>
          <w:rFonts w:ascii="Times New Roman" w:hAnsi="Times New Roman" w:eastAsia="Times New Roman" w:cs="Times New Roman"/>
          <w:color w:val="000000"/>
          <w:sz w:val="24"/>
          <w:szCs w:val="24"/>
          <w:highlight w:val="none"/>
          <w14:ligatures w14:val="none"/>
        </w:rPr>
      </w:r>
      <w:r>
        <w:rPr>
          <w:rFonts w:ascii="Times New Roman" w:hAnsi="Times New Roman" w:eastAsia="Times New Roman" w:cs="Times New Roman"/>
          <w:color w:val="000000"/>
          <w:sz w:val="24"/>
          <w:szCs w:val="24"/>
          <w:highlight w:val="none"/>
          <w14:ligatures w14:val="none"/>
        </w:rPr>
      </w:r>
    </w:p>
    <w:p>
      <w:pPr>
        <w:pStyle w:val="1043"/>
        <w:numPr>
          <w:ilvl w:val="0"/>
          <w:numId w:val="3"/>
        </w:numPr>
        <w:pBdr/>
        <w:spacing w:after="0" w:before="0" w:line="240" w:lineRule="auto"/>
        <w:ind w:right="0"/>
        <w:jc w:val="both"/>
        <w:rPr/>
      </w:pPr>
      <w:r>
        <w:rPr>
          <w:rFonts w:ascii="Times New Roman" w:hAnsi="Times New Roman" w:eastAsia="Times New Roman" w:cs="Times New Roman"/>
          <w:color w:val="000000"/>
          <w:sz w:val="24"/>
        </w:rPr>
        <w:t xml:space="preserve">Tại thời điểm thẩm </w:t>
      </w:r>
      <w:r>
        <w:rPr>
          <w:rFonts w:ascii="Times New Roman" w:hAnsi="Times New Roman" w:eastAsia="Times New Roman" w:cs="Times New Roman"/>
          <w:color w:val="000000"/>
          <w:sz w:val="24"/>
        </w:rPr>
        <w:t xml:space="preserve">định giá, Tổ thẩm định không được Khách hàng cung cấp các thông tin quy hoạch liên quan đến thửa đất, dựa trên định vị của tài sản sau khi khảo sát. Tại thời điểm thẩm định, qua tham khảo trên ứng dụng Meeymap.com, Tổ Thẩm định ước tính thửa đất có khoảng </w:t>
      </w:r>
      <w:r>
        <w:rPr>
          <w:rFonts w:ascii="Times New Roman" w:hAnsi="Times New Roman" w:eastAsia="Times New Roman" w:cs="Times New Roman"/>
          <w:color w:val="000000"/>
          <w:sz w:val="24"/>
        </w:rPr>
        <w:t xml:space="preserve"> 14,73m² nằm trong quy hoạch giao thông</w:t>
      </w:r>
      <w:r>
        <w:rPr>
          <w:rFonts w:ascii="Times New Roman" w:hAnsi="Times New Roman" w:eastAsia="Times New Roman" w:cs="Times New Roman"/>
          <w:color w:val="000000"/>
          <w:sz w:val="24"/>
          <w:szCs w:val="24"/>
          <w:highlight w:val="none"/>
        </w:rPr>
        <w:t xml:space="preserve">. Do vậy, đối với diện tích nằm ngoài quy hoạch Tổ thẩm định đánh giá theo giá trị thị trường, đối với phần nằm trong quy hoạch Tổ thẩm đị</w:t>
      </w:r>
      <w:r>
        <w:rPr>
          <w:rFonts w:ascii="Times New Roman" w:hAnsi="Times New Roman" w:eastAsia="Times New Roman" w:cs="Times New Roman"/>
          <w:color w:val="000000"/>
          <w:sz w:val="24"/>
          <w:szCs w:val="24"/>
          <w:highlight w:val="none"/>
        </w:rPr>
        <w:t xml:space="preserve">nh đánh giá theo giá UBND từng thời kỳ, giá trị đền bù thực tế còn phụ thuộc vào thỏa thuận các bên tại thời điểm Nhà nước giải phóng mặt bằng thực hiện quy hoạch. Đề nghị đơn vị sử dụng kết quả lưu ý kiểm tra xác minh thêm thông tin quy hoạch nếu thấy cần</w:t>
      </w:r>
      <w:r>
        <w:rPr>
          <w:rFonts w:ascii="Times New Roman" w:hAnsi="Times New Roman" w:eastAsia="Times New Roman" w:cs="Times New Roman"/>
          <w:color w:val="000000"/>
          <w:sz w:val="24"/>
          <w:szCs w:val="24"/>
          <w:highlight w:val="none"/>
        </w:rPr>
        <w:t xml:space="preserve"> thiết. Trong trường hợp Khách hàng/Ngân hàng cung cấp được Văn bản xác nhận rõ phần diện tích thuộc quy hoạch mà có sự sai khác so với số liệu nêu trên thì kết quả thẩm định giá cần được xem xét, điều chỉnh phù hợp, chúng tôi bảo lưu quyền xem xét lại kết</w:t>
      </w:r>
      <w:r>
        <w:rPr>
          <w:rFonts w:ascii="Times New Roman" w:hAnsi="Times New Roman" w:eastAsia="Times New Roman" w:cs="Times New Roman"/>
          <w:color w:val="000000"/>
          <w:sz w:val="24"/>
          <w:szCs w:val="24"/>
          <w:highlight w:val="none"/>
        </w:rPr>
        <w:t xml:space="preserve"> quả thẩm định giá.</w:t>
      </w:r>
      <w:r>
        <w:rPr>
          <w:rFonts w:ascii="Times New Roman" w:hAnsi="Times New Roman" w:eastAsia="Times New Roman" w:cs="Times New Roman"/>
          <w:color w:val="000000"/>
          <w:sz w:val="24"/>
          <w:szCs w:val="24"/>
          <w:highlight w:val="none"/>
        </w:rPr>
      </w:r>
      <w:r/>
    </w:p>
    <w:p>
      <w:pPr>
        <w:pStyle w:val="1043"/>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 nằm ngoài QHGT</w:t>
      </w:r>
      <w:r>
        <w:rPr>
          <w:b/>
          <w:lang w:val="pt-BR"/>
        </w:rPr>
        <w:t xml:space="preserve"> (</w:t>
      </w:r>
      <w:r>
        <w:rPr>
          <w:b/>
          <w:color w:val="000000" w:themeColor="text1"/>
          <w:lang w:val="pt-BR"/>
        </w:rPr>
        <w:t xml:space="preserve">Phần diện tích 13,87m</w:t>
      </w:r>
      <w:r>
        <w:rPr>
          <w:b/>
          <w:color w:val="000000" w:themeColor="text1"/>
          <w:vertAlign w:val="superscript"/>
          <w:lang w:val="pt-BR"/>
        </w:rPr>
        <w:t xml:space="preserve">2</w:t>
      </w:r>
      <w:r>
        <w:rPr>
          <w:b/>
          <w:color w:val="000000" w:themeColor="text1"/>
          <w:lang w:val="pt-BR"/>
        </w:rPr>
        <w:t xml:space="preserve">)</w:t>
      </w:r>
      <w:r>
        <w:rPr>
          <w:b/>
          <w:color w:val="000000" w:themeColor="text1"/>
          <w:lang w:val="pt-BR"/>
        </w:rPr>
        <w:t xml:space="preserve">:</w:t>
      </w:r>
      <w:r>
        <w:rPr>
          <w:b/>
          <w:lang w:val="pt-BR"/>
        </w:rPr>
      </w:r>
      <w:r>
        <w:rPr>
          <w:b/>
          <w:lang w:val="pt-BR"/>
        </w:rPr>
      </w:r>
    </w:p>
    <w:p>
      <w:pPr>
        <w:pStyle w:val="1043"/>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4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72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Cầu Giấy,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Cầu Giấy,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Cầu Giấy,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w:t>
            </w:r>
            <w:r>
              <w:rPr>
                <w:color w:val="000000" w:themeColor="text1"/>
                <w:sz w:val="22"/>
                <w:szCs w:val="22"/>
              </w:rPr>
              <w:t xml:space="preserve">Phường Cầu Giấy, Thành phố Hà Nội</w:t>
            </w:r>
            <w:r>
              <w:rPr>
                <w:sz w:val="22"/>
                <w:szCs w:val="22"/>
              </w:rPr>
            </w:r>
            <w:r>
              <w:rPr>
                <w:sz w:val="22"/>
                <w:szCs w:val="22"/>
              </w:rPr>
            </w:r>
          </w:p>
        </w:tc>
      </w:tr>
      <w:tr>
        <w:trPr>
          <w:trHeight w:val="108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both"/>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both"/>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both"/>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both"/>
              <w:rPr>
                <w:sz w:val="22"/>
                <w:szCs w:val="22"/>
              </w:rPr>
            </w:pPr>
            <w:r>
              <w:rPr>
                <w:color w:val="000000" w:themeColor="text1"/>
                <w:sz w:val="22"/>
                <w:szCs w:val="22"/>
              </w:rPr>
              <w:t xml:space="preserve">https://www.facebook.com/share/p/1CSyaSoW9Q/</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both"/>
              <w:rPr>
                <w:sz w:val="22"/>
                <w:szCs w:val="22"/>
              </w:rPr>
            </w:pPr>
            <w:r>
              <w:rPr>
                <w:color w:val="000000" w:themeColor="text1"/>
                <w:sz w:val="22"/>
                <w:szCs w:val="22"/>
              </w:rPr>
              <w:t xml:space="preserve">https://www.facebook.com/share/p/1GpTyK5yRt/</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0983.781891</w:t>
            </w:r>
            <w:r>
              <w:rPr>
                <w:sz w:val="22"/>
                <w:szCs w:val="22"/>
              </w:rPr>
              <w:t xml:space="preserve"> </w:t>
            </w:r>
            <w:r>
              <w:rPr>
                <w:sz w:val="22"/>
                <w:szCs w:val="22"/>
              </w:rPr>
              <w:br/>
              <w:t xml:space="preserve">(A.</w:t>
            </w:r>
            <w:r>
              <w:rPr>
                <w:sz w:val="22"/>
                <w:szCs w:val="22"/>
              </w:rPr>
              <w:t xml:space="preserve">Tú</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0975.859886</w:t>
            </w:r>
            <w:r>
              <w:rPr>
                <w:sz w:val="22"/>
                <w:szCs w:val="22"/>
              </w:rPr>
              <w:br/>
            </w:r>
            <w:r>
              <w:rPr>
                <w:sz w:val="22"/>
                <w:szCs w:val="22"/>
              </w:rPr>
              <w:t xml:space="preserve">(A.</w:t>
            </w:r>
            <w:r>
              <w:rPr>
                <w:sz w:val="22"/>
                <w:szCs w:val="22"/>
              </w:rPr>
              <w:t xml:space="preserve">Trường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0815.155777</w:t>
            </w:r>
            <w:r>
              <w:rPr>
                <w:sz w:val="22"/>
                <w:szCs w:val="22"/>
              </w:rPr>
              <w:br/>
            </w:r>
            <w:r>
              <w:rPr>
                <w:sz w:val="22"/>
                <w:szCs w:val="22"/>
              </w:rPr>
              <w:t xml:space="preserve">(A.</w:t>
            </w:r>
            <w:r>
              <w:rPr>
                <w:sz w:val="22"/>
                <w:szCs w:val="22"/>
              </w:rPr>
              <w:t xml:space="preserve">Hùng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themeColor="text1"/>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3/2026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Cầu Giấy, Thành phố Hà Nội, Cách trục dường chính khoảng 200m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Cầu Giấy, Thành phố Hà Nội,</w:t>
            </w:r>
            <w:r>
              <w:rPr>
                <w:color w:val="000000" w:themeColor="text1"/>
                <w:sz w:val="22"/>
                <w:szCs w:val="22"/>
              </w:rPr>
              <w:t xml:space="preserve"> Cách đtrục đường chính khoảng 300m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Cầu Giấy, Thành phố Hà Nội,</w:t>
            </w:r>
            <w:r>
              <w:rPr>
                <w:color w:val="000000" w:themeColor="text1"/>
                <w:sz w:val="22"/>
                <w:szCs w:val="22"/>
              </w:rPr>
              <w:t xml:space="preserve"> khoảng cách ra đường chính 100m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Phường Cầu Giấy, Thành phố Hà Nội,</w:t>
            </w:r>
            <w:r>
              <w:rPr>
                <w:color w:val="000000" w:themeColor="text1"/>
                <w:sz w:val="22"/>
                <w:szCs w:val="22"/>
              </w:rPr>
              <w:t xml:space="preserve"> khoảng cách ra đường chính 100m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PHQH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13,87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sz w:val="22"/>
                <w:szCs w:val="22"/>
                <w:highlight w:val="none"/>
              </w:rPr>
              <w:t xml:space="preserve">4,2</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Kết cầu đường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Trước nhà không lát gạch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Trước nhà không lát gạch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Trước nhà có lát gạch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Trước nhà không lát gạch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03 tầng, diện tích xây dựng khoảng 30m</w:t>
            </w:r>
            <w:r>
              <w:rPr>
                <w:color w:val="000000" w:themeColor="text1"/>
                <w:sz w:val="22"/>
                <w:szCs w:val="22"/>
                <w:vertAlign w:val="superscript"/>
              </w:rPr>
              <w:t xml:space="preserve">2</w:t>
            </w:r>
            <w:r>
              <w:rPr>
                <w:color w:val="000000" w:themeColor="text1"/>
                <w:sz w:val="22"/>
                <w:szCs w:val="22"/>
              </w:rPr>
              <w:t xml:space="preserve">, tông diện tích sản khoảng 90m</w:t>
            </w:r>
            <w:r>
              <w:rPr>
                <w:color w:val="000000" w:themeColor="text1"/>
                <w:sz w:val="22"/>
                <w:szCs w:val="22"/>
                <w:vertAlign w:val="superscript"/>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06 tầng, diện tích xây dựng 40m</w:t>
            </w:r>
            <w:r>
              <w:rPr>
                <w:color w:val="000000" w:themeColor="text1"/>
                <w:sz w:val="22"/>
                <w:szCs w:val="22"/>
                <w:vertAlign w:val="superscript"/>
              </w:rPr>
              <w:t xml:space="preserve">2</w:t>
            </w:r>
            <w:r>
              <w:rPr>
                <w:color w:val="000000" w:themeColor="text1"/>
                <w:sz w:val="22"/>
                <w:szCs w:val="22"/>
              </w:rPr>
              <w:t xml:space="preserve">, tổng diện tích sàn khoảng 240m</w:t>
            </w:r>
            <w:r>
              <w:rPr>
                <w:color w:val="000000" w:themeColor="text1"/>
                <w:sz w:val="22"/>
                <w:szCs w:val="22"/>
                <w:vertAlign w:val="superscript"/>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vertAlign w:val="superscript"/>
              </w:rPr>
            </w:pPr>
            <w:r>
              <w:rPr>
                <w:color w:val="000000" w:themeColor="text1"/>
                <w:sz w:val="22"/>
                <w:szCs w:val="22"/>
              </w:rPr>
              <w:t xml:space="preserve">Nhà 07 tầng, diện tích xây dựng khoảng 48m</w:t>
            </w:r>
            <w:r>
              <w:rPr>
                <w:color w:val="000000" w:themeColor="text1"/>
                <w:sz w:val="22"/>
                <w:szCs w:val="22"/>
                <w:vertAlign w:val="superscript"/>
              </w:rPr>
              <w:t xml:space="preserve">2</w:t>
            </w:r>
            <w:r>
              <w:rPr>
                <w:color w:val="000000" w:themeColor="text1"/>
                <w:sz w:val="22"/>
                <w:szCs w:val="22"/>
              </w:rPr>
              <w:t xml:space="preserve">, tổng diện tích sàn khoảng 336m</w:t>
            </w:r>
            <w:r>
              <w:rPr>
                <w:color w:val="000000" w:themeColor="text1"/>
                <w:sz w:val="22"/>
                <w:szCs w:val="22"/>
                <w:vertAlign w:val="superscript"/>
              </w:rPr>
              <w:t xml:space="preserve">2</w:t>
            </w:r>
            <w:r>
              <w:rPr>
                <w:color w:val="000000"/>
                <w:sz w:val="22"/>
                <w:szCs w:val="22"/>
                <w:vertAlign w:val="superscript"/>
              </w:rPr>
            </w:r>
            <w:r>
              <w:rPr>
                <w:color w:val="000000"/>
                <w:sz w:val="22"/>
                <w:szCs w:val="22"/>
                <w:vertAlign w:val="superscript"/>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6.750.000.000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13.950.000.000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576.587.484</w:t>
            </w:r>
            <w:r>
              <w:rPr>
                <w:b/>
                <w:bCs/>
                <w:color w:val="000000" w:themeColor="text1"/>
                <w:sz w:val="22"/>
                <w:szCs w:val="22"/>
                <w14:ligatures w14:val="none"/>
              </w:rPr>
            </w:r>
            <w:r>
              <w:rPr>
                <w:b/>
                <w:bCs/>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1.676.087.640</w:t>
            </w:r>
            <w:r>
              <w:rPr>
                <w:b/>
                <w:bCs/>
                <w:color w:val="000000" w:themeColor="text1"/>
                <w:sz w:val="22"/>
                <w:szCs w:val="22"/>
                <w14:ligatures w14:val="none"/>
              </w:rPr>
            </w:r>
            <w:r>
              <w:rPr>
                <w:b/>
                <w:bCs/>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2.346.522.696</w:t>
            </w:r>
            <w:r>
              <w:rPr>
                <w:b/>
                <w:bCs/>
                <w:color w:val="000000" w:themeColor="text1"/>
                <w:sz w:val="22"/>
                <w:szCs w:val="22"/>
                <w14:ligatures w14:val="none"/>
              </w:rPr>
            </w:r>
            <w:r>
              <w:rPr>
                <w:b/>
                <w:bCs/>
                <w:color w:val="000000" w:themeColor="text1"/>
                <w:sz w:val="22"/>
                <w:szCs w:val="22"/>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i/>
                <w:color w:val="000000"/>
                <w:sz w:val="22"/>
                <w:szCs w:val="22"/>
              </w:rPr>
            </w:pPr>
            <w:r>
              <w:rPr>
                <w:b/>
                <w:bCs/>
                <w:i/>
                <w:iCs/>
                <w:color w:val="000000"/>
                <w:sz w:val="22"/>
                <w:szCs w:val="22"/>
              </w:rPr>
              <w:t xml:space="preserve">-</w:t>
            </w:r>
            <w:r>
              <w:rPr>
                <w:b/>
                <w:bCs/>
                <w:i/>
                <w:iCs/>
                <w:color w:val="000000"/>
                <w:sz w:val="22"/>
                <w:szCs w:val="22"/>
              </w:rPr>
            </w:r>
            <w:r>
              <w:rPr>
                <w:b/>
                <w:bCs/>
                <w:i/>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jc w:val="center"/>
              <w:rPr>
                <w:bCs/>
                <w:i/>
                <w:color w:val="000000"/>
                <w:sz w:val="22"/>
                <w:szCs w:val="22"/>
                <w:highlight w:val="white"/>
                <w14:ligatures w14:val="none"/>
              </w:rPr>
            </w:pPr>
            <w:r>
              <w:rPr>
                <w:i/>
                <w:iCs/>
                <w:color w:val="000000"/>
                <w:sz w:val="22"/>
                <w:szCs w:val="22"/>
              </w:rPr>
            </w:r>
            <w:r>
              <w:rPr>
                <w:i/>
                <w:iCs/>
                <w:color w:val="000000"/>
                <w:sz w:val="22"/>
                <w:szCs w:val="22"/>
              </w:rPr>
              <w:t xml:space="preserve">Đơn giá xây dựng theo Quyết định </w:t>
            </w:r>
            <w:r>
              <w:rPr>
                <w:i/>
                <w:iCs/>
                <w:color w:val="000000"/>
                <w:sz w:val="22"/>
                <w:szCs w:val="22"/>
                <w:highlight w:val="white"/>
              </w:rPr>
              <w:t xml:space="preserve">s</w:t>
            </w:r>
            <w:r>
              <w:rPr>
                <w:i/>
                <w:iCs/>
                <w:color w:val="000000"/>
                <w:sz w:val="22"/>
                <w:szCs w:val="22"/>
                <w:highlight w:val="white"/>
              </w:rPr>
              <w:t xml:space="preserve">ố 409/QĐ-BXD ngày 11/4/2025 của Bộ Xây dự</w:t>
            </w:r>
            <w:r>
              <w:rPr>
                <w:i/>
                <w:iCs/>
                <w:color w:val="000000"/>
                <w:sz w:val="22"/>
                <w:szCs w:val="22"/>
                <w:highlight w:val="white"/>
              </w:rPr>
              <w:t xml:space="preserve">ng (đồng/m²)</w:t>
            </w:r>
            <w:r>
              <w:rPr>
                <w:i/>
                <w:iCs/>
                <w:color w:val="000000"/>
                <w:sz w:val="22"/>
                <w:szCs w:val="22"/>
                <w:highlight w:val="white"/>
                <w14:ligatures w14:val="none"/>
              </w:rPr>
            </w:r>
            <w:r>
              <w:rPr>
                <w:bCs/>
                <w:i/>
                <w:color w:val="000000"/>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sz w:val="22"/>
                <w:szCs w:val="22"/>
              </w:rPr>
            </w:pPr>
            <w:r>
              <w:rPr>
                <w:i/>
                <w:iCs/>
                <w:color w:val="000000"/>
                <w:sz w:val="22"/>
                <w:szCs w:val="22"/>
              </w:rPr>
            </w:r>
            <w:r>
              <w:rPr>
                <w:i/>
                <w:iCs/>
                <w:color w:val="000000"/>
                <w:sz w:val="22"/>
                <w:szCs w:val="22"/>
              </w:rPr>
            </w:r>
            <w:r>
              <w:rPr>
                <w:bCs/>
                <w:i/>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rPr>
                <w:bCs/>
                <w:i/>
              </w:rPr>
            </w:pPr>
            <w:r>
              <w:rPr>
                <w:rFonts w:ascii="Times New Roman" w:hAnsi="Times New Roman" w:eastAsia="Times New Roman" w:cs="Times New Roman"/>
                <w:i/>
                <w:iCs/>
                <w:color w:val="000000"/>
                <w:sz w:val="22"/>
              </w:rPr>
              <w:t xml:space="preserve">      7.830.200 </w:t>
            </w:r>
            <w:r>
              <w:rPr>
                <w:i/>
                <w:iCs/>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rPr>
                <w:bCs/>
                <w:i/>
              </w:rPr>
            </w:pPr>
            <w:r>
              <w:rPr>
                <w:rFonts w:ascii="Times New Roman" w:hAnsi="Times New Roman" w:eastAsia="Times New Roman" w:cs="Times New Roman"/>
                <w:i/>
                <w:iCs/>
                <w:color w:val="000000"/>
                <w:sz w:val="22"/>
              </w:rPr>
              <w:t xml:space="preserve">      8.535.632 </w:t>
            </w:r>
            <w:r>
              <w:rPr>
                <w:i/>
                <w:iCs/>
              </w:rPr>
            </w:r>
            <w:r>
              <w:rPr>
                <w:bCs/>
                <w:i/>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rPr>
                <w:bCs/>
                <w:i/>
              </w:rPr>
            </w:pPr>
            <w:r>
              <w:rPr>
                <w:rFonts w:ascii="Times New Roman" w:hAnsi="Times New Roman" w:eastAsia="Times New Roman" w:cs="Times New Roman"/>
                <w:i/>
                <w:iCs/>
                <w:color w:val="000000"/>
                <w:sz w:val="22"/>
              </w:rPr>
              <w:t xml:space="preserve">      8.535.632 </w:t>
            </w:r>
            <w:r>
              <w:rPr>
                <w:i/>
                <w:iCs/>
              </w:rPr>
            </w:r>
            <w:r>
              <w:rPr>
                <w:bCs/>
                <w:i/>
              </w:rPr>
            </w:r>
          </w:p>
        </w:tc>
      </w:tr>
      <w:tr>
        <w:trPr>
          <w:trHeight w:val="45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i/>
                <w:color w:val="000000"/>
                <w:sz w:val="22"/>
                <w:szCs w:val="22"/>
              </w:rPr>
            </w:pPr>
            <w:r>
              <w:rPr>
                <w:b/>
                <w:bCs/>
                <w:i/>
                <w:iCs/>
                <w:color w:val="000000"/>
                <w:sz w:val="22"/>
                <w:szCs w:val="22"/>
              </w:rPr>
              <w:t xml:space="preserve">-</w:t>
            </w:r>
            <w:r>
              <w:rPr>
                <w:b/>
                <w:bCs/>
                <w:i/>
                <w:iCs/>
                <w:color w:val="000000"/>
                <w:sz w:val="22"/>
                <w:szCs w:val="22"/>
              </w:rPr>
            </w:r>
            <w:r>
              <w:rPr>
                <w:b/>
                <w:bCs/>
                <w:i/>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jc w:val="center"/>
              <w:rPr>
                <w:bCs/>
                <w:i/>
                <w:color w:val="000000"/>
                <w:sz w:val="22"/>
                <w:szCs w:val="22"/>
                <w14:ligatures w14:val="none"/>
              </w:rPr>
            </w:pPr>
            <w:r>
              <w:rPr>
                <w:i/>
                <w:iCs/>
                <w:color w:val="000000"/>
                <w:sz w:val="22"/>
                <w:szCs w:val="22"/>
              </w:rPr>
            </w:r>
            <w:r>
              <w:rPr>
                <w:i/>
                <w:iCs/>
                <w:color w:val="000000"/>
                <w:sz w:val="22"/>
                <w:szCs w:val="22"/>
              </w:rPr>
              <w:t xml:space="preserve">Tỷ lệ % </w:t>
            </w:r>
            <w:r>
              <w:rPr>
                <w:i/>
                <w:iCs/>
                <w:color w:val="000000"/>
                <w:sz w:val="22"/>
                <w:szCs w:val="22"/>
              </w:rPr>
              <w:t xml:space="preserve">hao mòn</w:t>
            </w:r>
            <w:r>
              <w:rPr>
                <w:i/>
                <w:iCs/>
                <w:color w:val="000000"/>
                <w:sz w:val="22"/>
                <w:szCs w:val="22"/>
                <w14:ligatures w14:val="none"/>
              </w:rPr>
            </w:r>
            <w:r>
              <w:rPr>
                <w:bCs/>
                <w:i/>
                <w:color w:val="000000"/>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sz w:val="22"/>
                <w:szCs w:val="22"/>
              </w:rPr>
            </w:pPr>
            <w:r>
              <w:rPr>
                <w:i/>
                <w:iCs/>
                <w:color w:val="000000"/>
                <w:sz w:val="22"/>
                <w:szCs w:val="22"/>
              </w:rPr>
            </w:r>
            <w:r>
              <w:rPr>
                <w:i/>
                <w:iCs/>
                <w:color w:val="000000"/>
                <w:sz w:val="22"/>
                <w:szCs w:val="22"/>
              </w:rPr>
            </w:r>
            <w:r>
              <w:rPr>
                <w:bCs/>
                <w:i/>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sz w:val="22"/>
                <w:szCs w:val="22"/>
              </w:rPr>
            </w:pPr>
            <w:r>
              <w:rPr>
                <w:i/>
                <w:iCs/>
                <w:color w:val="000000"/>
                <w:sz w:val="22"/>
                <w:szCs w:val="22"/>
              </w:rPr>
              <w:t xml:space="preserve">10%</w:t>
            </w:r>
            <w:r>
              <w:rPr>
                <w:i/>
                <w:iCs/>
                <w:color w:val="000000"/>
                <w:sz w:val="22"/>
                <w:szCs w:val="22"/>
              </w:rPr>
            </w:r>
            <w:r>
              <w:rPr>
                <w:bCs/>
                <w:i/>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sz w:val="22"/>
                <w:szCs w:val="22"/>
              </w:rPr>
            </w:pPr>
            <w:r>
              <w:rPr>
                <w:i/>
                <w:iCs/>
                <w:color w:val="000000"/>
                <w:sz w:val="22"/>
                <w:szCs w:val="22"/>
              </w:rPr>
              <w:t xml:space="preserve">10%</w:t>
            </w:r>
            <w:r>
              <w:rPr>
                <w:i/>
                <w:iCs/>
                <w:color w:val="000000"/>
                <w:sz w:val="22"/>
                <w:szCs w:val="22"/>
              </w:rPr>
            </w:r>
            <w:r>
              <w:rPr>
                <w:bCs/>
                <w:i/>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sz w:val="22"/>
                <w:szCs w:val="22"/>
              </w:rPr>
            </w:pPr>
            <w:r>
              <w:rPr>
                <w:i/>
                <w:iCs/>
                <w:color w:val="000000"/>
                <w:sz w:val="22"/>
                <w:szCs w:val="22"/>
              </w:rPr>
              <w:t xml:space="preserve">10%</w:t>
            </w:r>
            <w:r>
              <w:rPr>
                <w:i/>
                <w:iCs/>
                <w:color w:val="000000"/>
                <w:sz w:val="22"/>
                <w:szCs w:val="22"/>
              </w:rPr>
            </w:r>
            <w:r>
              <w:rPr>
                <w:bCs/>
                <w:i/>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0"/>
                <w:szCs w:val="20"/>
                <w:highlight w:val="white"/>
              </w:rPr>
            </w:pPr>
            <w:r>
              <w:rPr>
                <w:b/>
                <w:bCs/>
                <w:color w:val="000000" w:themeColor="text1"/>
                <w:sz w:val="22"/>
                <w:szCs w:val="22"/>
                <w:highlight w:val="white"/>
              </w:rPr>
              <w:t xml:space="preserve">6.173.412.516</w:t>
            </w:r>
            <w:r>
              <w:rPr>
                <w:b/>
                <w:bCs/>
                <w:color w:val="000000" w:themeColor="text1"/>
                <w:sz w:val="20"/>
                <w:szCs w:val="20"/>
                <w:highlight w:val="white"/>
              </w:rPr>
            </w:r>
            <w:r>
              <w:rPr>
                <w:b/>
                <w:bCs/>
                <w:color w:val="000000" w:themeColor="text1"/>
                <w:sz w:val="20"/>
                <w:szCs w:val="20"/>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0"/>
                <w:szCs w:val="20"/>
                <w:highlight w:val="white"/>
              </w:rPr>
            </w:pPr>
            <w:r>
              <w:rPr>
                <w:b/>
                <w:bCs/>
                <w:color w:val="000000" w:themeColor="text1"/>
                <w:sz w:val="22"/>
                <w:szCs w:val="22"/>
                <w:highlight w:val="white"/>
              </w:rPr>
              <w:t xml:space="preserve">11.373.912.360</w:t>
            </w:r>
            <w:r>
              <w:rPr>
                <w:b/>
                <w:bCs/>
                <w:color w:val="000000" w:themeColor="text1"/>
                <w:sz w:val="20"/>
                <w:szCs w:val="20"/>
                <w:highlight w:val="white"/>
              </w:rPr>
            </w:r>
            <w:r>
              <w:rPr>
                <w:b/>
                <w:bCs/>
                <w:color w:val="000000" w:themeColor="text1"/>
                <w:sz w:val="20"/>
                <w:szCs w:val="20"/>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0"/>
                <w:szCs w:val="20"/>
                <w:highlight w:val="white"/>
              </w:rPr>
            </w:pPr>
            <w:r>
              <w:rPr>
                <w:b/>
                <w:bCs/>
                <w:color w:val="000000" w:themeColor="text1"/>
                <w:sz w:val="22"/>
                <w:szCs w:val="22"/>
                <w:highlight w:val="white"/>
              </w:rPr>
              <w:t xml:space="preserve">11.603.477.304</w:t>
            </w:r>
            <w:r>
              <w:rPr>
                <w:b/>
                <w:bCs/>
                <w:color w:val="000000" w:themeColor="text1"/>
                <w:sz w:val="20"/>
                <w:szCs w:val="20"/>
                <w:highlight w:val="white"/>
              </w:rPr>
            </w:r>
            <w:r>
              <w:rPr>
                <w:b/>
                <w:bCs/>
                <w:color w:val="000000" w:themeColor="text1"/>
                <w:sz w:val="20"/>
                <w:szCs w:val="20"/>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205.780.417</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284.347.809</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241.739.111</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kết cấu đường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106"/>
        <w:gridCol w:w="1417"/>
        <w:gridCol w:w="1559"/>
        <w:gridCol w:w="1701"/>
        <w:gridCol w:w="1701"/>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106"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106"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6.173.412.516</w:t>
            </w:r>
            <w:r>
              <w:rPr>
                <w:color w:val="000000" w:themeColor="text1"/>
                <w:sz w:val="20"/>
                <w:szCs w:val="20"/>
                <w:highlight w:val="white"/>
              </w:rPr>
            </w:r>
            <w:r>
              <w:rPr>
                <w:color w:val="000000" w:themeColor="text1"/>
                <w:sz w:val="20"/>
                <w:szCs w:val="20"/>
                <w:highlight w:val="white"/>
              </w:rPr>
            </w:r>
          </w:p>
        </w:tc>
        <w:tc>
          <w:tcPr>
            <w:shd w:val="clear" w:color="000000" w:fill="ffffff"/>
            <w:tcBorders/>
            <w:tcW w:w="1701"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11.373.912.360</w:t>
            </w:r>
            <w:r>
              <w:rPr>
                <w:color w:val="000000" w:themeColor="text1"/>
                <w:sz w:val="20"/>
                <w:szCs w:val="20"/>
                <w:highlight w:val="white"/>
              </w:rPr>
            </w:r>
            <w:r>
              <w:rPr>
                <w:color w:val="000000" w:themeColor="text1"/>
                <w:sz w:val="20"/>
                <w:szCs w:val="20"/>
                <w:highlight w:val="white"/>
              </w:rPr>
            </w:r>
          </w:p>
        </w:tc>
        <w:tc>
          <w:tcPr>
            <w:shd w:val="clear" w:color="000000" w:fill="ffffff"/>
            <w:tcBorders/>
            <w:tcW w:w="1701"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11.603.477.304</w:t>
            </w:r>
            <w:r>
              <w:rPr>
                <w:color w:val="000000" w:themeColor="text1"/>
                <w:sz w:val="20"/>
                <w:szCs w:val="20"/>
                <w:highlight w:val="white"/>
              </w:rPr>
            </w:r>
            <w:r>
              <w:rPr>
                <w:color w:val="000000" w:themeColor="text1"/>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106"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205.780.417</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284.347.809</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241.739.111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106"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10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205.780.417</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284.347.809</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241.739.111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10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Cầu Giấy, Thành phố Hà Nội, Cách trục dường chính khoảng 200m</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Cầu Giấy, Thành phố Hà Nội,</w:t>
            </w:r>
            <w:r>
              <w:rPr>
                <w:color w:val="000000" w:themeColor="text1"/>
                <w:sz w:val="22"/>
                <w:szCs w:val="22"/>
              </w:rPr>
              <w:t xml:space="preserve"> Cách đtrục đường chính khoảng 300m</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Cầu Giấy, Thành phố Hà Nội,</w:t>
            </w:r>
            <w:r>
              <w:rPr>
                <w:color w:val="000000" w:themeColor="text1"/>
                <w:sz w:val="22"/>
                <w:szCs w:val="22"/>
              </w:rPr>
              <w:t xml:space="preserve"> khoảng cách ra đường chính 100m</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color w:val="000000" w:themeColor="text1"/>
                <w:sz w:val="22"/>
                <w:szCs w:val="22"/>
              </w:rPr>
              <w:t xml:space="preserve">Phường Cầu Giấy, Thành phố Hà Nội,</w:t>
            </w:r>
            <w:r>
              <w:rPr>
                <w:color w:val="000000" w:themeColor="text1"/>
                <w:sz w:val="22"/>
                <w:szCs w:val="22"/>
              </w:rPr>
              <w:t xml:space="preserve"> khoảng cách ra đường 100m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-14.217.390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-12.086.956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205.780.417</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270.130.419</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229.652.155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10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205.780.417</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270.130.419</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229.652.155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106"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10.289.021</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5.686.956</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216.069.438</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275.817.375</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229.652.155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PHQH</w:t>
            </w:r>
            <w:r>
              <w:rPr>
                <w:b/>
                <w:bCs/>
                <w:color w:val="000000"/>
                <w:sz w:val="22"/>
                <w:szCs w:val="22"/>
              </w:rPr>
            </w:r>
            <w:r>
              <w:rPr>
                <w:b/>
                <w:bCs/>
                <w:color w:val="000000"/>
                <w:sz w:val="22"/>
                <w:szCs w:val="22"/>
              </w:rPr>
            </w:r>
          </w:p>
        </w:tc>
        <w:tc>
          <w:tcPr>
            <w:shd w:val="clear" w:color="000000" w:fill="ffffff"/>
            <w:tcBorders/>
            <w:tcW w:w="1106"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val="0"/>
                <w:bCs w:val="0"/>
                <w:color w:val="000000" w:themeColor="text1"/>
                <w:sz w:val="22"/>
                <w:szCs w:val="22"/>
                <w:highlight w:val="none"/>
              </w:rPr>
            </w:pPr>
            <w:r>
              <w:rPr>
                <w:b w:val="0"/>
                <w:bCs w:val="0"/>
                <w:color w:val="000000" w:themeColor="text1"/>
                <w:sz w:val="22"/>
                <w:szCs w:val="22"/>
              </w:rPr>
              <w:t xml:space="preserve">13,87</w:t>
            </w:r>
            <w:r>
              <w:rPr>
                <w:b w:val="0"/>
                <w:bCs w:val="0"/>
                <w:color w:val="000000" w:themeColor="text1"/>
                <w:sz w:val="22"/>
                <w:szCs w:val="22"/>
                <w:highlight w:val="none"/>
              </w:rPr>
            </w:r>
            <w:r>
              <w:rPr>
                <w:b w:val="0"/>
                <w:bCs w:val="0"/>
                <w:color w:val="000000" w:themeColor="text1"/>
                <w:sz w:val="22"/>
                <w:szCs w:val="22"/>
                <w:highlight w:val="none"/>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30,0</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40,0</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48,0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4.115.608</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8.530.434</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12.086.956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220.185.046</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284.347.809</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241.739.111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106"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val="0"/>
                <w:bCs w:val="0"/>
                <w:color w:val="000000"/>
                <w:sz w:val="22"/>
                <w:szCs w:val="22"/>
                <w:highlight w:val="yellow"/>
              </w:rPr>
            </w:pPr>
            <w:r>
              <w:rPr>
                <w:b w:val="0"/>
                <w:bCs w:val="0"/>
                <w:color w:val="000000"/>
                <w:sz w:val="22"/>
                <w:szCs w:val="22"/>
                <w:highlight w:val="none"/>
              </w:rPr>
              <w:t xml:space="preserve">4,2</w:t>
            </w:r>
            <w:r>
              <w:rPr>
                <w:b w:val="0"/>
                <w:bCs w:val="0"/>
                <w:color w:val="000000"/>
                <w:sz w:val="22"/>
                <w:szCs w:val="22"/>
                <w:highlight w:val="yellow"/>
              </w:rPr>
            </w:r>
            <w:r>
              <w:rPr>
                <w:b w:val="0"/>
                <w:bCs w:val="0"/>
                <w:color w:val="000000"/>
                <w:sz w:val="22"/>
                <w:szCs w:val="22"/>
                <w:highlight w:val="yellow"/>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3,8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-28.434.781</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-19.339.129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220.185.046</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255.913.028</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222.399.982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10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220.185.046</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255.913.028</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222.399.982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10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220.185.046</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255.913.028</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222.399.982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10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8.530.434</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7.252.173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220.185.046</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264.443.462</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229.652.155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themeColor="text1"/>
                <w:sz w:val="22"/>
                <w:szCs w:val="22"/>
              </w:rPr>
              <w:t xml:space="preserve">Kết cầu đường</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themeColor="text1"/>
                <w:sz w:val="22"/>
                <w:szCs w:val="22"/>
              </w:rPr>
              <w:t xml:space="preserve">Trước nhà không lát gạch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Trước nhà không lát gạch </w:t>
            </w:r>
            <w:r>
              <w:rPr>
                <w:color w:val="000000" w:themeColor="text1"/>
                <w:sz w:val="22"/>
                <w:szCs w:val="22"/>
              </w:rPr>
              <w:t xml:space="preserve">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Trước nhà có lát gạch </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Trước nhà không lát gạch </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-14.217.390</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220.185.046</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250.226.072</w:t>
            </w:r>
            <w:r>
              <w:rPr>
                <w:color w:val="000000"/>
                <w:sz w:val="22"/>
                <w:szCs w:val="22"/>
              </w:rPr>
            </w:r>
            <w:r>
              <w:rPr>
                <w:color w:val="000000"/>
                <w:sz w:val="22"/>
                <w:szCs w:val="22"/>
              </w:rPr>
            </w:r>
          </w:p>
        </w:tc>
        <w:tc>
          <w:tcPr>
            <w:shd w:val="clear" w:color="000000" w:fill="ffffff"/>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229.652.155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106"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417"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220.185.046</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250.226.072</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229.652.155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17"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96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233.354.424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-5,64%</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7,23%</w:t>
            </w:r>
            <w:r>
              <w:rPr>
                <w:color w:val="000000"/>
                <w:sz w:val="22"/>
                <w:szCs w:val="22"/>
              </w:rPr>
            </w:r>
            <w:r>
              <w:rPr>
                <w:color w:val="000000"/>
                <w:sz w:val="22"/>
                <w:szCs w:val="22"/>
              </w:rPr>
            </w:r>
          </w:p>
        </w:tc>
        <w:tc>
          <w:tcPr>
            <w:shd w:val="clear" w:color="000000" w:fill="ffffff"/>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-1,59%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106"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17"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14.404.629</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79.617.385</w:t>
            </w:r>
            <w:r>
              <w:rPr>
                <w:b/>
                <w:bCs/>
                <w:color w:val="000000"/>
                <w:sz w:val="22"/>
                <w:szCs w:val="22"/>
              </w:rPr>
            </w:r>
            <w:r>
              <w:rPr>
                <w:b/>
                <w:bCs/>
                <w:color w:val="000000"/>
                <w:sz w:val="22"/>
                <w:szCs w:val="22"/>
              </w:rPr>
            </w:r>
          </w:p>
        </w:tc>
        <w:tc>
          <w:tcPr>
            <w:shd w:val="clear" w:color="000000" w:fill="ffffff"/>
            <w:tcBorders/>
            <w:tcW w:w="1701" w:type="dxa"/>
            <w:vAlign w:val="center"/>
            <w:textDirection w:val="lrTb"/>
            <w:noWrap w:val="false"/>
          </w:tcPr>
          <w:p>
            <w:pPr>
              <w:pBdr/>
              <w:spacing/>
              <w:ind/>
              <w:jc w:val="center"/>
              <w:rPr>
                <w:b/>
                <w:bCs/>
                <w:color w:val="000000"/>
                <w:sz w:val="22"/>
                <w:szCs w:val="22"/>
              </w:rPr>
            </w:pPr>
            <w:r>
              <w:rPr>
                <w:color w:val="000000" w:themeColor="text1"/>
                <w:sz w:val="22"/>
                <w:szCs w:val="22"/>
              </w:rPr>
              <w:t xml:space="preserve">50.765.214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106"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themeColor="text1"/>
                <w:sz w:val="22"/>
                <w:szCs w:val="22"/>
              </w:rPr>
            </w:pPr>
            <w:r>
              <w:rPr>
                <w:color w:val="000000" w:themeColor="text1"/>
                <w:sz w:val="22"/>
                <w:szCs w:val="22"/>
              </w:rPr>
              <w:t xml:space="preserve">2% - 5%</w:t>
            </w: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2% - 10%</w:t>
            </w:r>
            <w:r>
              <w:rPr>
                <w:color w:val="000000" w:themeColor="text1"/>
                <w:sz w:val="22"/>
                <w:szCs w:val="22"/>
              </w:rPr>
            </w:r>
            <w:r>
              <w:rPr>
                <w:color w:val="000000" w:themeColor="text1"/>
                <w:sz w:val="22"/>
                <w:szCs w:val="22"/>
              </w:rPr>
            </w:r>
          </w:p>
        </w:tc>
        <w:tc>
          <w:tcPr>
            <w:shd w:val="clear" w:color="000000" w:fill="ffffff"/>
            <w:tcBorders/>
            <w:tcW w:w="1701" w:type="dxa"/>
            <w:vAlign w:val="center"/>
            <w:textDirection w:val="lrTb"/>
            <w:noWrap/>
          </w:tcPr>
          <w:p>
            <w:pPr>
              <w:pBdr/>
              <w:spacing/>
              <w:ind/>
              <w:jc w:val="center"/>
              <w:rPr>
                <w:color w:val="000000" w:themeColor="text1"/>
                <w:sz w:val="22"/>
                <w:szCs w:val="22"/>
              </w:rPr>
            </w:pPr>
            <w:r>
              <w:rPr>
                <w:color w:val="000000" w:themeColor="text1"/>
                <w:sz w:val="22"/>
                <w:szCs w:val="22"/>
              </w:rPr>
              <w:t xml:space="preserve">3% - 8%</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106"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17"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14.404.629</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34.121.737</w:t>
            </w:r>
            <w:r>
              <w:rPr>
                <w:sz w:val="22"/>
                <w:szCs w:val="22"/>
              </w:rPr>
            </w:r>
            <w:r>
              <w:rPr>
                <w:sz w:val="22"/>
                <w:szCs w:val="22"/>
              </w:rPr>
            </w:r>
          </w:p>
        </w:tc>
        <w:tc>
          <w:tcPr>
            <w:shd w:val="clear" w:color="000000" w:fill="ffffff"/>
            <w:tcBorders/>
            <w:tcW w:w="1701" w:type="dxa"/>
            <w:vAlign w:val="center"/>
            <w:textDirection w:val="lrTb"/>
            <w:noWrap/>
          </w:tcPr>
          <w:p>
            <w:pPr>
              <w:pBdr/>
              <w:spacing/>
              <w:ind/>
              <w:jc w:val="center"/>
              <w:rPr>
                <w:sz w:val="22"/>
                <w:szCs w:val="22"/>
              </w:rPr>
            </w:pPr>
            <w:r>
              <w:rPr>
                <w:color w:val="000000" w:themeColor="text1"/>
                <w:sz w:val="22"/>
                <w:szCs w:val="22"/>
              </w:rPr>
              <w:t xml:space="preserve">12.086.956</w:t>
            </w:r>
            <w:r>
              <w:rPr>
                <w:sz w:val="22"/>
                <w:szCs w:val="22"/>
              </w:rPr>
            </w:r>
            <w:r>
              <w:rPr>
                <w:sz w:val="22"/>
                <w:szCs w:val="22"/>
              </w:rPr>
            </w:r>
          </w:p>
        </w:tc>
      </w:tr>
    </w:tbl>
    <w:p>
      <w:pPr>
        <w:pBdr/>
        <w:spacing w:after="120" w:before="120" w:line="300"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300"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-5,64</w:t>
      </w:r>
      <w:r>
        <w:t xml:space="preserve">% đến</w:t>
      </w:r>
      <w:r>
        <w:t xml:space="preserve"> </w:t>
      </w:r>
      <w:r>
        <w:t xml:space="preserve">7,23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300"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bCs/>
          <w:i/>
        </w:rPr>
      </w:pPr>
      <w:r>
        <w:rPr>
          <w:i/>
          <w:iCs/>
          <w:highlight w:val="none"/>
        </w:rPr>
      </w:r>
      <w:r>
        <w:rPr>
          <w:i/>
          <w:iCs/>
          <w:highlight w:val="none"/>
        </w:rPr>
      </w:r>
      <w:r>
        <w:rPr>
          <w:i/>
          <w:iCs/>
          <w:highlight w:val="none"/>
        </w:rPr>
      </w:r>
    </w:p>
    <w:p>
      <w:pPr>
        <w:pBdr/>
        <w:spacing/>
        <w:ind/>
        <w:jc w:val="right"/>
        <w:rPr>
          <w:bCs/>
          <w:i/>
          <w:highlight w:val="none"/>
        </w:rPr>
      </w:pPr>
      <w:r>
        <w:rPr>
          <w:i/>
          <w:iCs/>
          <w:highlight w:val="none"/>
        </w:rPr>
      </w:r>
      <w:r>
        <w:rPr>
          <w:i/>
          <w:iCs/>
          <w:highlight w:val="none"/>
        </w:rPr>
      </w:r>
      <w:r>
        <w:rPr>
          <w:i/>
          <w:iCs/>
          <w:highlight w:val="none"/>
        </w:rPr>
      </w:r>
    </w:p>
    <w:p>
      <w:pPr>
        <w:pBdr/>
        <w:spacing/>
        <w:ind/>
        <w:jc w:val="right"/>
        <w:rPr>
          <w:bCs/>
          <w:i/>
          <w:highlight w:val="none"/>
        </w:rPr>
      </w:pPr>
      <w:r>
        <w:rPr>
          <w:i/>
          <w:iCs/>
          <w:highlight w:val="none"/>
        </w:rPr>
      </w:r>
      <w:r>
        <w:rPr>
          <w:i/>
          <w:iCs/>
          <w:highlight w:val="none"/>
        </w:rPr>
      </w:r>
      <w:r>
        <w:rPr>
          <w:i/>
          <w:iCs/>
          <w:highlight w:val="none"/>
        </w:rPr>
      </w:r>
    </w:p>
    <w:p>
      <w:pPr>
        <w:pBdr/>
        <w:spacing/>
        <w:ind/>
        <w:jc w:val="right"/>
        <w:rPr>
          <w:i/>
          <w:iCs/>
          <w:highlight w:val="none"/>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220.185.046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73.409.694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250.226.072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83.400.350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229.652.155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76.543.063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233.353.107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233.000.000</w:t>
            </w:r>
            <w:r>
              <w:rPr>
                <w:b/>
                <w:bCs/>
                <w:color w:val="000000"/>
              </w:rPr>
            </w:r>
            <w:r>
              <w:rPr>
                <w:b/>
                <w:bCs/>
                <w:color w:val="000000"/>
              </w:rPr>
            </w:r>
          </w:p>
        </w:tc>
      </w:tr>
    </w:tbl>
    <w:p>
      <w:pPr>
        <w:pBdr/>
        <w:spacing w:after="120" w:before="120" w:line="276" w:lineRule="auto"/>
        <w:ind/>
        <w:jc w:val="both"/>
        <w:rPr>
          <w:b/>
          <w:bCs/>
          <w:highlight w:val="none"/>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233.000.000</w:t>
      </w:r>
      <w:r>
        <w:rPr>
          <w:b/>
          <w:bCs/>
          <w:color w:val="000000" w:themeColor="text1"/>
        </w:rPr>
        <w:t xml:space="preserve"> </w:t>
      </w:r>
      <w:r>
        <w:rPr>
          <w:b/>
          <w:bCs/>
        </w:rPr>
        <w:t xml:space="preserve">đồng/m².</w:t>
      </w:r>
      <w:r>
        <w:rPr>
          <w:b/>
          <w:bCs/>
          <w:highlight w:val="none"/>
        </w:rPr>
      </w:r>
      <w:r>
        <w:rPr>
          <w:b/>
          <w:bCs/>
          <w:highlight w:val="none"/>
        </w:rPr>
      </w:r>
    </w:p>
    <w:p>
      <w:pPr>
        <w:pBdr/>
        <w:spacing w:after="120" w:before="120" w:line="276" w:lineRule="auto"/>
        <w:ind w:firstLine="0" w:left="0"/>
        <w:jc w:val="both"/>
        <w:rPr>
          <w:b/>
          <w:highlight w:val="yellow"/>
        </w:rPr>
      </w:pPr>
      <w:r>
        <w:rPr>
          <w:b/>
          <w:highlight w:val="none"/>
        </w:rPr>
        <w:t xml:space="preserve">2. Xác định đơn giá quyền sử dụng đất nằm trong quy hoạch giao thông:</w:t>
      </w:r>
      <w:r>
        <w:rPr>
          <w:b/>
          <w:highlight w:val="yellow"/>
        </w:rPr>
      </w:r>
      <w:r>
        <w:rPr>
          <w:b/>
          <w:highlight w:val="yellow"/>
        </w:rPr>
      </w:r>
    </w:p>
    <w:p>
      <w:pPr>
        <w:pBdr>
          <w:top w:val="none" w:color="000000" w:sz="4" w:space="0"/>
          <w:left w:val="none" w:color="000000" w:sz="4" w:space="0"/>
          <w:bottom w:val="none" w:color="000000" w:sz="4" w:space="0"/>
          <w:right w:val="none" w:color="000000" w:sz="4" w:space="0"/>
        </w:pBdr>
        <w:spacing w:after="120" w:before="120" w:line="324" w:lineRule="auto"/>
        <w:ind w:right="0" w:firstLine="0" w:left="0"/>
        <w:jc w:val="both"/>
        <w:rPr/>
      </w:pPr>
      <w:r>
        <w:rPr>
          <w:rFonts w:ascii="Times New Roman" w:hAnsi="Times New Roman" w:eastAsia="Times New Roman" w:cs="Times New Roman"/>
          <w:color w:val="000000"/>
          <w:sz w:val="24"/>
        </w:rPr>
        <w:t xml:space="preserve">Căn cứ vào </w:t>
      </w:r>
      <w:hyperlink r:id="rId19" w:tooltip="https://thuvienphapluat.vn/van-ban/Bat-dong-san/Nghi-quyet-52-2025-NQ-HDND-Bang-gia-dat-lan-dau-ap-dung-tu-01-thang-01-nam-2026-Ha-Noi-682673.aspx" w:history="1">
        <w:r>
          <w:rPr>
            <w:rStyle w:val="1033"/>
            <w:rFonts w:ascii="Times New Roman" w:hAnsi="Times New Roman" w:eastAsia="Times New Roman" w:cs="Times New Roman"/>
            <w:color w:val="000000"/>
            <w:sz w:val="24"/>
            <w:highlight w:val="white"/>
            <w:u w:val="none"/>
          </w:rPr>
          <w:t xml:space="preserve">Nghị quyết 52/2025/NQ-HĐND</w:t>
        </w:r>
      </w:hyperlink>
      <w:r>
        <w:rPr>
          <w:rFonts w:ascii="Times New Roman" w:hAnsi="Times New Roman" w:eastAsia="Times New Roman" w:cs="Times New Roman"/>
          <w:color w:val="000000"/>
          <w:sz w:val="24"/>
        </w:rPr>
        <w:t xml:space="preserve"> do Hội đồng nhân dân Hà Nội ngày ban hành ngày 26/11/2025 q</w:t>
      </w:r>
      <w:r>
        <w:rPr>
          <w:rFonts w:ascii="Times New Roman" w:hAnsi="Times New Roman" w:eastAsia="Times New Roman" w:cs="Times New Roman"/>
          <w:color w:val="000000"/>
          <w:sz w:val="24"/>
          <w:highlight w:val="white"/>
        </w:rPr>
        <w:t xml:space="preserve">uy định bảng giá đất lần đầu để công bố và áp dụng từ ngày 01/01/2026 trên địa bàn thành phố Hà Nội</w:t>
      </w:r>
      <w:r>
        <w:rPr>
          <w:rFonts w:ascii="Times New Roman" w:hAnsi="Times New Roman" w:eastAsia="Times New Roman" w:cs="Times New Roman"/>
          <w:color w:val="000000"/>
          <w:sz w:val="24"/>
        </w:rPr>
        <w:t xml:space="preserve">. Tổ thẩm định xác định Đơn giá đất tại Vị trí 3, đường Trần Quốc Vượng khu vực phườn Cầu Giấy là: </w:t>
      </w:r>
      <w:r>
        <w:rPr>
          <w:rFonts w:ascii="Times New Roman" w:hAnsi="Times New Roman" w:eastAsia="Times New Roman" w:cs="Times New Roman"/>
          <w:b/>
          <w:bCs/>
          <w:color w:val="000000"/>
          <w:sz w:val="24"/>
        </w:rPr>
        <w:t xml:space="preserve">44.764.000</w:t>
      </w:r>
      <w:r>
        <w:rPr>
          <w:rFonts w:ascii="Times New Roman" w:hAnsi="Times New Roman" w:eastAsia="Times New Roman" w:cs="Times New Roman"/>
          <w:color w:val="000000"/>
          <w:sz w:val="24"/>
        </w:rPr>
        <w:t xml:space="preserve"> đồng/m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p>
    <w:p>
      <w:pPr>
        <w:pBdr/>
        <w:spacing w:after="120" w:before="120" w:line="276" w:lineRule="auto"/>
        <w:ind/>
        <w:jc w:val="both"/>
        <w:rPr>
          <w:b/>
          <w:highlight w:val="yellow"/>
        </w:rPr>
      </w:pPr>
      <w:r>
        <w:rPr>
          <w:b/>
          <w:highlight w:val="none"/>
          <w:lang w:val="pt-BR"/>
        </w:rPr>
        <w:t xml:space="preserve">3. </w:t>
      </w:r>
      <w:r>
        <w:rPr>
          <w:b/>
          <w:highlight w:val="white"/>
          <w:lang w:val="pt-BR"/>
        </w:rPr>
        <w:t xml:space="preserve">Kết quả thẩm định giá:</w:t>
      </w:r>
      <w:r>
        <w:rPr>
          <w:b/>
          <w:highlight w:val="yellow"/>
        </w:rPr>
      </w:r>
      <w:r>
        <w:rPr>
          <w:b/>
          <w:highlight w:val="yellow"/>
        </w:rPr>
      </w:r>
    </w:p>
    <w:p>
      <w:pPr>
        <w:pStyle w:val="1043"/>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w:t>
      </w:r>
      <w:r>
        <w:rPr>
          <w:color w:val="ff0000"/>
        </w:rPr>
        <w:t xml:space="preserve">3/2</w:t>
      </w:r>
      <w:r>
        <w:t xml:space="preserve">026</w:t>
      </w:r>
      <w:r>
        <w:t xml:space="preserve"> </w:t>
      </w:r>
      <w:r>
        <w:t xml:space="preserve">ước tính </w:t>
      </w:r>
      <w:r>
        <w:t xml:space="preserve">như sau</w:t>
      </w:r>
      <w:r>
        <w:t xml:space="preserve">:</w:t>
      </w:r>
      <w:r>
        <w:rPr>
          <w:highlight w:val="none"/>
        </w:rPr>
      </w:r>
      <w:r>
        <w:rPr>
          <w:highlight w:val="none"/>
        </w:rPr>
      </w:r>
    </w:p>
    <w:tbl>
      <w:tblPr>
        <w:tblW w:w="5173"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817"/>
        <w:gridCol w:w="2801"/>
        <w:gridCol w:w="1802"/>
        <w:gridCol w:w="2167"/>
        <w:gridCol w:w="2268"/>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801"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16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69" w:type="dxa"/>
            <w:vAlign w:val="center"/>
            <w:textDirection w:val="lrTb"/>
            <w:noWrap w:val="false"/>
          </w:tcPr>
          <w:p>
            <w:pPr>
              <w:pBdr/>
              <w:spacing w:after="40" w:before="40" w:line="288" w:lineRule="auto"/>
              <w:ind/>
              <w:jc w:val="both"/>
              <w:rPr>
                <w:b/>
                <w:bCs/>
              </w:rPr>
            </w:pPr>
            <w:r>
              <w:rPr>
                <w:color w:val="000000"/>
              </w:rPr>
            </w:r>
            <w:r>
              <w:rPr>
                <w:b/>
                <w:bCs/>
                <w:color w:val="000000"/>
              </w:rPr>
              <w:t xml:space="preserve">Quyền sử dụng đất tại Thửa đất số: 179-5, tờ bản đồ số: 19, địa chỉ: Tổ 49, phường Dịch Vọng, quận Cầu Giấy (</w:t>
            </w:r>
            <w:r>
              <w:rPr>
                <w:b/>
                <w:bCs/>
                <w:i/>
                <w:iCs/>
                <w:color w:val="000000"/>
              </w:rPr>
              <w:t xml:space="preserve">nay là phường Cầu Giấy)</w:t>
            </w:r>
            <w:r>
              <w:rPr>
                <w:b/>
                <w:bCs/>
                <w:color w:val="000000"/>
              </w:rPr>
              <w:t xml:space="preserve">, thành phố Hà Nội theo Giấy chứng nhận quyền sử dụng đất</w:t>
            </w:r>
            <w:r>
              <w:rPr>
                <w:b/>
                <w:bCs/>
                <w:color w:val="000000"/>
              </w:rPr>
              <w:t xml:space="preserve"> số: AM 000769, </w:t>
            </w:r>
            <w:r>
              <w:rPr>
                <w:b/>
                <w:bCs/>
                <w:color w:val="000000" w:themeColor="text1"/>
              </w:rPr>
              <w:t xml:space="preserve">hồ sơ gốc số:</w:t>
            </w:r>
            <w:r>
              <w:rPr>
                <w:b/>
                <w:bCs/>
                <w:color w:val="000000"/>
              </w:rPr>
              <w:t xml:space="preserve"> 3643.2002.QĐUB 12538.2002 do UBND Thành phố Hà Nội cấp ngày 10/01/2008; Chủ sử dụng đất là Ông Bùi Văn Hương và bà Nguyễn Thị Chiến.</w:t>
            </w:r>
            <w:r>
              <w:rPr>
                <w:b/>
                <w:bCs/>
              </w:rPr>
            </w:r>
            <w:r>
              <w:rPr>
                <w:b/>
                <w:bCs/>
              </w:rPr>
            </w:r>
          </w:p>
        </w:tc>
        <w:tc>
          <w:tcPr>
            <w:shd w:val="clear" w:color="000000" w:fill="ffffff"/>
            <w:tcBorders/>
            <w:tcW w:w="2268"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458"/>
        </w:trPr>
        <w:tc>
          <w:tcPr>
            <w:shd w:val="clear" w:color="000000" w:fill="ffffff"/>
            <w:tcBorders/>
            <w:tcW w:w="817" w:type="dxa"/>
            <w:vAlign w:val="center"/>
            <w:textDirection w:val="lrTb"/>
            <w:noWrap w:val="false"/>
          </w:tcPr>
          <w:p>
            <w:pPr>
              <w:pBdr/>
              <w:spacing w:after="40" w:before="40" w:line="288" w:lineRule="auto"/>
              <w:ind/>
              <w:jc w:val="center"/>
              <w:rPr>
                <w:b w:val="0"/>
                <w:bCs w:val="0"/>
              </w:rPr>
            </w:pPr>
            <w:r>
              <w:rPr>
                <w:b w:val="0"/>
                <w:bCs w:val="0"/>
              </w:rPr>
              <w:t xml:space="preserve">01</w:t>
            </w:r>
            <w:r>
              <w:rPr>
                <w:b w:val="0"/>
                <w:bCs w:val="0"/>
              </w:rPr>
            </w:r>
            <w:r>
              <w:rPr>
                <w:b w:val="0"/>
                <w:bCs w:val="0"/>
              </w:rPr>
            </w:r>
          </w:p>
        </w:tc>
        <w:tc>
          <w:tcPr>
            <w:shd w:val="clear" w:color="000000" w:fill="ffffff"/>
            <w:tcBorders/>
            <w:tcW w:w="2801" w:type="dxa"/>
            <w:vAlign w:val="center"/>
            <w:textDirection w:val="lrTb"/>
            <w:noWrap w:val="false"/>
          </w:tcPr>
          <w:p>
            <w:pPr>
              <w:pBdr/>
              <w:spacing w:after="40" w:before="40" w:line="288" w:lineRule="auto"/>
              <w:ind/>
              <w:rPr>
                <w:b w:val="0"/>
                <w:bCs w:val="0"/>
                <w:highlight w:val="white"/>
              </w:rPr>
            </w:pPr>
            <w:r>
              <w:rPr>
                <w:b w:val="0"/>
                <w:bCs w:val="0"/>
                <w:highlight w:val="white"/>
              </w:rPr>
              <w:t xml:space="preserve">Đất ODT (PHQH) </w:t>
            </w:r>
            <w:r>
              <w:rPr>
                <w:b w:val="0"/>
                <w:bCs w:val="0"/>
                <w:highlight w:val="white"/>
              </w:rPr>
            </w:r>
            <w:r>
              <w:rPr>
                <w:b w:val="0"/>
                <w:bCs w:val="0"/>
                <w:highlight w:val="white"/>
              </w:rPr>
            </w:r>
          </w:p>
        </w:tc>
        <w:tc>
          <w:tcPr>
            <w:tcBorders/>
            <w:tcW w:w="1802" w:type="dxa"/>
            <w:vAlign w:val="center"/>
            <w:textDirection w:val="lrTb"/>
            <w:noWrap/>
          </w:tcPr>
          <w:p>
            <w:pPr>
              <w:pBdr/>
              <w:shd w:val="nil" w:color="000000"/>
              <w:spacing/>
              <w:ind/>
              <w:jc w:val="center"/>
              <w:rPr>
                <w:highlight w:val="white"/>
                <w14:ligatures w14:val="none"/>
              </w:rPr>
            </w:pPr>
            <w:r>
              <w:rPr>
                <w:highlight w:val="white"/>
              </w:rPr>
              <w:t xml:space="preserve">13,87</w:t>
            </w:r>
            <w:r>
              <w:rPr>
                <w:highlight w:val="white"/>
                <w14:ligatures w14:val="none"/>
              </w:rPr>
            </w:r>
            <w:r>
              <w:rPr>
                <w:highlight w:val="white"/>
                <w14:ligatures w14:val="none"/>
              </w:rPr>
            </w:r>
          </w:p>
        </w:tc>
        <w:tc>
          <w:tcPr>
            <w:shd w:val="clear" w:color="000000" w:fill="ffffff"/>
            <w:tcBorders/>
            <w:tcW w:w="2166" w:type="dxa"/>
            <w:vAlign w:val="center"/>
            <w:textDirection w:val="lrTb"/>
            <w:noWrap w:val="false"/>
          </w:tcPr>
          <w:p>
            <w:pPr>
              <w:pBdr/>
              <w:shd w:val="nil" w:color="000000"/>
              <w:spacing/>
              <w:ind/>
              <w:jc w:val="center"/>
              <w:rPr>
                <w:highlight w:val="white"/>
                <w14:ligatures w14:val="none"/>
              </w:rPr>
            </w:pPr>
            <w:r>
              <w:rPr>
                <w:highlight w:val="white"/>
              </w:rPr>
              <w:t xml:space="preserve">233.000.000</w:t>
            </w:r>
            <w:r>
              <w:rPr>
                <w:highlight w:val="white"/>
                <w14:ligatures w14:val="none"/>
              </w:rPr>
            </w:r>
            <w:r>
              <w:rPr>
                <w:highlight w:val="white"/>
                <w14:ligatures w14:val="none"/>
              </w:rPr>
            </w:r>
          </w:p>
        </w:tc>
        <w:tc>
          <w:tcPr>
            <w:shd w:val="clear" w:color="000000" w:fill="ffffff"/>
            <w:tcBorders/>
            <w:tcW w:w="2268" w:type="dxa"/>
            <w:vAlign w:val="center"/>
            <w:textDirection w:val="lrTb"/>
            <w:noWrap w:val="false"/>
          </w:tcPr>
          <w:p>
            <w:pPr>
              <w:pBdr/>
              <w:spacing w:after="0" w:before="0" w:line="240" w:lineRule="auto"/>
              <w:ind/>
              <w:jc w:val="right"/>
              <w:rPr>
                <w:highlight w:val="white"/>
              </w:rPr>
            </w:pPr>
            <w:r>
              <w:rPr>
                <w:rFonts w:ascii="Times New Roman" w:hAnsi="Times New Roman" w:eastAsia="Times New Roman" w:cs="Times New Roman"/>
                <w:color w:val="000000"/>
                <w:sz w:val="24"/>
                <w:highlight w:val="white"/>
              </w:rPr>
              <w:t xml:space="preserve">       3.231.710.000 </w:t>
            </w:r>
            <w:r>
              <w:rPr>
                <w:highlight w:val="white"/>
              </w:rPr>
            </w:r>
            <w:r>
              <w:rPr>
                <w:highlight w:val="white"/>
              </w:rPr>
            </w:r>
          </w:p>
        </w:tc>
      </w:tr>
      <w:tr>
        <w:trPr>
          <w:trHeight w:val="20"/>
        </w:trPr>
        <w:tc>
          <w:tcPr>
            <w:shd w:val="clear" w:color="000000" w:fill="ffffff"/>
            <w:tcBorders/>
            <w:tcW w:w="817" w:type="dxa"/>
            <w:vAlign w:val="center"/>
            <w:vMerge w:val="restart"/>
            <w:textDirection w:val="lrTb"/>
            <w:noWrap w:val="false"/>
          </w:tcPr>
          <w:p>
            <w:pPr>
              <w:pBdr/>
              <w:spacing w:after="40" w:before="40" w:line="288" w:lineRule="auto"/>
              <w:ind/>
              <w:jc w:val="center"/>
              <w:rPr>
                <w:b w:val="0"/>
                <w:bCs w:val="0"/>
              </w:rPr>
            </w:pPr>
            <w:r>
              <w:rPr>
                <w:b w:val="0"/>
                <w:bCs w:val="0"/>
              </w:rPr>
              <w:t xml:space="preserve">02</w:t>
            </w:r>
            <w:r>
              <w:rPr>
                <w:b w:val="0"/>
                <w:bCs w:val="0"/>
              </w:rPr>
            </w:r>
            <w:r>
              <w:rPr>
                <w:b w:val="0"/>
                <w:bCs w:val="0"/>
              </w:rPr>
            </w:r>
          </w:p>
        </w:tc>
        <w:tc>
          <w:tcPr>
            <w:shd w:val="clear" w:color="000000" w:fill="ffffff"/>
            <w:tcBorders/>
            <w:tcW w:w="2801" w:type="dxa"/>
            <w:vAlign w:val="center"/>
            <w:vMerge w:val="restart"/>
            <w:textDirection w:val="lrTb"/>
            <w:noWrap w:val="false"/>
          </w:tcPr>
          <w:p>
            <w:pPr>
              <w:pBdr/>
              <w:spacing w:after="40" w:before="40" w:line="288" w:lineRule="auto"/>
              <w:ind/>
              <w:rPr>
                <w:b w:val="0"/>
                <w:bCs w:val="0"/>
                <w:highlight w:val="white"/>
              </w:rPr>
            </w:pPr>
            <w:r>
              <w:rPr>
                <w:b w:val="0"/>
                <w:bCs w:val="0"/>
                <w:highlight w:val="white"/>
              </w:rPr>
              <w:t xml:space="preserve">Đất ODT (KPHQH) </w:t>
            </w:r>
            <w:r>
              <w:rPr>
                <w:b w:val="0"/>
                <w:bCs w:val="0"/>
                <w:highlight w:val="white"/>
              </w:rPr>
            </w:r>
            <w:r>
              <w:rPr>
                <w:b w:val="0"/>
                <w:bCs w:val="0"/>
                <w:highlight w:val="white"/>
              </w:rPr>
            </w:r>
          </w:p>
        </w:tc>
        <w:tc>
          <w:tcPr>
            <w:tcBorders/>
            <w:tcW w:w="1802" w:type="dxa"/>
            <w:vAlign w:val="center"/>
            <w:vMerge w:val="restart"/>
            <w:textDirection w:val="lrTb"/>
            <w:noWrap/>
          </w:tcPr>
          <w:p>
            <w:pPr>
              <w:pBdr/>
              <w:shd w:val="nil" w:color="000000"/>
              <w:spacing/>
              <w:ind/>
              <w:jc w:val="center"/>
              <w:rPr>
                <w:highlight w:val="white"/>
                <w14:ligatures w14:val="none"/>
              </w:rPr>
            </w:pPr>
            <w:r>
              <w:rPr>
                <w:highlight w:val="white"/>
              </w:rPr>
            </w:r>
            <w:r>
              <w:rPr>
                <w:highlight w:val="white"/>
              </w:rPr>
              <w:t xml:space="preserve">14,73</w:t>
            </w:r>
            <w:r>
              <w:rPr>
                <w:highlight w:val="white"/>
                <w14:ligatures w14:val="none"/>
              </w:rPr>
            </w:r>
            <w:r>
              <w:rPr>
                <w:highlight w:val="white"/>
                <w14:ligatures w14:val="none"/>
              </w:rPr>
            </w:r>
          </w:p>
        </w:tc>
        <w:tc>
          <w:tcPr>
            <w:shd w:val="clear" w:color="000000" w:fill="ffffff"/>
            <w:tcBorders/>
            <w:tcW w:w="2166" w:type="dxa"/>
            <w:vAlign w:val="center"/>
            <w:vMerge w:val="restart"/>
            <w:textDirection w:val="lrTb"/>
            <w:noWrap w:val="false"/>
          </w:tcPr>
          <w:p>
            <w:pPr>
              <w:pBdr/>
              <w:shd w:val="nil" w:color="000000"/>
              <w:spacing/>
              <w:ind/>
              <w:jc w:val="center"/>
              <w:rPr>
                <w:highlight w:val="white"/>
                <w14:ligatures w14:val="none"/>
              </w:rPr>
            </w:pPr>
            <w:r>
              <w:rPr>
                <w:highlight w:val="white"/>
              </w:rPr>
            </w:r>
            <w:r>
              <w:rPr>
                <w:highlight w:val="white"/>
              </w:rPr>
              <w:t xml:space="preserve">44.764.000</w:t>
            </w:r>
            <w:r>
              <w:rPr>
                <w:highlight w:val="white"/>
                <w14:ligatures w14:val="none"/>
              </w:rPr>
            </w:r>
            <w:r>
              <w:rPr>
                <w:highlight w:val="white"/>
                <w14:ligatures w14:val="none"/>
              </w:rPr>
            </w:r>
          </w:p>
        </w:tc>
        <w:tc>
          <w:tcPr>
            <w:shd w:val="clear" w:color="000000" w:fill="ffffff"/>
            <w:tcBorders/>
            <w:tcW w:w="2268" w:type="dxa"/>
            <w:vAlign w:val="center"/>
            <w:vMerge w:val="restart"/>
            <w:textDirection w:val="lrTb"/>
            <w:noWrap w:val="false"/>
          </w:tcPr>
          <w:p>
            <w:pPr>
              <w:pBdr/>
              <w:spacing w:after="0" w:before="0" w:line="240" w:lineRule="auto"/>
              <w:ind/>
              <w:jc w:val="right"/>
              <w:rPr>
                <w:highlight w:val="white"/>
              </w:rPr>
            </w:pPr>
            <w:r>
              <w:rPr>
                <w:rFonts w:ascii="Times New Roman" w:hAnsi="Times New Roman" w:eastAsia="Times New Roman" w:cs="Times New Roman"/>
                <w:color w:val="000000"/>
                <w:sz w:val="24"/>
                <w:highlight w:val="white"/>
              </w:rPr>
              <w:t xml:space="preserve">       659.373.720</w:t>
            </w:r>
            <w:r>
              <w:rPr>
                <w:highlight w:val="white"/>
              </w:rPr>
            </w:r>
            <w:r>
              <w:rPr>
                <w:highlight w:val="white"/>
              </w:rPr>
            </w:r>
          </w:p>
        </w:tc>
      </w:tr>
      <w:tr>
        <w:trPr>
          <w:trHeight w:val="20"/>
        </w:trPr>
        <w:tc>
          <w:tcPr>
            <w:gridSpan w:val="4"/>
            <w:tcBorders/>
            <w:tcW w:w="7587"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2268" w:type="dxa"/>
            <w:vAlign w:val="center"/>
            <w:textDirection w:val="lrTb"/>
            <w:noWrap/>
          </w:tcPr>
          <w:p>
            <w:pPr>
              <w:pBdr/>
              <w:spacing w:after="0" w:before="0" w:line="240" w:lineRule="auto"/>
              <w:ind/>
              <w:jc w:val="right"/>
              <w:rPr>
                <w:b/>
                <w:bCs/>
                <w:highlight w:val="white"/>
              </w:rPr>
            </w:pPr>
            <w:r>
              <w:rPr>
                <w:rFonts w:ascii="Times New Roman" w:hAnsi="Times New Roman" w:eastAsia="Times New Roman" w:cs="Times New Roman"/>
                <w:b/>
                <w:bCs/>
                <w:color w:val="000000"/>
                <w:sz w:val="24"/>
                <w:highlight w:val="white"/>
              </w:rPr>
              <w:t xml:space="preserve">3.891.083.720</w:t>
            </w:r>
            <w:r>
              <w:rPr>
                <w:b/>
                <w:bCs/>
                <w:highlight w:val="white"/>
              </w:rPr>
            </w:r>
            <w:r>
              <w:rPr>
                <w:b/>
                <w:bCs/>
                <w:highlight w:val="white"/>
              </w:rPr>
            </w:r>
          </w:p>
        </w:tc>
      </w:tr>
      <w:tr>
        <w:trPr>
          <w:trHeight w:val="20"/>
        </w:trPr>
        <w:tc>
          <w:tcPr>
            <w:gridSpan w:val="4"/>
            <w:tcBorders/>
            <w:tcW w:w="7587" w:type="dxa"/>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cW w:w="2268" w:type="dxa"/>
            <w:vAlign w:val="center"/>
            <w:textDirection w:val="lrTb"/>
            <w:noWrap/>
          </w:tcPr>
          <w:p>
            <w:pPr>
              <w:pBdr/>
              <w:spacing w:after="0" w:before="0" w:line="240" w:lineRule="auto"/>
              <w:ind/>
              <w:jc w:val="right"/>
              <w:rPr>
                <w:b/>
                <w:bCs/>
                <w:highlight w:val="white"/>
              </w:rPr>
            </w:pPr>
            <w:r>
              <w:rPr>
                <w:rFonts w:ascii="Times New Roman" w:hAnsi="Times New Roman" w:eastAsia="Times New Roman" w:cs="Times New Roman"/>
                <w:b/>
                <w:bCs/>
                <w:color w:val="000000"/>
                <w:sz w:val="24"/>
                <w:highlight w:val="white"/>
              </w:rPr>
              <w:t xml:space="preserve">3.891.000.000</w:t>
            </w:r>
            <w:r>
              <w:rPr>
                <w:b/>
                <w:bCs/>
                <w:highlight w:val="white"/>
              </w:rPr>
            </w:r>
            <w:r>
              <w:rPr>
                <w:b/>
                <w:bCs/>
                <w:highlight w:val="white"/>
              </w:rPr>
            </w:r>
          </w:p>
        </w:tc>
      </w:tr>
      <w:tr>
        <w:trPr>
          <w:trHeight w:val="20"/>
        </w:trPr>
        <w:tc>
          <w:tcPr>
            <w:gridSpan w:val="5"/>
            <w:tcBorders/>
            <w:tcW w:w="985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tám trăm chín mươi mốt triệu đồng chẵn</w:t>
            </w:r>
            <w:r>
              <w:rPr>
                <w:b/>
                <w:bCs/>
                <w:i/>
                <w:iCs/>
                <w:color w:val="000000"/>
              </w:rPr>
              <w:t xml:space="preserve">./.)</w:t>
            </w:r>
            <w:r>
              <w:rPr>
                <w:b/>
                <w:bCs/>
                <w:i/>
                <w:iCs/>
                <w:color w:val="000000"/>
              </w:rPr>
            </w:r>
            <w:r>
              <w:rPr>
                <w:b/>
                <w:bCs/>
                <w:i/>
                <w:iCs/>
                <w:color w:val="000000"/>
              </w:rPr>
            </w:r>
          </w:p>
        </w:tc>
      </w:tr>
    </w:tbl>
    <w:p>
      <w:pPr>
        <w:pStyle w:val="1043"/>
        <w:pBdr/>
        <w:tabs>
          <w:tab w:val="left" w:leader="none" w:pos="993"/>
        </w:tabs>
        <w:spacing w:after="120" w:before="120" w:line="300"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3"/>
        <w:numPr>
          <w:ilvl w:val="0"/>
          <w:numId w:val="4"/>
        </w:numPr>
        <w:pBdr/>
        <w:tabs>
          <w:tab w:val="left" w:leader="none" w:pos="993"/>
        </w:tabs>
        <w:spacing w:after="120" w:before="120" w:line="300"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3"/>
        <w:pBdr/>
        <w:tabs>
          <w:tab w:val="left" w:leader="none" w:pos="993"/>
        </w:tabs>
        <w:spacing w:after="120" w:before="120" w:line="300"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3"/>
        <w:numPr>
          <w:ilvl w:val="0"/>
          <w:numId w:val="5"/>
        </w:numPr>
        <w:pBdr/>
        <w:tabs>
          <w:tab w:val="left" w:leader="none" w:pos="993"/>
        </w:tabs>
        <w:spacing w:after="120" w:before="120" w:line="300"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3"/>
        <w:numPr>
          <w:ilvl w:val="0"/>
          <w:numId w:val="5"/>
        </w:numPr>
        <w:pBdr/>
        <w:tabs>
          <w:tab w:val="left" w:leader="none" w:pos="993"/>
        </w:tabs>
        <w:spacing w:after="120" w:before="120" w:line="300"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3"/>
        <w:numPr>
          <w:ilvl w:val="0"/>
          <w:numId w:val="5"/>
        </w:numPr>
        <w:pBdr/>
        <w:tabs>
          <w:tab w:val="left" w:leader="none" w:pos="993"/>
        </w:tabs>
        <w:spacing w:after="120" w:before="120" w:line="300"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3"/>
        <w:numPr>
          <w:ilvl w:val="0"/>
          <w:numId w:val="5"/>
        </w:numPr>
        <w:pBdr/>
        <w:tabs>
          <w:tab w:val="left" w:leader="none" w:pos="993"/>
        </w:tabs>
        <w:spacing w:after="120" w:before="120" w:line="300"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3"/>
        <w:numPr>
          <w:ilvl w:val="0"/>
          <w:numId w:val="10"/>
        </w:numPr>
        <w:pBdr/>
        <w:spacing w:after="120" w:before="120" w:line="300"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3"/>
        <w:numPr>
          <w:ilvl w:val="0"/>
          <w:numId w:val="10"/>
        </w:numPr>
        <w:pBdr/>
        <w:spacing w:after="120" w:before="120" w:line="300"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3"/>
        <w:numPr>
          <w:ilvl w:val="0"/>
          <w:numId w:val="10"/>
        </w:numPr>
        <w:pBdr/>
        <w:spacing w:after="120" w:before="120" w:line="300"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3"/>
        <w:numPr>
          <w:ilvl w:val="0"/>
          <w:numId w:val="5"/>
        </w:numPr>
        <w:pBdr/>
        <w:tabs>
          <w:tab w:val="left" w:leader="none" w:pos="993"/>
        </w:tabs>
        <w:spacing w:after="120" w:before="120" w:line="288" w:lineRule="auto"/>
        <w:ind/>
        <w:jc w:val="both"/>
        <w:rPr>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spacing w:val="2"/>
          <w:lang w:val="pt-BR"/>
        </w:rPr>
      </w:r>
    </w:p>
    <w:p>
      <w:pPr>
        <w:pStyle w:val="1043"/>
        <w:numPr>
          <w:ilvl w:val="0"/>
          <w:numId w:val="5"/>
        </w:numPr>
        <w:pBdr/>
        <w:tabs>
          <w:tab w:val="left" w:leader="none" w:pos="993"/>
        </w:tabs>
        <w:spacing w:after="120" w:before="120" w:line="288" w:lineRule="auto"/>
        <w:ind/>
        <w:jc w:val="both"/>
        <w:rPr>
          <w:b/>
          <w:bCs/>
          <w:spacing w:val="2"/>
          <w:lang w:val="pt-BR"/>
        </w:rPr>
      </w:pPr>
      <w:r>
        <w:rPr>
          <w:spacing w:val="2"/>
          <w:lang w:val="pt-BR"/>
        </w:rPr>
      </w:r>
      <w:r>
        <w:rPr>
          <w:rFonts w:ascii="Times New Roman" w:hAnsi="Times New Roman" w:eastAsia="Times New Roman" w:cs="Times New Roman"/>
          <w:color w:val="000000"/>
          <w:sz w:val="24"/>
          <w:highlight w:val="none"/>
        </w:rPr>
        <w:t xml:space="preserve">Theo</w:t>
      </w:r>
      <w:r>
        <w:rPr>
          <w:rFonts w:ascii="Times New Roman" w:hAnsi="Times New Roman" w:eastAsia="Times New Roman" w:cs="Times New Roman"/>
          <w:color w:val="000000"/>
          <w:sz w:val="24"/>
          <w:highlight w:val="white"/>
        </w:rPr>
        <w:t xml:space="preserve"> GCN, trên bất đông sản là ngôi nhà xây gạch 01 tầng (DTSD = DTXD = 28,6m</w:t>
      </w:r>
      <w:r>
        <w:rPr>
          <w:rFonts w:ascii="Times New Roman" w:hAnsi="Times New Roman" w:eastAsia="Times New Roman" w:cs="Times New Roman"/>
          <w:color w:val="000000"/>
          <w:sz w:val="24"/>
          <w:highlight w:val="white"/>
          <w:vertAlign w:val="superscript"/>
        </w:rPr>
        <w:t xml:space="preserve">2</w:t>
      </w:r>
      <w:r>
        <w:rPr>
          <w:rFonts w:ascii="Times New Roman" w:hAnsi="Times New Roman" w:eastAsia="Times New Roman" w:cs="Times New Roman"/>
          <w:color w:val="000000"/>
          <w:sz w:val="24"/>
          <w:highlight w:val="white"/>
        </w:rPr>
        <w:t xml:space="preserve">). Tuy nhiên, </w:t>
      </w:r>
      <w:r>
        <w:rPr>
          <w:rFonts w:ascii="Times New Roman" w:hAnsi="Times New Roman" w:eastAsia="Times New Roman" w:cs="Times New Roman"/>
          <w:color w:val="000000"/>
          <w:sz w:val="24"/>
          <w:highlight w:val="white"/>
        </w:rPr>
        <w:t xml:space="preserve">t</w:t>
      </w:r>
      <w:r>
        <w:rPr>
          <w:rFonts w:ascii="Times New Roman" w:hAnsi="Times New Roman" w:eastAsia="Times New Roman" w:cs="Times New Roman"/>
          <w:color w:val="000000"/>
          <w:sz w:val="24"/>
          <w:highlight w:val="white"/>
        </w:rPr>
        <w:t xml:space="preserve">ại thời điểm khảo sát, dướ</w:t>
      </w:r>
      <w:r>
        <w:rPr>
          <w:rFonts w:ascii="Times New Roman" w:hAnsi="Times New Roman" w:eastAsia="Times New Roman" w:cs="Times New Roman"/>
          <w:b w:val="0"/>
          <w:bCs w:val="0"/>
          <w:color w:val="000000"/>
          <w:sz w:val="24"/>
          <w:highlight w:val="white"/>
        </w:rPr>
        <w:t xml:space="preserve">i</w:t>
      </w:r>
      <w:r>
        <w:rPr>
          <w:rFonts w:ascii="Times New Roman" w:hAnsi="Times New Roman" w:eastAsia="Times New Roman" w:cs="Times New Roman"/>
          <w:b w:val="0"/>
          <w:bCs w:val="0"/>
          <w:color w:val="ff0000"/>
          <w:sz w:val="24"/>
          <w:highlight w:val="white"/>
        </w:rPr>
        <w:t xml:space="preserve"> </w:t>
      </w:r>
      <w:r>
        <w:rPr>
          <w:rFonts w:ascii="Times New Roman" w:hAnsi="Times New Roman" w:eastAsia="Times New Roman" w:cs="Times New Roman"/>
          <w:b w:val="0"/>
          <w:bCs w:val="0"/>
          <w:color w:val="000000" w:themeColor="text1"/>
          <w:sz w:val="24"/>
          <w:highlight w:val="white"/>
        </w:rPr>
        <w:t xml:space="preserve">sự hướng dẫn của đại diện ngân hàng,</w:t>
      </w:r>
      <w:r>
        <w:rPr>
          <w:rFonts w:ascii="Times New Roman" w:hAnsi="Times New Roman" w:eastAsia="Times New Roman" w:cs="Times New Roman"/>
          <w:b w:val="0"/>
          <w:bCs w:val="0"/>
          <w:color w:val="ff0000"/>
          <w:sz w:val="24"/>
          <w:highlight w:val="white"/>
        </w:rPr>
        <w:t xml:space="preserve"> </w:t>
      </w:r>
      <w:r>
        <w:rPr>
          <w:rFonts w:ascii="Times New Roman" w:hAnsi="Times New Roman" w:eastAsia="Times New Roman" w:cs="Times New Roman"/>
          <w:b w:val="0"/>
          <w:bCs w:val="0"/>
          <w:color w:val="000000"/>
          <w:sz w:val="24"/>
          <w:highlight w:val="white"/>
        </w:rPr>
        <w:t xml:space="preserve">t</w:t>
      </w:r>
      <w:r>
        <w:rPr>
          <w:rFonts w:ascii="Times New Roman" w:hAnsi="Times New Roman" w:eastAsia="Times New Roman" w:cs="Times New Roman"/>
          <w:color w:val="000000"/>
          <w:sz w:val="24"/>
          <w:highlight w:val="white"/>
        </w:rPr>
        <w:t xml:space="preserve">rên đất có CTXD nhà 05 tầng + 1 tum, diện tích xây dựng khoảng 28,6m</w:t>
      </w:r>
      <w:r>
        <w:rPr>
          <w:rFonts w:ascii="Times New Roman" w:hAnsi="Times New Roman" w:eastAsia="Times New Roman" w:cs="Times New Roman"/>
          <w:color w:val="000000"/>
          <w:sz w:val="24"/>
          <w:highlight w:val="white"/>
          <w:vertAlign w:val="superscript"/>
        </w:rPr>
        <w:t xml:space="preserve">2</w:t>
      </w:r>
      <w:r>
        <w:rPr>
          <w:rFonts w:ascii="Times New Roman" w:hAnsi="Times New Roman" w:eastAsia="Times New Roman" w:cs="Times New Roman"/>
          <w:color w:val="000000"/>
          <w:sz w:val="24"/>
          <w:highlight w:val="white"/>
        </w:rPr>
        <w:t xml:space="preserve">, tổng diện tích sàn khoảng 157,3m</w:t>
      </w:r>
      <w:r>
        <w:rPr>
          <w:rFonts w:ascii="Times New Roman" w:hAnsi="Times New Roman" w:eastAsia="Times New Roman" w:cs="Times New Roman"/>
          <w:color w:val="000000"/>
          <w:sz w:val="24"/>
          <w:highlight w:val="white"/>
          <w:vertAlign w:val="superscript"/>
        </w:rPr>
        <w:t xml:space="preserve">2</w:t>
      </w:r>
      <w:r>
        <w:rPr>
          <w:rFonts w:ascii="Times New Roman" w:hAnsi="Times New Roman" w:eastAsia="Times New Roman" w:cs="Times New Roman"/>
          <w:color w:val="000000"/>
          <w:sz w:val="24"/>
          <w:highlight w:val="white"/>
        </w:rPr>
        <w:t xml:space="preserve">, ngoại quan đã cũ. Công trình chưa được công nhận trên GCN QSDĐ số: AM 000769</w:t>
      </w:r>
      <w:r>
        <w:rPr>
          <w:highlight w:val="white"/>
        </w:rPr>
        <w:t xml:space="preserve">.</w:t>
      </w:r>
      <w:r>
        <w:rPr>
          <w:highlight w:val="white"/>
        </w:rPr>
        <w:t xml:space="preserve"> Đồ</w:t>
      </w:r>
      <w:r>
        <w:rPr>
          <w:highlight w:val="none"/>
        </w:rPr>
        <w:t xml:space="preserve">ng thời, Tổ thẩm định cũng không nhận được bất kỳ giấy tờ pháp lý nào liên quan đến CTXD trên. Theo đề  nghị phía Ngân hàng, Tổ thẩm định không xác định giá trị CTXD nhưng vẫn coi đó là phần không thể thiếu của tài sản thẩm định.</w:t>
      </w:r>
      <w:r>
        <w:rPr>
          <w:b/>
          <w:spacing w:val="2"/>
          <w:lang w:val="pt-BR"/>
        </w:rPr>
      </w:r>
      <w:r>
        <w:rPr>
          <w:b/>
          <w:bCs/>
          <w:spacing w:val="2"/>
          <w:lang w:val="pt-BR"/>
        </w:rPr>
      </w:r>
    </w:p>
    <w:p>
      <w:pPr>
        <w:pStyle w:val="1043"/>
        <w:numPr>
          <w:ilvl w:val="0"/>
          <w:numId w:val="46"/>
        </w:numPr>
        <w:pBdr/>
        <w:spacing w:after="0" w:before="0" w:line="288" w:lineRule="auto"/>
        <w:ind w:right="0"/>
        <w:jc w:val="both"/>
        <w:rPr>
          <w:rFonts w:ascii="Times New Roman" w:hAnsi="Times New Roman" w:eastAsia="Times New Roman" w:cs="Times New Roman"/>
          <w:color w:val="000000"/>
          <w:sz w:val="24"/>
          <w:szCs w:val="24"/>
          <w:highlight w:val="none"/>
          <w14:ligatures w14:val="none"/>
        </w:rPr>
      </w:pPr>
      <w:r>
        <w:rPr>
          <w:highlight w:val="none"/>
        </w:rPr>
      </w:r>
      <w:r>
        <w:rPr>
          <w:rFonts w:ascii="Times New Roman" w:hAnsi="Times New Roman" w:eastAsia="Times New Roman" w:cs="Times New Roman"/>
          <w:color w:val="000000" w:themeColor="text1"/>
          <w:sz w:val="24"/>
          <w:highlight w:val="white"/>
        </w:rPr>
        <w:t xml:space="preserve">T</w:t>
      </w:r>
      <w:r>
        <w:rPr>
          <w:rFonts w:ascii="Times New Roman" w:hAnsi="Times New Roman" w:eastAsia="Times New Roman" w:cs="Times New Roman"/>
          <w:color w:val="000000" w:themeColor="text1"/>
          <w:sz w:val="24"/>
          <w:highlight w:val="white"/>
        </w:rPr>
        <w:t xml:space="preserve">heo GCN QSDĐ số: </w:t>
      </w:r>
      <w:r>
        <w:rPr>
          <w:rFonts w:ascii="Times New Roman" w:hAnsi="Times New Roman" w:eastAsia="Times New Roman" w:cs="Times New Roman"/>
          <w:color w:val="000000" w:themeColor="text1"/>
          <w:sz w:val="24"/>
          <w:highlight w:val="white"/>
        </w:rPr>
        <w:t xml:space="preserve">AM 000769</w:t>
      </w:r>
      <w:r>
        <w:rPr>
          <w:rFonts w:ascii="Times New Roman" w:hAnsi="Times New Roman" w:eastAsia="Times New Roman" w:cs="Times New Roman"/>
          <w:color w:val="000000" w:themeColor="text1"/>
          <w:sz w:val="24"/>
          <w:highlight w:val="white"/>
        </w:rPr>
        <w:t xml:space="preserve">, thửa đất có mặt tiền rộng 3,31m; chiều dài là 8,49m-9,16m, </w:t>
      </w:r>
      <w:r>
        <w:rPr>
          <w:rFonts w:ascii="Times New Roman" w:hAnsi="Times New Roman" w:eastAsia="Times New Roman" w:cs="Times New Roman"/>
          <w:color w:val="000000" w:themeColor="text1"/>
          <w:sz w:val="24"/>
          <w:highlight w:val="white"/>
        </w:rPr>
        <w:t xml:space="preserve">không thể hiện hướng tiếp giáp lối đi và độ rộng lối đi</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color w:val="000000"/>
          <w:sz w:val="24"/>
          <w:highlight w:val="none"/>
        </w:rPr>
        <w:t xml:space="preserve">Qua khảo sát và đo đạc thực tế, Thửa đất có mặt tiền rộng khoảng 4,2m, dài khoảng 6,8m, mặt tiền tiếp giá</w:t>
      </w:r>
      <w:r>
        <w:rPr>
          <w:rFonts w:ascii="Times New Roman" w:hAnsi="Times New Roman" w:eastAsia="Times New Roman" w:cs="Times New Roman"/>
          <w:color w:val="000000" w:themeColor="text1"/>
          <w:sz w:val="24"/>
          <w:highlight w:val="white"/>
        </w:rPr>
        <w:t xml:space="preserve">p đường bê tông rộng 3m t</w:t>
      </w:r>
      <w:r>
        <w:rPr>
          <w:rFonts w:ascii="Times New Roman" w:hAnsi="Times New Roman" w:eastAsia="Times New Roman" w:cs="Times New Roman"/>
          <w:color w:val="000000"/>
          <w:sz w:val="24"/>
          <w:highlight w:val="none"/>
        </w:rPr>
        <w:t xml:space="preserve">heo hướng Đông Bắc. Theo đề nghị </w:t>
      </w:r>
      <w:r>
        <w:rPr>
          <w:rFonts w:ascii="Times New Roman" w:hAnsi="Times New Roman" w:eastAsia="Times New Roman" w:cs="Times New Roman"/>
          <w:color w:val="000000"/>
          <w:sz w:val="24"/>
          <w:szCs w:val="24"/>
          <w:highlight w:val="none"/>
        </w:rPr>
        <w:t xml:space="preserve">của Ngân hàng, Tổ thẩm định xác định giá trị tài sản theo thông tin khảo sát đo đạc thực tế.</w:t>
      </w:r>
      <w:r>
        <w:rPr>
          <w:rFonts w:ascii="Times New Roman" w:hAnsi="Times New Roman" w:eastAsia="Times New Roman" w:cs="Times New Roman"/>
          <w:color w:val="000000"/>
          <w:sz w:val="24"/>
          <w:szCs w:val="24"/>
          <w:highlight w:val="none"/>
          <w14:ligatures w14:val="none"/>
        </w:rPr>
      </w:r>
      <w:r>
        <w:rPr>
          <w:rFonts w:ascii="Times New Roman" w:hAnsi="Times New Roman" w:eastAsia="Times New Roman" w:cs="Times New Roman"/>
          <w:color w:val="000000"/>
          <w:sz w:val="24"/>
          <w:szCs w:val="24"/>
          <w:highlight w:val="none"/>
          <w14:ligatures w14:val="none"/>
        </w:rPr>
      </w:r>
    </w:p>
    <w:p>
      <w:pPr>
        <w:pStyle w:val="1043"/>
        <w:numPr>
          <w:ilvl w:val="0"/>
          <w:numId w:val="47"/>
        </w:numPr>
        <w:pBdr/>
        <w:spacing w:after="0" w:before="0" w:line="288" w:lineRule="auto"/>
        <w:ind w:righ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Tại thời điểm thẩm </w:t>
      </w:r>
      <w:r>
        <w:rPr>
          <w:rFonts w:ascii="Times New Roman" w:hAnsi="Times New Roman" w:eastAsia="Times New Roman" w:cs="Times New Roman"/>
          <w:color w:val="000000"/>
          <w:sz w:val="24"/>
        </w:rPr>
        <w:t xml:space="preserve">định giá, Tổ thẩm định không được Khách hàng cung cấp các thông tin quy hoạch liên quan đến thửa đất, dựa trên định vị của tài sản sau khi khảo sát. Tại thời điểm thẩm định, qua tham khảo trên ứng dụng Meeymap.com, Tổ Thẩm định ước tính thửa đất có khoảng </w:t>
      </w:r>
      <w:r>
        <w:rPr>
          <w:rFonts w:ascii="Times New Roman" w:hAnsi="Times New Roman" w:eastAsia="Times New Roman" w:cs="Times New Roman"/>
          <w:color w:val="000000"/>
          <w:sz w:val="24"/>
        </w:rPr>
        <w:t xml:space="preserve"> 14,73m² nằm trong quy hoạch giao thông</w:t>
      </w:r>
      <w:r>
        <w:rPr>
          <w:rFonts w:ascii="Times New Roman" w:hAnsi="Times New Roman" w:eastAsia="Times New Roman" w:cs="Times New Roman"/>
          <w:color w:val="000000"/>
          <w:sz w:val="24"/>
          <w:szCs w:val="24"/>
          <w:highlight w:val="none"/>
        </w:rPr>
        <w:t xml:space="preserve">. Do vậy, đối với diện tích nằm ngoài quy hoạch Tổ thẩm định đánh giá theo giá trị thị trường, đối với phần nằm trong quy hoạch Tổ thẩm đị</w:t>
      </w:r>
      <w:r>
        <w:rPr>
          <w:rFonts w:ascii="Times New Roman" w:hAnsi="Times New Roman" w:eastAsia="Times New Roman" w:cs="Times New Roman"/>
          <w:color w:val="000000"/>
          <w:sz w:val="24"/>
          <w:szCs w:val="24"/>
          <w:highlight w:val="none"/>
        </w:rPr>
        <w:t xml:space="preserve">nh đánh giá theo giá UBND từng thời kỳ, giá trị đền bù thực tế còn phụ thuộc vào thỏa thuận các bên tại thời điểm Nhà nước giải phóng mặt bằng thực hiện quy hoạch. Đề nghị đơn vị sử dụng kết quả lưu ý kiểm tra xác minh thêm thông tin quy hoạch nếu thấy cần</w:t>
      </w:r>
      <w:r>
        <w:rPr>
          <w:rFonts w:ascii="Times New Roman" w:hAnsi="Times New Roman" w:eastAsia="Times New Roman" w:cs="Times New Roman"/>
          <w:color w:val="000000"/>
          <w:sz w:val="24"/>
          <w:szCs w:val="24"/>
          <w:highlight w:val="none"/>
        </w:rPr>
        <w:t xml:space="preserve"> thiết. Trong trường hợp Khách hàng/Ngân hàng cung cấp được Văn bản xác nhận rõ phần diện tích thuộc quy hoạch mà có sự sai khác so với số liệu nêu trên thì kết quả thẩm định giá cần được xem xét, điều chỉnh phù hợp, chúng tôi bảo lưu quyền xem xét lại kết</w:t>
      </w:r>
      <w:r>
        <w:rPr>
          <w:rFonts w:ascii="Times New Roman" w:hAnsi="Times New Roman" w:eastAsia="Times New Roman" w:cs="Times New Roman"/>
          <w:color w:val="000000"/>
          <w:sz w:val="24"/>
          <w:szCs w:val="24"/>
          <w:highlight w:val="none"/>
        </w:rPr>
        <w:t xml:space="preserve"> quả thẩm định giá.</w:t>
      </w:r>
      <w:r>
        <w:rPr>
          <w:rFonts w:ascii="Times New Roman" w:hAnsi="Times New Roman" w:eastAsia="Times New Roman" w:cs="Times New Roman"/>
          <w:color w:val="000000"/>
          <w:sz w:val="24"/>
          <w:szCs w:val="24"/>
          <w:highlight w:val="none"/>
        </w:rPr>
      </w:r>
    </w:p>
    <w:p>
      <w:pPr>
        <w:pStyle w:val="1043"/>
        <w:numPr>
          <w:ilvl w:val="0"/>
          <w:numId w:val="47"/>
        </w:numPr>
        <w:pBdr/>
        <w:spacing w:after="0" w:before="0" w:line="288" w:lineRule="auto"/>
        <w:ind w:right="0"/>
        <w:jc w:val="both"/>
        <w:rPr/>
      </w:pPr>
      <w:r>
        <w:rPr>
          <w:rFonts w:ascii="Times New Roman" w:hAnsi="Times New Roman" w:eastAsia="Times New Roman" w:cs="Times New Roman"/>
          <w:color w:val="000000"/>
          <w:sz w:val="24"/>
          <w:szCs w:val="24"/>
          <w:highlight w:val="none"/>
        </w:rPr>
      </w:r>
      <w:r>
        <w:rPr>
          <w:highlight w:val="none"/>
        </w:rPr>
        <w:t xml:space="preserve">K</w:t>
      </w:r>
      <w:r>
        <w:rPr>
          <w:lang w:val="pt-BR"/>
        </w:rPr>
        <w:t xml:space="preserve">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p>
    <w:p>
      <w:pPr>
        <w:pStyle w:val="104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4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43"/>
        <w:numPr>
          <w:ilvl w:val="0"/>
          <w:numId w:val="3"/>
        </w:numPr>
        <w:pBdr/>
        <w:tabs>
          <w:tab w:val="left" w:leader="none" w:pos="993"/>
        </w:tabs>
        <w:spacing w:after="120" w:before="120" w:line="288" w:lineRule="auto"/>
        <w:ind/>
        <w:jc w:val="both"/>
        <w:rPr>
          <w:rFonts w:ascii="Times New Roman" w:hAnsi="Times New Roman" w:cs="Times New Roman"/>
          <w:sz w:val="24"/>
          <w:szCs w:val="24"/>
        </w:rPr>
      </w:pPr>
      <w:r>
        <w:rPr>
          <w:rFonts w:ascii="Times New Roman" w:hAnsi="Times New Roman" w:eastAsia="Times New Roman" w:cs="Times New Roman"/>
          <w:sz w:val="24"/>
          <w:szCs w:val="24"/>
          <w:lang w:val="vi-VN"/>
        </w:rPr>
      </w:r>
      <w:r>
        <w:rPr>
          <w:rFonts w:ascii="Times New Roman" w:hAnsi="Times New Roman" w:eastAsia="Times New Roman" w:cs="Times New Roman"/>
          <w:color w:val="081b3a"/>
          <w:spacing w:val="3"/>
          <w:sz w:val="24"/>
          <w:szCs w:val="24"/>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rFonts w:ascii="Times New Roman" w:hAnsi="Times New Roman" w:eastAsia="Times New Roman" w:cs="Times New Roman"/>
          <w:color w:val="081b3a"/>
          <w:spacing w:val="3"/>
          <w:sz w:val="24"/>
          <w:szCs w:val="24"/>
          <w:highlight w:val="white"/>
        </w:rPr>
        <w:t xml:space="preserve"> mô tả, nên nguồn định vị các tsss chỉ mang tính chính xác tương đối . Khách hàng và các bên thứ ba khi sử dụng kết quả thẩm định giá cần lưu ý khi sử dụng Chứng thư thẩm định giá</w:t>
      </w:r>
      <w:r>
        <w:rPr>
          <w:rFonts w:ascii="Times New Roman" w:hAnsi="Times New Roman" w:eastAsia="Times New Roman" w:cs="Times New Roman"/>
          <w:sz w:val="24"/>
          <w:szCs w:val="24"/>
          <w:lang w:val="vi-VN"/>
        </w:rPr>
      </w:r>
      <w:r>
        <w:rPr>
          <w:rFonts w:ascii="Times New Roman" w:hAnsi="Times New Roman" w:cs="Times New Roman"/>
          <w:sz w:val="24"/>
          <w:szCs w:val="24"/>
        </w:rPr>
      </w:r>
    </w:p>
    <w:p>
      <w:pPr>
        <w:pStyle w:val="104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3"/>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3"/>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highlight w:val="none"/>
          <w:lang w:val="pt-BR"/>
        </w:rPr>
      </w:r>
      <w:r>
        <w:rPr>
          <w:highlight w:val="none"/>
          <w:lang w:val="pt-BR"/>
        </w:rPr>
      </w:r>
    </w:p>
    <w:p>
      <w:pPr>
        <w:pStyle w:val="1043"/>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275/2026/0371/VFI-CT.53.A</w:t>
      </w:r>
      <w:r>
        <w:rPr>
          <w:color w:val="ff0000"/>
          <w:lang w:val="vi-VN"/>
        </w:rPr>
        <w:t xml:space="preserve"> </w:t>
      </w:r>
      <w:r>
        <w:rPr>
          <w:color w:val="000000" w:themeColor="text1"/>
        </w:rPr>
        <w:t xml:space="preserve">ngày 09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Khánh Hà</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275/2026/0371/VFI-BC.53.A</w:t>
      </w:r>
      <w:r>
        <w:rPr>
          <w:i/>
          <w:lang w:val="pt-BR"/>
        </w:rPr>
        <w:t xml:space="preserve"> </w:t>
      </w:r>
      <w:r>
        <w:rPr>
          <w:i/>
          <w:lang w:val="pt-BR"/>
        </w:rPr>
        <w:t xml:space="preserve">ngày 09 tháng 3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021"/>
        <w:gridCol w:w="4170"/>
      </w:tblGrid>
      <w:tr>
        <w:trPr/>
        <w:tc>
          <w:tcPr>
            <w:tcBorders/>
            <w:tcW w:w="4021"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170"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021" w:type="dxa"/>
            <w:vAlign w:val="center"/>
            <w:textDirection w:val="lrTb"/>
            <w:noWrap w:val="false"/>
          </w:tcPr>
          <w:p>
            <w:pPr>
              <w:pBdr/>
              <w:spacing/>
              <w:ind/>
              <w:jc w:val="center"/>
              <w:rPr>
                <w:color w:val="000000"/>
                <w:sz w:val="20"/>
                <w:szCs w:val="20"/>
              </w:rPr>
            </w:pPr>
            <w:r>
              <w:rPr>
                <w:color w:val="000000" w:themeColor="text1"/>
                <w:sz w:val="22"/>
                <w:szCs w:val="22"/>
              </w:rPr>
            </w:r>
            <w:r>
              <mc:AlternateContent>
                <mc:Choice Requires="wpg">
                  <w:drawing>
                    <wp:inline xmlns:wp="http://schemas.openxmlformats.org/drawingml/2006/wordprocessingDrawing" distT="0" distB="0" distL="0" distR="0">
                      <wp:extent cx="2192815" cy="267893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310217" name=""/>
                              <pic:cNvPicPr>
                                <a:picLocks noChangeAspect="1"/>
                              </pic:cNvPicPr>
                              <pic:nvPr/>
                            </pic:nvPicPr>
                            <pic:blipFill rotWithShape="1">
                              <a:blip r:embed="rId20"/>
                              <a:stretch/>
                            </pic:blipFill>
                            <pic:spPr bwMode="auto">
                              <a:xfrm flipH="0" flipV="0">
                                <a:off x="0" y="0"/>
                                <a:ext cx="2192814" cy="26789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72.66pt;height:210.94pt;mso-wrap-distance-left:0.00pt;mso-wrap-distance-top:0.00pt;mso-wrap-distance-right:0.00pt;mso-wrap-distance-bottom:0.00pt;z-index:1;" stroked="false">
                      <v:imagedata r:id="rId20" o:title=""/>
                      <o:lock v:ext="edit" rotation="t"/>
                    </v:shape>
                  </w:pict>
                </mc:Fallback>
              </mc:AlternateContent>
            </w:r>
            <w:r>
              <w:rPr>
                <w:color w:val="000000"/>
                <w:sz w:val="20"/>
                <w:szCs w:val="20"/>
              </w:rPr>
            </w:r>
            <w:r>
              <w:rPr>
                <w:color w:val="000000"/>
                <w:sz w:val="20"/>
                <w:szCs w:val="20"/>
              </w:rPr>
            </w:r>
          </w:p>
        </w:tc>
        <w:tc>
          <w:tcPr>
            <w:tcBorders/>
            <w:tcW w:w="4170" w:type="dxa"/>
            <w:vAlign w:val="center"/>
            <w:textDirection w:val="lrTb"/>
            <w:noWrap w:val="false"/>
          </w:tcPr>
          <w:p>
            <w:pPr>
              <w:pBdr/>
              <w:spacing/>
              <w:ind/>
              <w:jc w:val="center"/>
              <w:rPr>
                <w:color w:val="000000"/>
                <w:sz w:val="20"/>
                <w:szCs w:val="20"/>
              </w:rPr>
            </w:pPr>
            <w:r>
              <w:rPr>
                <w:color w:val="000000" w:themeColor="text1"/>
                <w:sz w:val="22"/>
                <w:szCs w:val="22"/>
              </w:rPr>
            </w:r>
            <w:r>
              <mc:AlternateContent>
                <mc:Choice Requires="wpg">
                  <w:drawing>
                    <wp:inline xmlns:wp="http://schemas.openxmlformats.org/drawingml/2006/wordprocessingDrawing" distT="0" distB="0" distL="0" distR="0">
                      <wp:extent cx="2989715" cy="277418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6661" name=""/>
                              <pic:cNvPicPr>
                                <a:picLocks noChangeAspect="1"/>
                              </pic:cNvPicPr>
                              <pic:nvPr/>
                            </pic:nvPicPr>
                            <pic:blipFill rotWithShape="1">
                              <a:blip r:embed="rId21"/>
                              <a:stretch/>
                            </pic:blipFill>
                            <pic:spPr bwMode="auto">
                              <a:xfrm flipH="0" flipV="0">
                                <a:off x="0" y="0"/>
                                <a:ext cx="2989714" cy="27741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5.41pt;height:218.44pt;mso-wrap-distance-left:0.00pt;mso-wrap-distance-top:0.00pt;mso-wrap-distance-right:0.00pt;mso-wrap-distance-bottom:0.00pt;z-index:1;" stroked="false">
                      <v:imagedata r:id="rId21" o:title=""/>
                      <o:lock v:ext="edit" rotation="t"/>
                    </v:shape>
                  </w:pict>
                </mc:Fallback>
              </mc:AlternateContent>
            </w:r>
            <w:r>
              <w:rPr>
                <w:color w:val="000000"/>
                <w:sz w:val="20"/>
                <w:szCs w:val="20"/>
              </w:rPr>
            </w:r>
            <w:r>
              <w:rPr>
                <w:color w:val="000000"/>
                <w:sz w:val="20"/>
                <w:szCs w:val="20"/>
              </w:rPr>
            </w:r>
          </w:p>
        </w:tc>
      </w:tr>
      <w:tr>
        <w:trPr/>
        <w:tc>
          <w:tcPr>
            <w:tcBorders/>
            <w:tcW w:w="4021"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170"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021"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60692" cy="227883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95717" name=""/>
                              <pic:cNvPicPr>
                                <a:picLocks noChangeAspect="1"/>
                              </pic:cNvPicPr>
                              <pic:nvPr/>
                            </pic:nvPicPr>
                            <pic:blipFill rotWithShape="1">
                              <a:blip r:embed="rId22"/>
                              <a:stretch/>
                            </pic:blipFill>
                            <pic:spPr bwMode="auto">
                              <a:xfrm flipH="0" flipV="0">
                                <a:off x="0" y="0"/>
                                <a:ext cx="2960691" cy="22788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3.13pt;height:179.44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170"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25714" cy="224410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648041" name=""/>
                              <pic:cNvPicPr>
                                <a:picLocks noChangeAspect="1"/>
                              </pic:cNvPicPr>
                              <pic:nvPr/>
                            </pic:nvPicPr>
                            <pic:blipFill rotWithShape="1">
                              <a:blip r:embed="rId23"/>
                              <a:stretch/>
                            </pic:blipFill>
                            <pic:spPr bwMode="auto">
                              <a:xfrm flipH="0" flipV="0">
                                <a:off x="0" y="0"/>
                                <a:ext cx="2925713" cy="22441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0.37pt;height:176.70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021"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170"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021"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61571" cy="230503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01330" name=""/>
                              <pic:cNvPicPr>
                                <a:picLocks noChangeAspect="1"/>
                              </pic:cNvPicPr>
                              <pic:nvPr/>
                            </pic:nvPicPr>
                            <pic:blipFill rotWithShape="1">
                              <a:blip r:embed="rId24"/>
                              <a:stretch/>
                            </pic:blipFill>
                            <pic:spPr bwMode="auto">
                              <a:xfrm flipH="0" flipV="0">
                                <a:off x="0" y="0"/>
                                <a:ext cx="2961571" cy="23050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3.19pt;height:181.50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170"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37545" cy="224747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069432" name=""/>
                              <pic:cNvPicPr>
                                <a:picLocks noChangeAspect="1"/>
                              </pic:cNvPicPr>
                              <pic:nvPr/>
                            </pic:nvPicPr>
                            <pic:blipFill rotWithShape="1">
                              <a:blip r:embed="rId25"/>
                              <a:stretch/>
                            </pic:blipFill>
                            <pic:spPr bwMode="auto">
                              <a:xfrm flipH="0" flipV="0">
                                <a:off x="0" y="0"/>
                                <a:ext cx="2937545" cy="224747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1.30pt;height:176.97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after="200" w:line="276" w:lineRule="auto"/>
        <w:ind/>
        <w:jc w:val="left"/>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highlight w:val="none"/>
        </w:rPr>
        <w:t xml:space="preserve">HỒ SƠ PHÁP LÝ</w:t>
      </w:r>
      <w:r>
        <w:rPr>
          <w:b/>
          <w:bCs/>
          <w:highlight w:val="none"/>
        </w:rPr>
      </w:r>
      <w:r>
        <w:rPr>
          <w:b/>
          <w:bCs/>
          <w:highlight w:val="none"/>
        </w:rPr>
      </w:r>
    </w:p>
    <w:p>
      <w:pPr>
        <w:pBdr/>
        <w:spacing w:after="200" w:line="276" w:lineRule="auto"/>
        <w:ind/>
        <w:jc w:val="center"/>
        <w:rPr>
          <w:highlight w:val="none"/>
        </w:rPr>
      </w:pPr>
      <w:r>
        <w:rPr>
          <w:b/>
          <w:highlight w:val="none"/>
        </w:rPr>
      </w:r>
      <w:r>
        <mc:AlternateContent>
          <mc:Choice Requires="wpg">
            <w:drawing>
              <wp:inline xmlns:wp="http://schemas.openxmlformats.org/drawingml/2006/wordprocessingDrawing" distT="0" distB="0" distL="0" distR="0">
                <wp:extent cx="8738728" cy="617172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97641" name=""/>
                        <pic:cNvPicPr>
                          <a:picLocks noChangeAspect="1"/>
                        </pic:cNvPicPr>
                        <pic:nvPr/>
                      </pic:nvPicPr>
                      <pic:blipFill rotWithShape="1">
                        <a:blip r:embed="rId26"/>
                        <a:stretch/>
                      </pic:blipFill>
                      <pic:spPr bwMode="auto">
                        <a:xfrm rot="5399976" flipH="0" flipV="0">
                          <a:off x="0" y="0"/>
                          <a:ext cx="8738727" cy="61717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688.09pt;height:485.96pt;mso-wrap-distance-left:0.00pt;mso-wrap-distance-top:0.00pt;mso-wrap-distance-right:0.00pt;mso-wrap-distance-bottom:0.00pt;rotation:89;z-index:1;" stroked="false">
                <v:imagedata r:id="rId26" o:title=""/>
                <o:lock v:ext="edit" rotation="t"/>
              </v:shape>
            </w:pict>
          </mc:Fallback>
        </mc:AlternateContent>
      </w:r>
      <w:r>
        <w:rPr>
          <w:highlight w:val="none"/>
        </w:rPr>
      </w:r>
      <w:r>
        <w:rPr>
          <w:highlight w:val="none"/>
        </w:rPr>
      </w:r>
    </w:p>
    <w:p>
      <w:pPr>
        <w:pBdr/>
        <w:spacing w:after="200" w:line="276" w:lineRule="auto"/>
        <w:ind/>
        <w:jc w:val="center"/>
        <w:rPr>
          <w:highlight w:val="none"/>
        </w:rPr>
      </w:pPr>
      <w:r>
        <w:rPr>
          <w:highlight w:val="none"/>
        </w:rPr>
      </w:r>
      <w:r>
        <mc:AlternateContent>
          <mc:Choice Requires="wpg">
            <w:drawing>
              <wp:inline xmlns:wp="http://schemas.openxmlformats.org/drawingml/2006/wordprocessingDrawing" distT="0" distB="0" distL="0" distR="0">
                <wp:extent cx="8943435" cy="6055824"/>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70093" name=""/>
                        <pic:cNvPicPr>
                          <a:picLocks noChangeAspect="1"/>
                        </pic:cNvPicPr>
                        <pic:nvPr/>
                      </pic:nvPicPr>
                      <pic:blipFill rotWithShape="1">
                        <a:blip r:embed="rId27"/>
                        <a:stretch/>
                      </pic:blipFill>
                      <pic:spPr bwMode="auto">
                        <a:xfrm rot="5399976" flipH="0" flipV="0">
                          <a:off x="0" y="0"/>
                          <a:ext cx="8943434" cy="60558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704.21pt;height:476.84pt;mso-wrap-distance-left:0.00pt;mso-wrap-distance-top:0.00pt;mso-wrap-distance-right:0.00pt;mso-wrap-distance-bottom:0.00pt;rotation:89;z-index:1;" stroked="false">
                <v:imagedata r:id="rId27" o:title=""/>
                <o:lock v:ext="edit" rotation="t"/>
              </v:shape>
            </w:pict>
          </mc:Fallback>
        </mc:AlternateContent>
      </w:r>
      <w:r>
        <w:rPr>
          <w:highlight w:val="none"/>
        </w:rPr>
      </w:r>
      <w:r>
        <w:rPr>
          <w:highlight w:val="none"/>
        </w:rPr>
      </w:r>
    </w:p>
    <w:p>
      <w:pPr>
        <w:pBdr/>
        <w:spacing w:after="200" w:line="276" w:lineRule="auto"/>
        <w:ind/>
        <w:jc w:val="center"/>
        <w:rPr>
          <w:b/>
          <w:bCs/>
          <w:highlight w:val="yellow"/>
        </w:rPr>
      </w:pPr>
      <w:r>
        <w:rPr>
          <w:b/>
          <w:bCs/>
          <w:highlight w:val="none"/>
        </w:rPr>
        <w:t xml:space="preserve">BIÊN BẢN KHẢO SÁT</w:t>
      </w:r>
      <w:r>
        <w:rPr>
          <w:b/>
          <w:bCs/>
          <w:highlight w:val="yellow"/>
        </w:rPr>
      </w:r>
      <w:r>
        <w:rPr>
          <w:b/>
          <w:bCs/>
          <w:highlight w:val="yellow"/>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38480"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28"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275/2026/0371/VFI-BC.53.A</w:t>
      </w:r>
      <w:r>
        <w:rPr>
          <w:i/>
          <w:lang w:val="pt-BR"/>
        </w:rPr>
        <w:t xml:space="preserve"> </w:t>
      </w:r>
      <w:r>
        <w:rPr>
          <w:i/>
          <w:lang w:val="pt-BR"/>
        </w:rPr>
        <w:t xml:space="preserve">ngày 09 tháng 3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0983.781891</w:t>
            </w:r>
            <w:r>
              <w:rPr>
                <w:sz w:val="22"/>
                <w:szCs w:val="22"/>
              </w:rPr>
              <w:t xml:space="preserve"> </w:t>
            </w:r>
            <w:r>
              <w:rPr>
                <w:sz w:val="22"/>
                <w:szCs w:val="22"/>
              </w:rPr>
              <w:br/>
              <w:t xml:space="preserve">(A.Tú</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Cầu Giấy, Thành phố Hà Nội,</w:t>
            </w:r>
            <w:r>
              <w:rPr>
                <w:color w:val="000000" w:themeColor="text1"/>
                <w:sz w:val="22"/>
                <w:szCs w:val="22"/>
              </w:rPr>
              <w:t xml:space="preserve"> độ rộng đường trước mặt tài sản 2m, Cách đường Nguyễn Phong Sắc khoảng 30m, mặt tiền 3m, 21.038749542335225, 105.7899505050021</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245440" cy="273631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311744296" name="" descr=""/>
                              <pic:cNvPicPr/>
                              <pic:nvPr/>
                            </pic:nvPicPr>
                            <pic:blipFill rotWithShape="1">
                              <a:blip r:embed="rId29"/>
                              <a:stretch/>
                            </pic:blipFill>
                            <pic:spPr bwMode="auto">
                              <a:xfrm flipH="0" flipV="0">
                                <a:off x="0" y="0"/>
                                <a:ext cx="5245438" cy="27363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13.03pt;height:215.46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826215"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680488603" name="" descr=""/>
                              <pic:cNvPicPr/>
                              <pic:nvPr/>
                            </pic:nvPicPr>
                            <pic:blipFill rotWithShape="1">
                              <a:blip r:embed="rId30"/>
                              <a:stretch/>
                            </pic:blipFill>
                            <pic:spPr bwMode="auto">
                              <a:xfrm flipH="0" flipV="0">
                                <a:off x="0" y="0"/>
                                <a:ext cx="382621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01.28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r>
            <w:r/>
            <w:r>
              <w:rPr>
                <w:color w:val="000000"/>
                <w:sz w:val="22"/>
                <w:szCs w:val="22"/>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https://www.facebook.com/share/p/1CSyaSoW9Q/</w:t>
            </w:r>
            <w:r>
              <w:rPr>
                <w:color w:val="000000" w:themeColor="text1"/>
                <w:sz w:val="22"/>
                <w:szCs w:val="22"/>
              </w:rPr>
              <w:br/>
              <w:t xml:space="preserve">0975.859886</w:t>
            </w:r>
            <w:r>
              <w:rPr>
                <w:sz w:val="22"/>
                <w:szCs w:val="22"/>
              </w:rPr>
              <w:t xml:space="preserve"> </w:t>
            </w:r>
            <w:r>
              <w:rPr>
                <w:sz w:val="22"/>
                <w:szCs w:val="22"/>
              </w:rPr>
              <w:br/>
              <w:t xml:space="preserve">(A.Trường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13.050.000.000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yellow"/>
              </w:rPr>
            </w:pPr>
            <w:r>
              <w:rPr>
                <w:color w:val="000000" w:themeColor="text1"/>
                <w:sz w:val="22"/>
                <w:szCs w:val="22"/>
                <w:highlight w:val="none"/>
              </w:rPr>
              <w:t xml:space="preserve">Đang giao dịch</w:t>
            </w:r>
            <w:r>
              <w:rPr>
                <w:sz w:val="22"/>
                <w:szCs w:val="22"/>
                <w:highlight w:val="yellow"/>
              </w:rPr>
            </w:r>
            <w:r>
              <w:rPr>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Cầu Giấy, Thành phố Hà Nội,</w:t>
            </w:r>
            <w:r>
              <w:rPr>
                <w:color w:val="000000" w:themeColor="text1"/>
                <w:sz w:val="22"/>
                <w:szCs w:val="22"/>
              </w:rPr>
              <w:t xml:space="preserve"> khoảng cách ra đường chính 100m, độ rộng đường trước mặt tài sản 2,5m, mặt tiền 4m, 21.0337512517456, 105.78666666666665</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Các thông tin khác</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Trước nhà có lát gạch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59765" cy="3051062"/>
                      <wp:effectExtent l="0" t="0" r="0" b="0"/>
                      <wp:docPr id="18" name=""/>
                      <wp:cNvGraphicFramePr/>
                      <a:graphic xmlns:a="http://schemas.openxmlformats.org/drawingml/2006/main">
                        <a:graphicData uri="http://schemas.openxmlformats.org/drawingml/2006/picture">
                          <pic:pic xmlns:pic="http://schemas.openxmlformats.org/drawingml/2006/picture">
                            <pic:nvPicPr>
                              <pic:cNvPr id="349839211" name="" descr=""/>
                              <pic:cNvPicPr/>
                              <pic:nvPr/>
                            </pic:nvPicPr>
                            <pic:blipFill rotWithShape="1">
                              <a:blip r:embed="rId31"/>
                              <a:stretch/>
                            </pic:blipFill>
                            <pic:spPr bwMode="auto">
                              <a:xfrm flipH="0" flipV="0">
                                <a:off x="0" y="0"/>
                                <a:ext cx="5559764" cy="305106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37.78pt;height:240.24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92740" cy="3224085"/>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692739" cy="32240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2.03pt;height:253.86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03527"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212629545" name="" descr=""/>
                              <pic:cNvPicPr/>
                              <pic:nvPr/>
                            </pic:nvPicPr>
                            <pic:blipFill rotWithShape="1">
                              <a:blip r:embed="rId33"/>
                              <a:stretch/>
                            </pic:blipFill>
                            <pic:spPr bwMode="auto">
                              <a:xfrm flipH="0" flipV="0">
                                <a:off x="0" y="0"/>
                                <a:ext cx="2803526"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20.75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r>
            <w:r>
              <w:rPr>
                <w:b/>
                <w:bCs/>
                <w:sz w:val="22"/>
                <w:szCs w:val="22"/>
              </w:rPr>
            </w:r>
            <w:r>
              <w:rPr>
                <w:b/>
                <w:bCs/>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https://www.facebook.com/share/p/1GpTyK5yRt/</w:t>
            </w:r>
            <w:r>
              <w:rPr>
                <w:color w:val="000000" w:themeColor="text1"/>
                <w:sz w:val="22"/>
                <w:szCs w:val="22"/>
              </w:rPr>
              <w:br/>
            </w:r>
            <w:r>
              <w:rPr>
                <w:sz w:val="22"/>
                <w:szCs w:val="22"/>
              </w:rPr>
              <w:t xml:space="preserve">SĐT: </w:t>
            </w:r>
            <w:r>
              <w:rPr>
                <w:color w:val="000000" w:themeColor="text1"/>
                <w:sz w:val="22"/>
                <w:szCs w:val="22"/>
              </w:rPr>
              <w:t xml:space="preserve">0815.155777</w:t>
            </w:r>
            <w:r>
              <w:rPr>
                <w:sz w:val="22"/>
                <w:szCs w:val="22"/>
              </w:rPr>
              <w:t xml:space="preserve"> </w:t>
            </w:r>
            <w:r>
              <w:rPr>
                <w:sz w:val="22"/>
                <w:szCs w:val="22"/>
              </w:rPr>
              <w:br/>
              <w:t xml:space="preserve">(A.Hùng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13.950.000.000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yellow"/>
              </w:rPr>
            </w:pPr>
            <w:r>
              <w:rPr>
                <w:color w:val="000000" w:themeColor="text1"/>
                <w:sz w:val="22"/>
                <w:szCs w:val="22"/>
              </w:rPr>
              <w:t xml:space="preserve">Thán</w:t>
            </w:r>
            <w:r>
              <w:rPr>
                <w:color w:val="000000" w:themeColor="text1"/>
                <w:sz w:val="22"/>
                <w:szCs w:val="22"/>
                <w:highlight w:val="white"/>
              </w:rPr>
              <w:t xml:space="preserve">g 3/2026</w:t>
            </w:r>
            <w:r>
              <w:rPr>
                <w:sz w:val="22"/>
                <w:szCs w:val="22"/>
                <w:highlight w:val="yellow"/>
              </w:rPr>
            </w:r>
            <w:r>
              <w:rPr>
                <w:sz w:val="22"/>
                <w:szCs w:val="22"/>
                <w:highlight w:val="yellow"/>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Phường Cầu Giấy, Thành phố Hà Nội,</w:t>
            </w:r>
            <w:r>
              <w:rPr>
                <w:color w:val="000000" w:themeColor="text1"/>
                <w:sz w:val="22"/>
                <w:szCs w:val="22"/>
              </w:rPr>
              <w:t xml:space="preserve"> khoảng cách ra đường chính 100m, độ rộng đường trước mặt tài sản 3m, mặt tiền 3,8m, 21.03300309250625, 105.78668040029208</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59765" cy="3608818"/>
                      <wp:effectExtent l="0" t="0" r="0" b="0"/>
                      <wp:docPr id="21" name=""/>
                      <wp:cNvGraphicFramePr/>
                      <a:graphic xmlns:a="http://schemas.openxmlformats.org/drawingml/2006/main">
                        <a:graphicData uri="http://schemas.openxmlformats.org/drawingml/2006/picture">
                          <pic:pic xmlns:pic="http://schemas.openxmlformats.org/drawingml/2006/picture">
                            <pic:nvPicPr>
                              <pic:cNvPr id="1512158296" name="" descr=""/>
                              <pic:cNvPicPr/>
                              <pic:nvPr/>
                            </pic:nvPicPr>
                            <pic:blipFill rotWithShape="1">
                              <a:blip r:embed="rId34"/>
                              <a:stretch/>
                            </pic:blipFill>
                            <pic:spPr bwMode="auto">
                              <a:xfrm flipH="0" flipV="0">
                                <a:off x="0" y="0"/>
                                <a:ext cx="5559764" cy="360881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37.78pt;height:284.16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68940" cy="3027793"/>
                      <wp:effectExtent l="0" t="0" r="0" b="0"/>
                      <wp:docPr id="22" name=""/>
                      <wp:cNvGraphicFramePr/>
                      <a:graphic xmlns:a="http://schemas.openxmlformats.org/drawingml/2006/main">
                        <a:graphicData uri="http://schemas.openxmlformats.org/drawingml/2006/picture">
                          <pic:pic xmlns:pic="http://schemas.openxmlformats.org/drawingml/2006/picture">
                            <pic:nvPicPr>
                              <pic:cNvPr id="1359235033" name="" descr=""/>
                              <pic:cNvPicPr/>
                              <pic:nvPr/>
                            </pic:nvPicPr>
                            <pic:blipFill rotWithShape="1">
                              <a:blip r:embed="rId35"/>
                              <a:stretch/>
                            </pic:blipFill>
                            <pic:spPr bwMode="auto">
                              <a:xfrm rot="0" flipH="0" flipV="0">
                                <a:off x="0" y="0"/>
                                <a:ext cx="2768939" cy="302779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8.03pt;height:238.41pt;mso-wrap-distance-left:0.00pt;mso-wrap-distance-top:0.00pt;mso-wrap-distance-right:0.00pt;mso-wrap-distance-bottom:0.00pt;rotation:0;z-index:1;" stroked="false">
                      <v:imagedata r:id="rId35"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val="0"/>
                <w:bCs w:val="0"/>
              </w:rPr>
            </w:pPr>
            <w:r>
              <w:rPr>
                <w:b w:val="0"/>
                <w:bCs w:val="0"/>
              </w:rPr>
              <w:t xml:space="preserve">Nguyễn Khánh Hà</w:t>
            </w:r>
            <w:r>
              <w:rPr>
                <w:b w:val="0"/>
                <w:bCs w:val="0"/>
              </w:rPr>
            </w:r>
            <w:r>
              <w:rPr>
                <w:b w:val="0"/>
                <w:bCs w:val="0"/>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0DA1F17"/>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2">
    <w:nsid w:val="1230BDC5"/>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3">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4">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5">
    <w:name w:val="Table Grid Light"/>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1"/>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2"/>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3"/>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Plain Table 4"/>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Plain Table 5"/>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w:basedOn w:val="102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w:basedOn w:val="102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1"/>
    <w:basedOn w:val="102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2"/>
    <w:basedOn w:val="102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3"/>
    <w:basedOn w:val="102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4"/>
    <w:basedOn w:val="102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 Accent 5"/>
    <w:basedOn w:val="102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6"/>
    <w:basedOn w:val="102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Accent 1"/>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2"/>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3"/>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Accent 4"/>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 Accent 5"/>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 Accent 6"/>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7">
    <w:name w:val="Grid Table 6 Colorful - Accent 1"/>
    <w:basedOn w:val="102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8">
    <w:name w:val="Grid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9">
    <w:name w:val="Grid Table 6 Colorful - Accent 3"/>
    <w:basedOn w:val="102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0">
    <w:name w:val="Grid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1">
    <w:name w:val="Grid Table 6 Colorful - Accent 5"/>
    <w:basedOn w:val="102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2">
    <w:name w:val="Grid Table 6 Colorful - Accent 6"/>
    <w:basedOn w:val="102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3">
    <w:name w:val="Grid Table 7 Colorful"/>
    <w:basedOn w:val="102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1"/>
    <w:basedOn w:val="102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7 Colorful - Accent 5"/>
    <w:basedOn w:val="102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6"/>
    <w:basedOn w:val="102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1"/>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2"/>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3"/>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4"/>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5"/>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6"/>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w:basedOn w:val="102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1"/>
    <w:basedOn w:val="102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2"/>
    <w:basedOn w:val="102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3"/>
    <w:basedOn w:val="102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4"/>
    <w:basedOn w:val="102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5"/>
    <w:basedOn w:val="102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6"/>
    <w:basedOn w:val="102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1"/>
    <w:basedOn w:val="102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3"/>
    <w:basedOn w:val="102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5"/>
    <w:basedOn w:val="102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6"/>
    <w:basedOn w:val="102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1"/>
    <w:basedOn w:val="102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2"/>
    <w:basedOn w:val="102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3"/>
    <w:basedOn w:val="102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4"/>
    <w:basedOn w:val="102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5"/>
    <w:basedOn w:val="102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6"/>
    <w:basedOn w:val="102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5 Dark"/>
    <w:basedOn w:val="102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1"/>
    <w:basedOn w:val="102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2"/>
    <w:basedOn w:val="102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3"/>
    <w:basedOn w:val="102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4"/>
    <w:basedOn w:val="102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5"/>
    <w:basedOn w:val="102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6"/>
    <w:basedOn w:val="102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1"/>
    <w:basedOn w:val="102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3"/>
    <w:basedOn w:val="102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6 Colorful - Accent 5"/>
    <w:basedOn w:val="102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6"/>
    <w:basedOn w:val="102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7 Colorful"/>
    <w:basedOn w:val="102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3">
    <w:name w:val="List Table 7 Colorful - Accent 1"/>
    <w:basedOn w:val="102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4">
    <w:name w:val="List Table 7 Colorful - Accent 2"/>
    <w:basedOn w:val="102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5">
    <w:name w:val="List Table 7 Colorful - Accent 3"/>
    <w:basedOn w:val="102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6">
    <w:name w:val="List Table 7 Colorful - Accent 4"/>
    <w:basedOn w:val="102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7">
    <w:name w:val="List Table 7 Colorful - Accent 5"/>
    <w:basedOn w:val="102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8">
    <w:name w:val="List Table 7 Colorful - Accent 6"/>
    <w:basedOn w:val="102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9">
    <w:name w:val="Lined - Accent"/>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1"/>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2"/>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3"/>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4"/>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ned - Accent 5"/>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6"/>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w:basedOn w:val="102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1"/>
    <w:basedOn w:val="102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2"/>
    <w:basedOn w:val="102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3"/>
    <w:basedOn w:val="102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4"/>
    <w:basedOn w:val="102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5"/>
    <w:basedOn w:val="102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6"/>
    <w:basedOn w:val="102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w:basedOn w:val="102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0">
    <w:name w:val="Heading 5"/>
    <w:basedOn w:val="1021"/>
    <w:next w:val="1021"/>
    <w:link w:val="98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1">
    <w:name w:val="Heading 6"/>
    <w:basedOn w:val="1021"/>
    <w:next w:val="1021"/>
    <w:link w:val="98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2">
    <w:name w:val="Heading 7"/>
    <w:basedOn w:val="1021"/>
    <w:next w:val="1021"/>
    <w:link w:val="98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3">
    <w:name w:val="Heading 8"/>
    <w:basedOn w:val="1021"/>
    <w:next w:val="1021"/>
    <w:link w:val="98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4">
    <w:name w:val="Heading 9"/>
    <w:basedOn w:val="1021"/>
    <w:next w:val="1021"/>
    <w:link w:val="98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5">
    <w:name w:val="Heading 5 Char"/>
    <w:basedOn w:val="1026"/>
    <w:link w:val="980"/>
    <w:uiPriority w:val="9"/>
    <w:pPr>
      <w:pBdr/>
      <w:spacing/>
      <w:ind/>
    </w:pPr>
    <w:rPr>
      <w:rFonts w:ascii="Arial" w:hAnsi="Arial" w:eastAsia="Arial" w:cs="Arial"/>
      <w:color w:val="0f4761" w:themeColor="accent1" w:themeShade="BF"/>
    </w:rPr>
  </w:style>
  <w:style w:type="character" w:styleId="986">
    <w:name w:val="Heading 6 Char"/>
    <w:basedOn w:val="1026"/>
    <w:link w:val="981"/>
    <w:uiPriority w:val="9"/>
    <w:pPr>
      <w:pBdr/>
      <w:spacing/>
      <w:ind/>
    </w:pPr>
    <w:rPr>
      <w:rFonts w:ascii="Arial" w:hAnsi="Arial" w:eastAsia="Arial" w:cs="Arial"/>
      <w:i/>
      <w:iCs/>
      <w:color w:val="595959" w:themeColor="text1" w:themeTint="A6"/>
    </w:rPr>
  </w:style>
  <w:style w:type="character" w:styleId="987">
    <w:name w:val="Heading 7 Char"/>
    <w:basedOn w:val="1026"/>
    <w:link w:val="982"/>
    <w:uiPriority w:val="9"/>
    <w:pPr>
      <w:pBdr/>
      <w:spacing/>
      <w:ind/>
    </w:pPr>
    <w:rPr>
      <w:rFonts w:ascii="Arial" w:hAnsi="Arial" w:eastAsia="Arial" w:cs="Arial"/>
      <w:color w:val="595959" w:themeColor="text1" w:themeTint="A6"/>
    </w:rPr>
  </w:style>
  <w:style w:type="character" w:styleId="988">
    <w:name w:val="Heading 8 Char"/>
    <w:basedOn w:val="1026"/>
    <w:link w:val="983"/>
    <w:uiPriority w:val="9"/>
    <w:pPr>
      <w:pBdr/>
      <w:spacing/>
      <w:ind/>
    </w:pPr>
    <w:rPr>
      <w:rFonts w:ascii="Arial" w:hAnsi="Arial" w:eastAsia="Arial" w:cs="Arial"/>
      <w:i/>
      <w:iCs/>
      <w:color w:val="272727" w:themeColor="text1" w:themeTint="D8"/>
    </w:rPr>
  </w:style>
  <w:style w:type="character" w:styleId="989">
    <w:name w:val="Heading 9 Char"/>
    <w:basedOn w:val="1026"/>
    <w:link w:val="984"/>
    <w:uiPriority w:val="9"/>
    <w:pPr>
      <w:pBdr/>
      <w:spacing/>
      <w:ind/>
    </w:pPr>
    <w:rPr>
      <w:rFonts w:ascii="Arial" w:hAnsi="Arial" w:eastAsia="Arial" w:cs="Arial"/>
      <w:i/>
      <w:iCs/>
      <w:color w:val="272727" w:themeColor="text1" w:themeTint="D8"/>
    </w:rPr>
  </w:style>
  <w:style w:type="paragraph" w:styleId="990">
    <w:name w:val="Subtitle"/>
    <w:basedOn w:val="1021"/>
    <w:next w:val="1021"/>
    <w:link w:val="991"/>
    <w:uiPriority w:val="11"/>
    <w:qFormat/>
    <w:pPr>
      <w:numPr>
        <w:ilvl w:val="1"/>
      </w:numPr>
      <w:pBdr/>
      <w:spacing/>
      <w:ind/>
    </w:pPr>
    <w:rPr>
      <w:color w:val="595959" w:themeColor="text1" w:themeTint="A6"/>
      <w:spacing w:val="15"/>
      <w:sz w:val="28"/>
      <w:szCs w:val="28"/>
    </w:rPr>
  </w:style>
  <w:style w:type="character" w:styleId="991">
    <w:name w:val="Subtitle Char"/>
    <w:basedOn w:val="1026"/>
    <w:link w:val="990"/>
    <w:uiPriority w:val="11"/>
    <w:pPr>
      <w:pBdr/>
      <w:spacing/>
      <w:ind/>
    </w:pPr>
    <w:rPr>
      <w:color w:val="595959" w:themeColor="text1" w:themeTint="A6"/>
      <w:spacing w:val="15"/>
      <w:sz w:val="28"/>
      <w:szCs w:val="28"/>
    </w:rPr>
  </w:style>
  <w:style w:type="paragraph" w:styleId="992">
    <w:name w:val="Quote"/>
    <w:basedOn w:val="1021"/>
    <w:next w:val="1021"/>
    <w:link w:val="993"/>
    <w:uiPriority w:val="29"/>
    <w:qFormat/>
    <w:pPr>
      <w:pBdr/>
      <w:spacing w:before="160"/>
      <w:ind/>
      <w:jc w:val="center"/>
    </w:pPr>
    <w:rPr>
      <w:i/>
      <w:iCs/>
      <w:color w:val="404040" w:themeColor="text1" w:themeTint="BF"/>
    </w:rPr>
  </w:style>
  <w:style w:type="character" w:styleId="993">
    <w:name w:val="Quote Char"/>
    <w:basedOn w:val="1026"/>
    <w:link w:val="992"/>
    <w:uiPriority w:val="29"/>
    <w:pPr>
      <w:pBdr/>
      <w:spacing/>
      <w:ind/>
    </w:pPr>
    <w:rPr>
      <w:i/>
      <w:iCs/>
      <w:color w:val="404040" w:themeColor="text1" w:themeTint="BF"/>
    </w:rPr>
  </w:style>
  <w:style w:type="character" w:styleId="994">
    <w:name w:val="Intense Emphasis"/>
    <w:basedOn w:val="1026"/>
    <w:uiPriority w:val="21"/>
    <w:qFormat/>
    <w:pPr>
      <w:pBdr/>
      <w:spacing/>
      <w:ind/>
    </w:pPr>
    <w:rPr>
      <w:i/>
      <w:iCs/>
      <w:color w:val="0f4761" w:themeColor="accent1" w:themeShade="BF"/>
    </w:rPr>
  </w:style>
  <w:style w:type="paragraph" w:styleId="995">
    <w:name w:val="Intense Quote"/>
    <w:basedOn w:val="1021"/>
    <w:next w:val="1021"/>
    <w:link w:val="99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6">
    <w:name w:val="Intense Quote Char"/>
    <w:basedOn w:val="1026"/>
    <w:link w:val="995"/>
    <w:uiPriority w:val="30"/>
    <w:pPr>
      <w:pBdr/>
      <w:spacing/>
      <w:ind/>
    </w:pPr>
    <w:rPr>
      <w:i/>
      <w:iCs/>
      <w:color w:val="0f4761" w:themeColor="accent1" w:themeShade="BF"/>
    </w:rPr>
  </w:style>
  <w:style w:type="character" w:styleId="997">
    <w:name w:val="Intense Reference"/>
    <w:basedOn w:val="1026"/>
    <w:uiPriority w:val="32"/>
    <w:qFormat/>
    <w:pPr>
      <w:pBdr/>
      <w:spacing/>
      <w:ind/>
    </w:pPr>
    <w:rPr>
      <w:b/>
      <w:bCs/>
      <w:smallCaps/>
      <w:color w:val="0f4761" w:themeColor="accent1" w:themeShade="BF"/>
      <w:spacing w:val="5"/>
    </w:rPr>
  </w:style>
  <w:style w:type="paragraph" w:styleId="998">
    <w:name w:val="No Spacing"/>
    <w:basedOn w:val="1021"/>
    <w:uiPriority w:val="1"/>
    <w:qFormat/>
    <w:pPr>
      <w:pBdr/>
      <w:spacing w:after="0" w:line="240" w:lineRule="auto"/>
      <w:ind/>
    </w:pPr>
  </w:style>
  <w:style w:type="character" w:styleId="999">
    <w:name w:val="Subtle Emphasis"/>
    <w:basedOn w:val="1026"/>
    <w:uiPriority w:val="19"/>
    <w:qFormat/>
    <w:pPr>
      <w:pBdr/>
      <w:spacing/>
      <w:ind/>
    </w:pPr>
    <w:rPr>
      <w:i/>
      <w:iCs/>
      <w:color w:val="404040" w:themeColor="text1" w:themeTint="BF"/>
    </w:rPr>
  </w:style>
  <w:style w:type="character" w:styleId="1000">
    <w:name w:val="Subtle Reference"/>
    <w:basedOn w:val="1026"/>
    <w:uiPriority w:val="31"/>
    <w:qFormat/>
    <w:pPr>
      <w:pBdr/>
      <w:spacing/>
      <w:ind/>
    </w:pPr>
    <w:rPr>
      <w:smallCaps/>
      <w:color w:val="5a5a5a" w:themeColor="text1" w:themeTint="A5"/>
    </w:rPr>
  </w:style>
  <w:style w:type="character" w:styleId="1001">
    <w:name w:val="Book Title"/>
    <w:basedOn w:val="1026"/>
    <w:uiPriority w:val="33"/>
    <w:qFormat/>
    <w:pPr>
      <w:pBdr/>
      <w:spacing/>
      <w:ind/>
    </w:pPr>
    <w:rPr>
      <w:b/>
      <w:bCs/>
      <w:i/>
      <w:iCs/>
      <w:spacing w:val="5"/>
    </w:rPr>
  </w:style>
  <w:style w:type="paragraph" w:styleId="1002">
    <w:name w:val="Caption"/>
    <w:basedOn w:val="1021"/>
    <w:next w:val="1021"/>
    <w:uiPriority w:val="35"/>
    <w:unhideWhenUsed/>
    <w:qFormat/>
    <w:pPr>
      <w:pBdr/>
      <w:spacing w:after="200" w:line="240" w:lineRule="auto"/>
      <w:ind/>
    </w:pPr>
    <w:rPr>
      <w:i/>
      <w:iCs/>
      <w:color w:val="0e2841" w:themeColor="text2"/>
      <w:sz w:val="18"/>
      <w:szCs w:val="18"/>
    </w:rPr>
  </w:style>
  <w:style w:type="paragraph" w:styleId="1003">
    <w:name w:val="footnote text"/>
    <w:basedOn w:val="1021"/>
    <w:link w:val="1004"/>
    <w:uiPriority w:val="99"/>
    <w:semiHidden/>
    <w:unhideWhenUsed/>
    <w:pPr>
      <w:pBdr/>
      <w:spacing w:after="0" w:line="240" w:lineRule="auto"/>
      <w:ind/>
    </w:pPr>
    <w:rPr>
      <w:sz w:val="20"/>
      <w:szCs w:val="20"/>
    </w:rPr>
  </w:style>
  <w:style w:type="character" w:styleId="1004">
    <w:name w:val="Footnote Text Char"/>
    <w:basedOn w:val="1026"/>
    <w:link w:val="1003"/>
    <w:uiPriority w:val="99"/>
    <w:semiHidden/>
    <w:pPr>
      <w:pBdr/>
      <w:spacing/>
      <w:ind/>
    </w:pPr>
    <w:rPr>
      <w:sz w:val="20"/>
      <w:szCs w:val="20"/>
    </w:rPr>
  </w:style>
  <w:style w:type="character" w:styleId="1005">
    <w:name w:val="footnote reference"/>
    <w:basedOn w:val="1026"/>
    <w:uiPriority w:val="99"/>
    <w:semiHidden/>
    <w:unhideWhenUsed/>
    <w:pPr>
      <w:pBdr/>
      <w:spacing/>
      <w:ind/>
    </w:pPr>
    <w:rPr>
      <w:vertAlign w:val="superscript"/>
    </w:rPr>
  </w:style>
  <w:style w:type="paragraph" w:styleId="1006">
    <w:name w:val="endnote text"/>
    <w:basedOn w:val="1021"/>
    <w:link w:val="1007"/>
    <w:uiPriority w:val="99"/>
    <w:semiHidden/>
    <w:unhideWhenUsed/>
    <w:pPr>
      <w:pBdr/>
      <w:spacing w:after="0" w:line="240" w:lineRule="auto"/>
      <w:ind/>
    </w:pPr>
    <w:rPr>
      <w:sz w:val="20"/>
      <w:szCs w:val="20"/>
    </w:rPr>
  </w:style>
  <w:style w:type="character" w:styleId="1007">
    <w:name w:val="Endnote Text Char"/>
    <w:basedOn w:val="1026"/>
    <w:link w:val="1006"/>
    <w:uiPriority w:val="99"/>
    <w:semiHidden/>
    <w:pPr>
      <w:pBdr/>
      <w:spacing/>
      <w:ind/>
    </w:pPr>
    <w:rPr>
      <w:sz w:val="20"/>
      <w:szCs w:val="20"/>
    </w:rPr>
  </w:style>
  <w:style w:type="character" w:styleId="1008">
    <w:name w:val="endnote reference"/>
    <w:basedOn w:val="1026"/>
    <w:uiPriority w:val="99"/>
    <w:semiHidden/>
    <w:unhideWhenUsed/>
    <w:pPr>
      <w:pBdr/>
      <w:spacing/>
      <w:ind/>
    </w:pPr>
    <w:rPr>
      <w:vertAlign w:val="superscript"/>
    </w:rPr>
  </w:style>
  <w:style w:type="paragraph" w:styleId="1009">
    <w:name w:val="toc 1"/>
    <w:basedOn w:val="1021"/>
    <w:next w:val="1021"/>
    <w:uiPriority w:val="39"/>
    <w:unhideWhenUsed/>
    <w:pPr>
      <w:pBdr/>
      <w:spacing w:after="100"/>
      <w:ind/>
    </w:pPr>
  </w:style>
  <w:style w:type="paragraph" w:styleId="1010">
    <w:name w:val="toc 2"/>
    <w:basedOn w:val="1021"/>
    <w:next w:val="1021"/>
    <w:uiPriority w:val="39"/>
    <w:unhideWhenUsed/>
    <w:pPr>
      <w:pBdr/>
      <w:spacing w:after="100"/>
      <w:ind w:left="220"/>
    </w:pPr>
  </w:style>
  <w:style w:type="paragraph" w:styleId="1011">
    <w:name w:val="toc 3"/>
    <w:basedOn w:val="1021"/>
    <w:next w:val="1021"/>
    <w:uiPriority w:val="39"/>
    <w:unhideWhenUsed/>
    <w:pPr>
      <w:pBdr/>
      <w:spacing w:after="100"/>
      <w:ind w:left="440"/>
    </w:pPr>
  </w:style>
  <w:style w:type="paragraph" w:styleId="1012">
    <w:name w:val="toc 4"/>
    <w:basedOn w:val="1021"/>
    <w:next w:val="1021"/>
    <w:uiPriority w:val="39"/>
    <w:unhideWhenUsed/>
    <w:pPr>
      <w:pBdr/>
      <w:spacing w:after="100"/>
      <w:ind w:left="660"/>
    </w:pPr>
  </w:style>
  <w:style w:type="paragraph" w:styleId="1013">
    <w:name w:val="toc 5"/>
    <w:basedOn w:val="1021"/>
    <w:next w:val="1021"/>
    <w:uiPriority w:val="39"/>
    <w:unhideWhenUsed/>
    <w:pPr>
      <w:pBdr/>
      <w:spacing w:after="100"/>
      <w:ind w:left="880"/>
    </w:pPr>
  </w:style>
  <w:style w:type="paragraph" w:styleId="1014">
    <w:name w:val="toc 6"/>
    <w:basedOn w:val="1021"/>
    <w:next w:val="1021"/>
    <w:uiPriority w:val="39"/>
    <w:unhideWhenUsed/>
    <w:pPr>
      <w:pBdr/>
      <w:spacing w:after="100"/>
      <w:ind w:left="1100"/>
    </w:pPr>
  </w:style>
  <w:style w:type="paragraph" w:styleId="1015">
    <w:name w:val="toc 7"/>
    <w:basedOn w:val="1021"/>
    <w:next w:val="1021"/>
    <w:uiPriority w:val="39"/>
    <w:unhideWhenUsed/>
    <w:pPr>
      <w:pBdr/>
      <w:spacing w:after="100"/>
      <w:ind w:left="1320"/>
    </w:pPr>
  </w:style>
  <w:style w:type="paragraph" w:styleId="1016">
    <w:name w:val="toc 8"/>
    <w:basedOn w:val="1021"/>
    <w:next w:val="1021"/>
    <w:uiPriority w:val="39"/>
    <w:unhideWhenUsed/>
    <w:pPr>
      <w:pBdr/>
      <w:spacing w:after="100"/>
      <w:ind w:left="1540"/>
    </w:pPr>
  </w:style>
  <w:style w:type="paragraph" w:styleId="1017">
    <w:name w:val="toc 9"/>
    <w:basedOn w:val="1021"/>
    <w:next w:val="1021"/>
    <w:uiPriority w:val="39"/>
    <w:unhideWhenUsed/>
    <w:pPr>
      <w:pBdr/>
      <w:spacing w:after="100"/>
      <w:ind w:left="1760"/>
    </w:pPr>
  </w:style>
  <w:style w:type="character" w:styleId="1018">
    <w:name w:val="Placeholder Text"/>
    <w:basedOn w:val="1026"/>
    <w:uiPriority w:val="99"/>
    <w:semiHidden/>
    <w:pPr>
      <w:pBdr/>
      <w:spacing/>
      <w:ind/>
    </w:pPr>
    <w:rPr>
      <w:color w:val="666666"/>
    </w:rPr>
  </w:style>
  <w:style w:type="paragraph" w:styleId="1019">
    <w:name w:val="TOC Heading"/>
    <w:uiPriority w:val="39"/>
    <w:unhideWhenUsed/>
    <w:pPr>
      <w:pBdr/>
      <w:spacing/>
      <w:ind/>
    </w:pPr>
  </w:style>
  <w:style w:type="paragraph" w:styleId="1020">
    <w:name w:val="table of figures"/>
    <w:basedOn w:val="1021"/>
    <w:next w:val="1021"/>
    <w:uiPriority w:val="99"/>
    <w:unhideWhenUsed/>
    <w:pPr>
      <w:pBdr/>
      <w:spacing w:after="0" w:afterAutospacing="0"/>
      <w:ind/>
    </w:pPr>
  </w:style>
  <w:style w:type="paragraph" w:styleId="1021" w:default="1">
    <w:name w:val="Normal"/>
    <w:qFormat/>
    <w:pPr>
      <w:pBdr/>
      <w:spacing w:after="0" w:line="240" w:lineRule="auto"/>
      <w:ind/>
    </w:pPr>
    <w:rPr>
      <w:rFonts w:ascii="Times New Roman" w:hAnsi="Times New Roman" w:eastAsia="Times New Roman" w:cs="Times New Roman"/>
      <w:sz w:val="24"/>
      <w:szCs w:val="24"/>
    </w:rPr>
  </w:style>
  <w:style w:type="paragraph" w:styleId="1022">
    <w:name w:val="Heading 1"/>
    <w:basedOn w:val="1021"/>
    <w:next w:val="1021"/>
    <w:link w:val="1029"/>
    <w:qFormat/>
    <w:pPr>
      <w:keepNext w:val="true"/>
      <w:pBdr/>
      <w:spacing w:after="120" w:before="120"/>
      <w:ind/>
      <w:jc w:val="center"/>
      <w:outlineLvl w:val="0"/>
    </w:pPr>
    <w:rPr>
      <w:b/>
      <w:bCs/>
      <w:sz w:val="27"/>
      <w:szCs w:val="27"/>
    </w:rPr>
  </w:style>
  <w:style w:type="paragraph" w:styleId="1023">
    <w:name w:val="Heading 2"/>
    <w:basedOn w:val="1021"/>
    <w:next w:val="1021"/>
    <w:link w:val="103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4">
    <w:name w:val="Heading 3"/>
    <w:basedOn w:val="1021"/>
    <w:next w:val="1021"/>
    <w:link w:val="1031"/>
    <w:qFormat/>
    <w:pPr>
      <w:keepNext w:val="true"/>
      <w:pBdr/>
      <w:spacing w:before="60"/>
      <w:ind/>
      <w:outlineLvl w:val="2"/>
    </w:pPr>
    <w:rPr>
      <w:sz w:val="28"/>
      <w:szCs w:val="28"/>
    </w:rPr>
  </w:style>
  <w:style w:type="paragraph" w:styleId="1025">
    <w:name w:val="Heading 4"/>
    <w:basedOn w:val="1021"/>
    <w:next w:val="1021"/>
    <w:link w:val="1032"/>
    <w:qFormat/>
    <w:pPr>
      <w:keepNext w:val="true"/>
      <w:pBdr/>
      <w:spacing/>
      <w:ind/>
      <w:jc w:val="center"/>
      <w:outlineLvl w:val="3"/>
    </w:pPr>
    <w:rPr>
      <w:b/>
      <w:bCs/>
    </w:rPr>
  </w:style>
  <w:style w:type="character" w:styleId="1026" w:default="1">
    <w:name w:val="Default Paragraph Font"/>
    <w:uiPriority w:val="1"/>
    <w:semiHidden/>
    <w:unhideWhenUsed/>
    <w:pPr>
      <w:pBdr/>
      <w:spacing/>
      <w:ind/>
    </w:pPr>
  </w:style>
  <w:style w:type="table" w:styleId="102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8" w:default="1">
    <w:name w:val="No List"/>
    <w:uiPriority w:val="99"/>
    <w:semiHidden/>
    <w:unhideWhenUsed/>
    <w:pPr>
      <w:pBdr/>
      <w:spacing/>
      <w:ind/>
    </w:pPr>
  </w:style>
  <w:style w:type="character" w:styleId="1029" w:customStyle="1">
    <w:name w:val="Heading 1 Char"/>
    <w:basedOn w:val="1026"/>
    <w:link w:val="1022"/>
    <w:pPr>
      <w:pBdr/>
      <w:spacing/>
      <w:ind/>
    </w:pPr>
    <w:rPr>
      <w:rFonts w:ascii="Times New Roman" w:hAnsi="Times New Roman" w:eastAsia="Times New Roman" w:cs="Times New Roman"/>
      <w:b/>
      <w:bCs/>
      <w:sz w:val="27"/>
      <w:szCs w:val="27"/>
    </w:rPr>
  </w:style>
  <w:style w:type="character" w:styleId="1030" w:customStyle="1">
    <w:name w:val="Heading 2 Char"/>
    <w:basedOn w:val="1026"/>
    <w:link w:val="1023"/>
    <w:uiPriority w:val="9"/>
    <w:pPr>
      <w:pBdr/>
      <w:spacing/>
      <w:ind/>
    </w:pPr>
    <w:rPr>
      <w:rFonts w:asciiTheme="majorHAnsi" w:hAnsiTheme="majorHAnsi" w:eastAsiaTheme="majorEastAsia" w:cstheme="majorBidi"/>
      <w:color w:val="365f91" w:themeColor="accent1" w:themeShade="BF"/>
      <w:sz w:val="26"/>
      <w:szCs w:val="26"/>
    </w:rPr>
  </w:style>
  <w:style w:type="character" w:styleId="1031" w:customStyle="1">
    <w:name w:val="Heading 3 Char"/>
    <w:basedOn w:val="1026"/>
    <w:link w:val="1024"/>
    <w:pPr>
      <w:pBdr/>
      <w:spacing/>
      <w:ind/>
    </w:pPr>
    <w:rPr>
      <w:rFonts w:ascii="Times New Roman" w:hAnsi="Times New Roman" w:eastAsia="Times New Roman" w:cs="Times New Roman"/>
      <w:sz w:val="28"/>
      <w:szCs w:val="28"/>
    </w:rPr>
  </w:style>
  <w:style w:type="character" w:styleId="1032" w:customStyle="1">
    <w:name w:val="Heading 4 Char"/>
    <w:basedOn w:val="1026"/>
    <w:link w:val="1025"/>
    <w:pPr>
      <w:pBdr/>
      <w:spacing/>
      <w:ind/>
    </w:pPr>
    <w:rPr>
      <w:rFonts w:ascii="Times New Roman" w:hAnsi="Times New Roman" w:eastAsia="Times New Roman" w:cs="Times New Roman"/>
      <w:b/>
      <w:bCs/>
      <w:sz w:val="24"/>
      <w:szCs w:val="24"/>
    </w:rPr>
  </w:style>
  <w:style w:type="character" w:styleId="1033">
    <w:name w:val="Hyperlink"/>
    <w:uiPriority w:val="99"/>
    <w:pPr>
      <w:pBdr/>
      <w:spacing/>
      <w:ind/>
    </w:pPr>
    <w:rPr>
      <w:color w:val="000000"/>
      <w:u w:val="single"/>
    </w:rPr>
  </w:style>
  <w:style w:type="character" w:styleId="1034">
    <w:name w:val="Strong"/>
    <w:uiPriority w:val="22"/>
    <w:qFormat/>
    <w:pPr>
      <w:pBdr/>
      <w:spacing/>
      <w:ind/>
    </w:pPr>
    <w:rPr>
      <w:b/>
      <w:bCs/>
    </w:rPr>
  </w:style>
  <w:style w:type="paragraph" w:styleId="1035">
    <w:name w:val="Balloon Text"/>
    <w:basedOn w:val="1021"/>
    <w:link w:val="1036"/>
    <w:uiPriority w:val="99"/>
    <w:semiHidden/>
    <w:unhideWhenUsed/>
    <w:pPr>
      <w:pBdr/>
      <w:spacing/>
      <w:ind/>
    </w:pPr>
    <w:rPr>
      <w:rFonts w:ascii="Tahoma" w:hAnsi="Tahoma" w:cs="Tahoma"/>
      <w:sz w:val="16"/>
      <w:szCs w:val="16"/>
    </w:rPr>
  </w:style>
  <w:style w:type="character" w:styleId="1036" w:customStyle="1">
    <w:name w:val="Balloon Text Char"/>
    <w:basedOn w:val="1026"/>
    <w:link w:val="1035"/>
    <w:uiPriority w:val="99"/>
    <w:semiHidden/>
    <w:pPr>
      <w:pBdr/>
      <w:spacing/>
      <w:ind/>
    </w:pPr>
    <w:rPr>
      <w:rFonts w:ascii="Tahoma" w:hAnsi="Tahoma" w:eastAsia="Times New Roman" w:cs="Tahoma"/>
      <w:sz w:val="16"/>
      <w:szCs w:val="16"/>
    </w:rPr>
  </w:style>
  <w:style w:type="paragraph" w:styleId="1037">
    <w:name w:val="Header"/>
    <w:basedOn w:val="1021"/>
    <w:link w:val="1038"/>
    <w:unhideWhenUsed/>
    <w:pPr>
      <w:pBdr/>
      <w:tabs>
        <w:tab w:val="center" w:leader="none" w:pos="4680"/>
        <w:tab w:val="right" w:leader="none" w:pos="9360"/>
      </w:tabs>
      <w:spacing/>
      <w:ind/>
    </w:pPr>
  </w:style>
  <w:style w:type="character" w:styleId="1038" w:customStyle="1">
    <w:name w:val="Header Char"/>
    <w:basedOn w:val="1026"/>
    <w:link w:val="1037"/>
    <w:pPr>
      <w:pBdr/>
      <w:spacing/>
      <w:ind/>
    </w:pPr>
    <w:rPr>
      <w:rFonts w:ascii="Times New Roman" w:hAnsi="Times New Roman" w:eastAsia="Times New Roman" w:cs="Times New Roman"/>
      <w:sz w:val="24"/>
      <w:szCs w:val="24"/>
    </w:rPr>
  </w:style>
  <w:style w:type="paragraph" w:styleId="1039">
    <w:name w:val="Footer"/>
    <w:basedOn w:val="1021"/>
    <w:link w:val="1040"/>
    <w:uiPriority w:val="99"/>
    <w:unhideWhenUsed/>
    <w:pPr>
      <w:pBdr/>
      <w:tabs>
        <w:tab w:val="center" w:leader="none" w:pos="4680"/>
        <w:tab w:val="right" w:leader="none" w:pos="9360"/>
      </w:tabs>
      <w:spacing/>
      <w:ind/>
    </w:pPr>
  </w:style>
  <w:style w:type="character" w:styleId="1040" w:customStyle="1">
    <w:name w:val="Footer Char"/>
    <w:basedOn w:val="1026"/>
    <w:link w:val="1039"/>
    <w:uiPriority w:val="99"/>
    <w:pPr>
      <w:pBdr/>
      <w:spacing/>
      <w:ind/>
    </w:pPr>
    <w:rPr>
      <w:rFonts w:ascii="Times New Roman" w:hAnsi="Times New Roman" w:eastAsia="Times New Roman" w:cs="Times New Roman"/>
      <w:sz w:val="24"/>
      <w:szCs w:val="24"/>
    </w:rPr>
  </w:style>
  <w:style w:type="character" w:styleId="1041" w:customStyle="1">
    <w:name w:val="normal-h1"/>
    <w:pPr>
      <w:pBdr/>
      <w:spacing/>
      <w:ind/>
    </w:pPr>
    <w:rPr>
      <w:rFonts w:hint="default" w:ascii=".VnTime" w:hAnsi=".VnTime"/>
      <w:color w:val="0000ff"/>
      <w:sz w:val="24"/>
      <w:szCs w:val="24"/>
    </w:rPr>
  </w:style>
  <w:style w:type="paragraph" w:styleId="1042" w:customStyle="1">
    <w:name w:val="normal-p"/>
    <w:basedOn w:val="1021"/>
    <w:pPr>
      <w:pBdr/>
      <w:spacing/>
      <w:ind/>
      <w:jc w:val="both"/>
    </w:pPr>
    <w:rPr>
      <w:sz w:val="20"/>
      <w:szCs w:val="20"/>
    </w:rPr>
  </w:style>
  <w:style w:type="paragraph" w:styleId="1043">
    <w:name w:val="List Paragraph"/>
    <w:basedOn w:val="1021"/>
    <w:link w:val="1130"/>
    <w:uiPriority w:val="34"/>
    <w:qFormat/>
    <w:pPr>
      <w:pBdr/>
      <w:spacing/>
      <w:ind w:left="720"/>
    </w:pPr>
  </w:style>
  <w:style w:type="paragraph" w:styleId="1044">
    <w:name w:val="Normal (Web)"/>
    <w:basedOn w:val="1021"/>
    <w:uiPriority w:val="99"/>
    <w:pPr>
      <w:pBdr/>
      <w:spacing w:after="100" w:afterAutospacing="1" w:before="100" w:beforeAutospacing="1"/>
      <w:ind/>
    </w:pPr>
  </w:style>
  <w:style w:type="paragraph" w:styleId="1045">
    <w:name w:val="Body Text"/>
    <w:basedOn w:val="1021"/>
    <w:link w:val="1046"/>
    <w:pPr>
      <w:pBdr/>
      <w:spacing w:after="120"/>
      <w:ind/>
      <w:jc w:val="both"/>
    </w:pPr>
  </w:style>
  <w:style w:type="character" w:styleId="1046" w:customStyle="1">
    <w:name w:val="Body Text Char"/>
    <w:basedOn w:val="1026"/>
    <w:link w:val="1045"/>
    <w:pPr>
      <w:pBdr/>
      <w:spacing/>
      <w:ind/>
    </w:pPr>
    <w:rPr>
      <w:rFonts w:ascii="Times New Roman" w:hAnsi="Times New Roman" w:eastAsia="Times New Roman" w:cs="Times New Roman"/>
      <w:sz w:val="24"/>
      <w:szCs w:val="24"/>
    </w:rPr>
  </w:style>
  <w:style w:type="table" w:styleId="1047">
    <w:name w:val="Table Grid"/>
    <w:basedOn w:val="102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9">
    <w:name w:val="annotation reference"/>
    <w:basedOn w:val="1026"/>
    <w:uiPriority w:val="99"/>
    <w:semiHidden/>
    <w:unhideWhenUsed/>
    <w:pPr>
      <w:pBdr/>
      <w:spacing/>
      <w:ind/>
    </w:pPr>
    <w:rPr>
      <w:sz w:val="16"/>
      <w:szCs w:val="16"/>
    </w:rPr>
  </w:style>
  <w:style w:type="paragraph" w:styleId="1050">
    <w:name w:val="annotation text"/>
    <w:basedOn w:val="1021"/>
    <w:link w:val="1051"/>
    <w:uiPriority w:val="99"/>
    <w:unhideWhenUsed/>
    <w:pPr>
      <w:pBdr/>
      <w:spacing/>
      <w:ind/>
    </w:pPr>
    <w:rPr>
      <w:sz w:val="20"/>
      <w:szCs w:val="20"/>
    </w:rPr>
  </w:style>
  <w:style w:type="character" w:styleId="1051" w:customStyle="1">
    <w:name w:val="Comment Text Char"/>
    <w:basedOn w:val="1026"/>
    <w:link w:val="1050"/>
    <w:uiPriority w:val="99"/>
    <w:pPr>
      <w:pBdr/>
      <w:spacing/>
      <w:ind/>
    </w:pPr>
    <w:rPr>
      <w:rFonts w:ascii="Times New Roman" w:hAnsi="Times New Roman" w:eastAsia="Times New Roman" w:cs="Times New Roman"/>
      <w:sz w:val="20"/>
      <w:szCs w:val="20"/>
    </w:rPr>
  </w:style>
  <w:style w:type="paragraph" w:styleId="1052">
    <w:name w:val="annotation subject"/>
    <w:basedOn w:val="1050"/>
    <w:next w:val="1050"/>
    <w:link w:val="1053"/>
    <w:uiPriority w:val="99"/>
    <w:semiHidden/>
    <w:unhideWhenUsed/>
    <w:pPr>
      <w:pBdr/>
      <w:spacing/>
      <w:ind/>
    </w:pPr>
    <w:rPr>
      <w:b/>
      <w:bCs/>
    </w:rPr>
  </w:style>
  <w:style w:type="character" w:styleId="1053" w:customStyle="1">
    <w:name w:val="Comment Subject Char"/>
    <w:basedOn w:val="1051"/>
    <w:link w:val="1052"/>
    <w:uiPriority w:val="99"/>
    <w:semiHidden/>
    <w:pPr>
      <w:pBdr/>
      <w:spacing/>
      <w:ind/>
    </w:pPr>
    <w:rPr>
      <w:rFonts w:ascii="Times New Roman" w:hAnsi="Times New Roman" w:eastAsia="Times New Roman" w:cs="Times New Roman"/>
      <w:b/>
      <w:bCs/>
      <w:sz w:val="20"/>
      <w:szCs w:val="20"/>
    </w:rPr>
  </w:style>
  <w:style w:type="paragraph" w:styleId="1054" w:customStyle="1">
    <w:name w:val="font5"/>
    <w:basedOn w:val="1021"/>
    <w:pPr>
      <w:pBdr/>
      <w:spacing w:after="100" w:afterAutospacing="1" w:before="100" w:beforeAutospacing="1"/>
      <w:ind/>
    </w:pPr>
    <w:rPr>
      <w:rFonts w:ascii="Tahoma" w:hAnsi="Tahoma" w:cs="Tahoma"/>
      <w:color w:val="000000"/>
      <w:sz w:val="18"/>
      <w:szCs w:val="18"/>
    </w:rPr>
  </w:style>
  <w:style w:type="paragraph" w:styleId="1055" w:customStyle="1">
    <w:name w:val="font6"/>
    <w:basedOn w:val="1021"/>
    <w:pPr>
      <w:pBdr/>
      <w:spacing w:after="100" w:afterAutospacing="1" w:before="100" w:beforeAutospacing="1"/>
      <w:ind/>
    </w:pPr>
    <w:rPr>
      <w:rFonts w:ascii="Tahoma" w:hAnsi="Tahoma" w:cs="Tahoma"/>
      <w:b/>
      <w:bCs/>
      <w:color w:val="000000"/>
      <w:sz w:val="18"/>
      <w:szCs w:val="18"/>
    </w:rPr>
  </w:style>
  <w:style w:type="paragraph" w:styleId="1056" w:customStyle="1">
    <w:name w:val="xl23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34"/>
    <w:basedOn w:val="1021"/>
    <w:pPr>
      <w:pBdr/>
      <w:spacing w:after="100" w:afterAutospacing="1" w:before="100" w:beforeAutospacing="1"/>
      <w:ind/>
      <w:jc w:val="center"/>
    </w:pPr>
  </w:style>
  <w:style w:type="paragraph" w:styleId="1058" w:customStyle="1">
    <w:name w:val="xl235"/>
    <w:basedOn w:val="1021"/>
    <w:pPr>
      <w:pBdr/>
      <w:spacing w:after="100" w:afterAutospacing="1" w:before="100" w:beforeAutospacing="1"/>
      <w:ind/>
      <w:jc w:val="center"/>
    </w:pPr>
    <w:rPr>
      <w:b/>
      <w:bCs/>
    </w:rPr>
  </w:style>
  <w:style w:type="paragraph" w:styleId="1059" w:customStyle="1">
    <w:name w:val="xl236"/>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3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38"/>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2" w:customStyle="1">
    <w:name w:val="xl23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3" w:customStyle="1">
    <w:name w:val="xl240"/>
    <w:basedOn w:val="1021"/>
    <w:pPr>
      <w:pBdr/>
      <w:spacing w:after="100" w:afterAutospacing="1" w:before="100" w:beforeAutospacing="1"/>
      <w:ind/>
    </w:pPr>
  </w:style>
  <w:style w:type="paragraph" w:styleId="1064" w:customStyle="1">
    <w:name w:val="xl241"/>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5" w:customStyle="1">
    <w:name w:val="xl242"/>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43"/>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44"/>
    <w:basedOn w:val="1021"/>
    <w:pPr>
      <w:pBdr/>
      <w:spacing w:after="100" w:afterAutospacing="1" w:before="100" w:beforeAutospacing="1"/>
      <w:ind/>
    </w:pPr>
    <w:rPr>
      <w:b/>
      <w:bCs/>
    </w:rPr>
  </w:style>
  <w:style w:type="paragraph" w:styleId="1068" w:customStyle="1">
    <w:name w:val="xl245"/>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4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47"/>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1" w:customStyle="1">
    <w:name w:val="xl24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4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5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5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5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3"/>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4"/>
    <w:basedOn w:val="102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55"/>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9" w:customStyle="1">
    <w:name w:val="xl25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0" w:customStyle="1">
    <w:name w:val="xl25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58"/>
    <w:basedOn w:val="102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2" w:customStyle="1">
    <w:name w:val="xl25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3" w:customStyle="1">
    <w:name w:val="xl260"/>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61"/>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62"/>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3"/>
    <w:basedOn w:val="1021"/>
    <w:pPr>
      <w:pBdr/>
      <w:shd w:val="clear" w:color="000000" w:fill="ffffff"/>
      <w:spacing w:after="100" w:afterAutospacing="1" w:before="100" w:beforeAutospacing="1"/>
      <w:ind/>
    </w:pPr>
  </w:style>
  <w:style w:type="paragraph" w:styleId="1087" w:customStyle="1">
    <w:name w:val="xl264"/>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65"/>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6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0" w:customStyle="1">
    <w:name w:val="xl26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68"/>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2" w:customStyle="1">
    <w:name w:val="xl269"/>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3" w:customStyle="1">
    <w:name w:val="xl27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1"/>
    <w:basedOn w:val="102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5" w:customStyle="1">
    <w:name w:val="xl27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73"/>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7" w:customStyle="1">
    <w:name w:val="xl274"/>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75"/>
    <w:basedOn w:val="1021"/>
    <w:pPr>
      <w:pBdr/>
      <w:spacing w:after="100" w:afterAutospacing="1" w:before="100" w:beforeAutospacing="1"/>
      <w:ind/>
    </w:pPr>
  </w:style>
  <w:style w:type="paragraph" w:styleId="1099" w:customStyle="1">
    <w:name w:val="xl27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0" w:customStyle="1">
    <w:name w:val="xl277"/>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1" w:customStyle="1">
    <w:name w:val="xl27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7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customStyle="1">
    <w:name w:val="xl28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4" w:customStyle="1">
    <w:name w:val="xl28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5" w:customStyle="1">
    <w:name w:val="xl28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6" w:customStyle="1">
    <w:name w:val="xl28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4"/>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08" w:customStyle="1">
    <w:name w:val="xl285"/>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9" w:customStyle="1">
    <w:name w:val="xl28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customStyle="1">
    <w:name w:val="xl287"/>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88"/>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89"/>
    <w:basedOn w:val="1021"/>
    <w:pPr>
      <w:pBdr>
        <w:left w:val="single" w:color="000000" w:sz="4" w:space="0"/>
        <w:right w:val="single" w:color="000000" w:sz="4" w:space="0"/>
      </w:pBdr>
      <w:spacing w:after="100" w:afterAutospacing="1" w:before="100" w:beforeAutospacing="1"/>
      <w:ind/>
    </w:pPr>
    <w:rPr>
      <w:b/>
      <w:bCs/>
    </w:rPr>
  </w:style>
  <w:style w:type="paragraph" w:styleId="1113" w:customStyle="1">
    <w:name w:val="xl29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4" w:customStyle="1">
    <w:name w:val="xl291"/>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5" w:customStyle="1">
    <w:name w:val="xl292"/>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6" w:customStyle="1">
    <w:name w:val="xl293"/>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17" w:customStyle="1">
    <w:name w:val="xl294"/>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8">
    <w:name w:val="Title"/>
    <w:basedOn w:val="1021"/>
    <w:link w:val="1119"/>
    <w:qFormat/>
    <w:pPr>
      <w:pBdr/>
      <w:spacing/>
      <w:ind/>
      <w:jc w:val="center"/>
    </w:pPr>
    <w:rPr>
      <w:b/>
      <w:bCs/>
      <w:sz w:val="32"/>
      <w:szCs w:val="26"/>
    </w:rPr>
  </w:style>
  <w:style w:type="character" w:styleId="1119" w:customStyle="1">
    <w:name w:val="Title Char"/>
    <w:basedOn w:val="1026"/>
    <w:link w:val="1118"/>
    <w:pPr>
      <w:pBdr/>
      <w:spacing/>
      <w:ind/>
    </w:pPr>
    <w:rPr>
      <w:rFonts w:ascii="Times New Roman" w:hAnsi="Times New Roman" w:eastAsia="Times New Roman" w:cs="Times New Roman"/>
      <w:b/>
      <w:bCs/>
      <w:sz w:val="32"/>
      <w:szCs w:val="26"/>
    </w:rPr>
  </w:style>
  <w:style w:type="character" w:styleId="1120" w:customStyle="1">
    <w:name w:val="Unresolved Mention1"/>
    <w:basedOn w:val="1026"/>
    <w:uiPriority w:val="99"/>
    <w:semiHidden/>
    <w:unhideWhenUsed/>
    <w:pPr>
      <w:pBdr/>
      <w:spacing/>
      <w:ind/>
    </w:pPr>
    <w:rPr>
      <w:color w:val="605e5c"/>
      <w:shd w:val="clear" w:color="auto" w:fill="e1dfdd"/>
    </w:rPr>
  </w:style>
  <w:style w:type="character" w:styleId="1121" w:customStyle="1">
    <w:name w:val="Body text (3)_"/>
    <w:link w:val="1122"/>
    <w:pPr>
      <w:pBdr/>
      <w:spacing/>
      <w:ind/>
    </w:pPr>
    <w:rPr>
      <w:rFonts w:ascii="Times New Roman" w:hAnsi="Times New Roman" w:cs="Times New Roman"/>
      <w:i/>
      <w:iCs/>
      <w:spacing w:val="4"/>
      <w:shd w:val="clear" w:color="auto" w:fill="ffffff"/>
    </w:rPr>
  </w:style>
  <w:style w:type="paragraph" w:styleId="1122" w:customStyle="1">
    <w:name w:val="Body text (3)1"/>
    <w:basedOn w:val="1021"/>
    <w:link w:val="112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3" w:customStyle="1">
    <w:name w:val="t-j"/>
    <w:basedOn w:val="1021"/>
    <w:pPr>
      <w:pBdr/>
      <w:spacing w:after="100" w:afterAutospacing="1" w:before="100" w:beforeAutospacing="1"/>
      <w:ind/>
    </w:pPr>
  </w:style>
  <w:style w:type="character" w:styleId="1124" w:customStyle="1">
    <w:name w:val="Unresolved Mention2"/>
    <w:basedOn w:val="1026"/>
    <w:uiPriority w:val="99"/>
    <w:semiHidden/>
    <w:unhideWhenUsed/>
    <w:pPr>
      <w:pBdr/>
      <w:spacing/>
      <w:ind/>
    </w:pPr>
    <w:rPr>
      <w:color w:val="605e5c"/>
      <w:shd w:val="clear" w:color="auto" w:fill="e1dfdd"/>
    </w:rPr>
  </w:style>
  <w:style w:type="character" w:styleId="1125">
    <w:name w:val="FollowedHyperlink"/>
    <w:basedOn w:val="1026"/>
    <w:uiPriority w:val="99"/>
    <w:semiHidden/>
    <w:unhideWhenUsed/>
    <w:pPr>
      <w:pBdr/>
      <w:spacing/>
      <w:ind/>
    </w:pPr>
    <w:rPr>
      <w:color w:val="800080" w:themeColor="followedHyperlink"/>
      <w:u w:val="single"/>
    </w:rPr>
  </w:style>
  <w:style w:type="character" w:styleId="1126" w:customStyle="1">
    <w:name w:val="text"/>
    <w:basedOn w:val="1026"/>
    <w:pPr>
      <w:pBdr/>
      <w:spacing/>
      <w:ind/>
    </w:pPr>
  </w:style>
  <w:style w:type="character" w:styleId="1127" w:customStyle="1">
    <w:name w:val="card-send-time__sendtime"/>
    <w:basedOn w:val="1026"/>
    <w:pPr>
      <w:pBdr/>
      <w:spacing/>
      <w:ind/>
    </w:pPr>
  </w:style>
  <w:style w:type="character" w:styleId="1128" w:customStyle="1">
    <w:name w:val="Đề cập Chưa giải quyết1"/>
    <w:basedOn w:val="1026"/>
    <w:uiPriority w:val="99"/>
    <w:semiHidden/>
    <w:unhideWhenUsed/>
    <w:pPr>
      <w:pBdr/>
      <w:spacing/>
      <w:ind/>
    </w:pPr>
    <w:rPr>
      <w:color w:val="605e5c"/>
      <w:shd w:val="clear" w:color="auto" w:fill="e1dfdd"/>
    </w:rPr>
  </w:style>
  <w:style w:type="paragraph" w:styleId="1129" w:customStyle="1">
    <w:name w:val="nqtitle"/>
    <w:basedOn w:val="1021"/>
    <w:pPr>
      <w:pBdr/>
      <w:spacing w:after="100" w:afterAutospacing="1" w:before="100" w:beforeAutospacing="1"/>
      <w:ind/>
    </w:pPr>
    <w:rPr>
      <w:lang w:val="vi-VN" w:eastAsia="vi-VN"/>
    </w:rPr>
  </w:style>
  <w:style w:type="character" w:styleId="1130" w:customStyle="1">
    <w:name w:val="List Paragraph Char"/>
    <w:link w:val="1043"/>
    <w:uiPriority w:val="34"/>
    <w:qFormat/>
    <w:pPr>
      <w:pBdr/>
      <w:spacing/>
      <w:ind/>
    </w:pPr>
    <w:rPr>
      <w:rFonts w:ascii="Times New Roman" w:hAnsi="Times New Roman" w:eastAsia="Times New Roman" w:cs="Times New Roman"/>
      <w:sz w:val="24"/>
      <w:szCs w:val="24"/>
    </w:rPr>
  </w:style>
  <w:style w:type="character" w:styleId="1131" w:customStyle="1">
    <w:name w:val="Đề cập Chưa giải quyết2"/>
    <w:basedOn w:val="1026"/>
    <w:uiPriority w:val="99"/>
    <w:semiHidden/>
    <w:unhideWhenUsed/>
    <w:pPr>
      <w:pBdr/>
      <w:spacing/>
      <w:ind/>
    </w:pPr>
    <w:rPr>
      <w:color w:val="605e5c"/>
      <w:shd w:val="clear" w:color="auto" w:fill="e1dfdd"/>
    </w:rPr>
  </w:style>
  <w:style w:type="character" w:styleId="1132" w:customStyle="1">
    <w:name w:val="Unresolved Mention3"/>
    <w:basedOn w:val="1026"/>
    <w:uiPriority w:val="99"/>
    <w:semiHidden/>
    <w:unhideWhenUsed/>
    <w:pPr>
      <w:pBdr/>
      <w:spacing/>
      <w:ind/>
    </w:pPr>
    <w:rPr>
      <w:color w:val="605e5c"/>
      <w:shd w:val="clear" w:color="auto" w:fill="e1dfdd"/>
    </w:rPr>
  </w:style>
  <w:style w:type="character" w:styleId="1133" w:customStyle="1">
    <w:name w:val="copy"/>
    <w:basedOn w:val="1026"/>
    <w:pPr>
      <w:pBdr/>
      <w:spacing/>
      <w:ind/>
    </w:pPr>
  </w:style>
  <w:style w:type="paragraph" w:styleId="1134" w:customStyle="1">
    <w:name w:val="align-justify"/>
    <w:basedOn w:val="1021"/>
    <w:pPr>
      <w:pBdr/>
      <w:spacing w:after="100" w:afterAutospacing="1" w:before="100" w:beforeAutospacing="1"/>
      <w:ind/>
    </w:pPr>
  </w:style>
  <w:style w:type="character" w:styleId="1135" w:customStyle="1">
    <w:name w:val="btn"/>
    <w:basedOn w:val="1026"/>
    <w:pPr>
      <w:pBdr/>
      <w:spacing/>
      <w:ind/>
    </w:pPr>
  </w:style>
  <w:style w:type="character" w:styleId="1136" w:customStyle="1">
    <w:name w:val="hide_mobile"/>
    <w:basedOn w:val="1026"/>
    <w:pPr>
      <w:pBdr/>
      <w:spacing/>
      <w:ind/>
    </w:pPr>
  </w:style>
  <w:style w:type="character" w:styleId="1137">
    <w:name w:val="Emphasis"/>
    <w:basedOn w:val="1026"/>
    <w:uiPriority w:val="20"/>
    <w:qFormat/>
    <w:pPr>
      <w:pBdr/>
      <w:spacing/>
      <w:ind/>
    </w:pPr>
    <w:rPr>
      <w:i/>
      <w:iCs/>
    </w:rPr>
  </w:style>
  <w:style w:type="character" w:styleId="1138" w:customStyle="1">
    <w:name w:val="t1"/>
    <w:basedOn w:val="1026"/>
    <w:pPr>
      <w:pBdr/>
      <w:spacing/>
      <w:ind/>
    </w:pPr>
  </w:style>
  <w:style w:type="character" w:styleId="1139" w:customStyle="1">
    <w:name w:val="Unresolved Mention4"/>
    <w:basedOn w:val="1026"/>
    <w:uiPriority w:val="99"/>
    <w:semiHidden/>
    <w:unhideWhenUsed/>
    <w:pPr>
      <w:pBdr/>
      <w:spacing/>
      <w:ind/>
    </w:pPr>
    <w:rPr>
      <w:color w:val="605e5c"/>
      <w:shd w:val="clear" w:color="auto" w:fill="e1dfdd"/>
    </w:rPr>
  </w:style>
  <w:style w:type="character" w:styleId="1140">
    <w:name w:val="Unresolved Mention"/>
    <w:basedOn w:val="102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hyperlink" Target="https://thuvienphapluat.vn/van-ban/Bat-dong-san/Nghi-quyet-52-2025-NQ-HDND-Bang-gia-dat-lan-dau-ap-dung-tu-01-thang-01-nam-2026-Ha-Noi-682673.aspx" TargetMode="External"/><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292</cp:revision>
  <dcterms:created xsi:type="dcterms:W3CDTF">2025-09-15T09:58:00Z</dcterms:created>
  <dcterms:modified xsi:type="dcterms:W3CDTF">2026-09-14T11:08:33Z</dcterms:modified>
</cp:coreProperties>
</file>