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4.xml" ContentType="application/vnd.openxmlformats-officedocument.wordprocessingml.footer+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-12360</wp:posOffset>
                </wp:positionH>
                <wp:positionV relativeFrom="paragraph">
                  <wp:posOffset>51628</wp:posOffset>
                </wp:positionV>
                <wp:extent cx="5884840" cy="528343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5884839" cy="528343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275/2026/0463/VFI-CT.69.A</w:t>
                            </w:r>
                            <w:r>
                              <w:rPr>
                                <w:b/>
                              </w:rPr>
                            </w:r>
                            <w:r>
                              <w:rPr>
                                <w:b/>
                              </w:rPr>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BẢO VỆ THỰC VẬT SÀI GÒN</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w:t>
                            </w:r>
                            <w:r>
                              <w:rPr>
                                <w:color w:val="000000"/>
                              </w:rPr>
                              <w:t xml:space="preserve">iấy chứng nhận quyền sử dụng đất, quyền sở hữu tài sản gắn liền với đất số: AA 02012599, số vào sổ cấp GCN: VP 1146 do Văn phòng đăng ký đất đai Thành phố Hồ Chí Minh cấp ngày 24 tháng 7 năm 2025; chủ sử dụng đất là Công ty Cổ phần Bảo vệ Thực vật Sài Gòn.</w:t>
                            </w:r>
                            <w:r>
                              <w:rPr>
                                <w:bCs/>
                                <w:i/>
                                <w:iCs/>
                              </w:rPr>
                              <w:t xml:space="preserve">.</w:t>
                            </w:r>
                            <w:r>
                              <w:rPr>
                                <w:bCs/>
                                <w:i/>
                                <w:iCs/>
                              </w:rPr>
                            </w:r>
                            <w:r>
                              <w:rPr>
                                <w:bCs/>
                                <w:i/>
                                <w:iCs/>
                              </w:rPr>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97pt;mso-position-horizontal:absolute;mso-position-vertical-relative:text;margin-top:4.07pt;mso-position-vertical:absolute;width:463.37pt;height:416.02pt;mso-wrap-distance-left:9.00pt;mso-wrap-distance-top:0.00pt;mso-wrap-distance-right:9.00pt;mso-wrap-distance-bottom:0.00pt;rotation:0;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275/2026/0463/VFI-CT.69.A</w:t>
                      </w:r>
                      <w:r>
                        <w:rPr>
                          <w:b/>
                        </w:rPr>
                      </w:r>
                      <w:r>
                        <w:rPr>
                          <w:b/>
                        </w:rPr>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BẢO VỆ THỰC VẬT SÀI GÒN</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w:t>
                      </w:r>
                      <w:r>
                        <w:rPr>
                          <w:color w:val="000000"/>
                        </w:rPr>
                        <w:t xml:space="preserve">iấy chứng nhận quyền sử dụng đất, quyền sở hữu tài sản gắn liền với đất số: AA 02012599, số vào sổ cấp GCN: VP 1146 do Văn phòng đăng ký đất đai Thành phố Hồ Chí Minh cấp ngày 24 tháng 7 năm 2025; chủ sử dụng đất là Công ty Cổ phần Bảo vệ Thực vật Sài Gòn.</w:t>
                      </w:r>
                      <w:r>
                        <w:rPr>
                          <w:bCs/>
                          <w:i/>
                          <w:iCs/>
                        </w:rPr>
                        <w:t xml:space="preserve">.</w:t>
                      </w:r>
                      <w:r>
                        <w:rPr>
                          <w:bCs/>
                          <w:i/>
                          <w:iCs/>
                        </w:rPr>
                      </w:r>
                      <w:r>
                        <w:rPr>
                          <w:bCs/>
                          <w:i/>
                          <w:iCs/>
                        </w:rPr>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Pr/>
      </w:pPr>
      <w:r>
        <w:rPr>
          <w:spacing w:val="16"/>
          <w:sz w:val="21"/>
          <w:szCs w:val="21"/>
        </w:rPr>
      </w: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 </w:t>
            </w:r>
            <w:r>
              <w:rPr>
                <w:rStyle w:val="1028"/>
                <w:rFonts w:ascii="Times New Roman" w:hAnsi="Times New Roman"/>
                <w:color w:val="000000" w:themeColor="text1"/>
                <w:lang w:val="pt-BR"/>
              </w:rPr>
              <w:t xml:space="preserve">275/2026/0463/VFI-CT.69.A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29"/>
        <w:pBdr/>
        <w:spacing w:after="120" w:before="200" w:line="288" w:lineRule="auto"/>
        <w:ind/>
        <w:jc w:val="center"/>
        <w:rPr>
          <w:rStyle w:val="1028"/>
          <w:rFonts w:ascii="Times New Roman" w:hAnsi="Times New Roman"/>
          <w:b/>
          <w:bCs/>
          <w:color w:val="auto"/>
          <w:sz w:val="30"/>
          <w:szCs w:val="30"/>
          <w:lang w:val="vi-VN"/>
        </w:rPr>
      </w:pP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BẢO VỆ THỰC VẬT SÀI GÒN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275/2026/0463/VFI-HĐTĐ.69.A</w:t>
      </w:r>
      <w:r>
        <w:rPr>
          <w:spacing w:val="-4"/>
          <w:lang w:val="vi-VN"/>
        </w:rPr>
        <w:t xml:space="preserve"> ký ngày </w:t>
      </w:r>
      <w:r>
        <w:rPr>
          <w:color w:val="000000" w:themeColor="text1"/>
          <w:spacing w:val="-4"/>
        </w:rPr>
        <w:t xml:space="preserve">25 tháng 3 năm 2026</w:t>
      </w:r>
      <w:r>
        <w:rPr>
          <w:spacing w:val="-4"/>
          <w:lang w:val="vi-VN"/>
        </w:rPr>
        <w:t xml:space="preserve"> </w:t>
      </w:r>
      <w:r>
        <w:rPr>
          <w:spacing w:val="-4"/>
          <w:lang w:val="vi-VN"/>
        </w:rPr>
        <w:t xml:space="preserve">giữa </w:t>
      </w:r>
      <w:r>
        <w:rPr>
          <w:color w:val="000000" w:themeColor="text1"/>
          <w:spacing w:val="-4"/>
        </w:rPr>
        <w:t xml:space="preserve">CÔNG TY CỔ PHẦN BẢO VỆ THỰC VẬT SÀI GÒN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275/2026/0463/VFI-BC.69.A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CỔ PHẦN BẢO VỆ THỰC VẬT SÀI GÒN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0300632232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pacing w:val="3"/>
                <w:sz w:val="24"/>
                <w:highlight w:val="white"/>
              </w:rPr>
              <w:t xml:space="preserve">Đường Nguyễn Văn Quỳ, Khu phố 1, Phường Tân Thuận, TP. Hồ Chí Minh</w:t>
            </w:r>
            <w:r>
              <w:rPr>
                <w:color w:val="000000" w:themeColor="text1"/>
                <w:lang w:val="pt-BR"/>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Ông Điêu Quang Trung - Chức vụ: Giám đốc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w:t>
      </w:r>
      <w:r>
        <w:rPr>
          <w:color w:val="000000" w:themeColor="text1"/>
        </w:rPr>
        <w:t xml:space="preserve">iấy chứng nhận quyền sử dụng đất, quyền sở hữu tài sản gắn liền với đất số: AA 02012599, số vào sổ cấp GCN: VP 1146 do Văn phòng đăng ký đất đai Thành phố Hồ Chí Minh cấp ngày 24 tháng 7 năm 2025; chủ sử dụng đất là Công ty Cổ phần Bảo vệ Thực vật Sài Gòn.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rPr>
          <w:highlight w:val="none"/>
          <w:lang w:val="vi-VN"/>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5"/>
        <w:gridCol w:w="2666"/>
        <w:gridCol w:w="1559"/>
        <w:gridCol w:w="1674"/>
        <w:gridCol w:w="1160"/>
        <w:gridCol w:w="1871"/>
      </w:tblGrid>
      <w:tr>
        <w:trPr>
          <w:trHeight w:val="7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Thành tiền </w:t>
              <w:br/>
              <w:t xml:space="preserve"> (đồng)</w:t>
            </w:r>
            <w:r/>
          </w:p>
        </w:tc>
      </w:tr>
      <w:tr>
        <w:trPr>
          <w:trHeight w:val="2551"/>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01</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0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2"/>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Giấy chứng nhận quyền sử dụng đất, quyền sở hữu tài sản gắn l</w:t>
            </w:r>
            <w:r>
              <w:rPr>
                <w:rFonts w:ascii="Times New Roman" w:hAnsi="Times New Roman" w:eastAsia="Times New Roman" w:cs="Times New Roman"/>
                <w:b/>
                <w:color w:val="000000"/>
                <w:sz w:val="22"/>
              </w:rPr>
              <w:t xml:space="preserve">iền với đất số: AA 02012599, số vào sổ cấp GCN: VP 1146 do Văn phòng đăng ký đất đai Thành phố Hồ Chí Minh cấp ngày 24 tháng 7 năm 2025; chủ sử dụng đất là Công ty Cổ phần Bảo vệ Thực vật Sài Gòn.</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b/>
                <w:color w:val="000000"/>
                <w:sz w:val="22"/>
              </w:rPr>
              <w:t xml:space="preserve">Giá trị quyền sử dụng đất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42.123,0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5.000.000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2"/>
              </w:rPr>
              <w:t xml:space="preserve">210.615.000.000</w:t>
            </w:r>
            <w:r/>
          </w:p>
        </w:tc>
      </w:tr>
      <w:tr>
        <w:trPr>
          <w:trHeight w:val="6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b/>
                <w:color w:val="000000"/>
                <w:sz w:val="22"/>
              </w:rPr>
              <w:t xml:space="preserve">Giá trị công trình xây dựng trên đất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15.882,0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2"/>
              </w:rPr>
              <w:t xml:space="preserve">40.762.544.122</w:t>
            </w:r>
            <w:r/>
          </w:p>
        </w:tc>
      </w:tr>
      <w:tr>
        <w:trPr>
          <w:trHeight w:val="3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xưởng - Nhà văn phòng</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3.744,0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8.374.478.112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3.456,0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7.730.287.488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ăn - Nhà vệ sinh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360,0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5.187.484</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1.157.846.348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xử lý nước thải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216,0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2.086.560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236.615.904</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Trạm xử lý rác</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214.730.208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bảo vệ</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5.187.484</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63.494.800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Xưởng cơ điện</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288,0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2.086.560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360.557.568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xưởng mở rộng</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234,0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598.177.008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thành phẩm</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3.456,0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8.834.614.272</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làm việc - Khối kỹ thuật</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246,0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5.187.484</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867.762.263</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thuốc cỏ</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960,0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2.454.059.520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2.808,0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82%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9.869.920.632</w:t>
            </w:r>
            <w:r/>
          </w:p>
        </w:tc>
      </w:tr>
      <w:tr>
        <w:trPr>
          <w:trHeight w:val="48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5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0" w:type="dxa"/>
              <w:top w:w="0" w:type="dxa"/>
              <w:right w:w="0" w:type="dxa"/>
              <w:bottom w:w="0" w:type="dxa"/>
            </w:tcMar>
            <w:tcW w:w="187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2"/>
              </w:rPr>
              <w:t xml:space="preserve">251.377.544.122</w:t>
            </w:r>
            <w:r/>
          </w:p>
        </w:tc>
      </w:tr>
      <w:tr>
        <w:trPr>
          <w:trHeight w:val="38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5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0" w:type="dxa"/>
              <w:top w:w="0" w:type="dxa"/>
              <w:right w:w="0" w:type="dxa"/>
              <w:bottom w:w="0" w:type="dxa"/>
            </w:tcMar>
            <w:tcW w:w="187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2"/>
              </w:rPr>
              <w:t xml:space="preserve">251.378.000.000</w:t>
            </w:r>
            <w:r/>
          </w:p>
        </w:tc>
      </w:tr>
    </w:tbl>
    <w:p>
      <w:pPr>
        <w:pBdr/>
        <w:spacing w:after="120" w:before="120" w:line="312" w:lineRule="auto"/>
        <w:ind/>
        <w:jc w:val="both"/>
        <w:rPr/>
      </w:pPr>
      <w:r/>
      <w:r/>
    </w:p>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 </w:t>
            </w:r>
            <w:r>
              <w:rPr>
                <w:rStyle w:val="1028"/>
                <w:rFonts w:ascii="Times New Roman" w:hAnsi="Times New Roman"/>
                <w:color w:val="000000" w:themeColor="text1"/>
                <w:lang w:val="pt-BR"/>
              </w:rPr>
              <w:t xml:space="preserve">275/2026/0463/VFI-CT.69.A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9"/>
              <w:pBdr/>
              <w:spacing w:after="60"/>
              <w:ind/>
              <w:rPr>
                <w:rStyle w:val="1028"/>
                <w:rFonts w:ascii="Times New Roman" w:hAnsi="Times New Roman"/>
                <w:color w:val="000000" w:themeColor="text1"/>
                <w:lang w:val="pt-BR"/>
              </w:rPr>
            </w:pPr>
            <w:r>
              <w:rPr>
                <w:rStyle w:val="1028"/>
                <w:rFonts w:ascii="Times New Roman" w:hAnsi="Times New Roman"/>
                <w:color w:val="000000" w:themeColor="text1"/>
                <w:lang w:val="pt-BR"/>
              </w:rPr>
            </w:r>
            <w:r>
              <w:rPr>
                <w:rStyle w:val="1028"/>
                <w:rFonts w:ascii="Times New Roman" w:hAnsi="Times New Roman"/>
                <w:color w:val="000000" w:themeColor="text1"/>
                <w:lang w:val="pt-BR"/>
              </w:rPr>
            </w:r>
            <w:r>
              <w:rPr>
                <w:rStyle w:val="1028"/>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9"/>
              <w:pBdr/>
              <w:spacing w:after="60"/>
              <w:ind w:right="-56"/>
              <w:rPr>
                <w:rStyle w:val="1028"/>
                <w:rFonts w:ascii="Times New Roman" w:hAnsi="Times New Roman"/>
                <w:i/>
                <w:color w:val="auto"/>
              </w:rPr>
            </w:pPr>
            <w:r>
              <w:rPr>
                <w:rFonts w:ascii="Times New Roman" w:hAnsi="Times New Roman"/>
                <w:i/>
                <w:color w:val="auto"/>
              </w:rPr>
            </w:r>
            <w:r>
              <w:rPr>
                <w:rStyle w:val="1028"/>
                <w:rFonts w:ascii="Times New Roman" w:hAnsi="Times New Roman"/>
                <w:i/>
                <w:color w:val="auto"/>
              </w:rPr>
            </w:r>
            <w:r>
              <w:rPr>
                <w:rStyle w:val="1028"/>
                <w:rFonts w:ascii="Times New Roman" w:hAnsi="Times New Roman"/>
                <w:i/>
                <w:color w:val="auto"/>
              </w:rPr>
            </w:r>
          </w:p>
        </w:tc>
      </w:tr>
    </w:tbl>
    <w:p>
      <w:pPr>
        <w:pStyle w:val="1029"/>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275/2026/0463/VFI-CT.69.A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CỔ PHẦN BẢO VỆ THỰC VẬT SÀI GÒN</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0300632232</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w:t>
            </w:r>
            <w:r>
              <w:rPr>
                <w:bCs/>
                <w:color w:val="000000" w:themeColor="text1"/>
                <w:lang w:val="pt-BR"/>
              </w:rPr>
              <w:t xml:space="preserve">chỉ</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rPr>
                <w:b/>
                <w:bCs/>
                <w:color w:val="000000" w:themeColor="text1"/>
              </w:rPr>
            </w:pPr>
            <w:r>
              <w:rPr>
                <w:color w:val="000000" w:themeColor="text1"/>
                <w:lang w:val="vi-VN"/>
              </w:rPr>
            </w:r>
            <w:r>
              <w:rPr>
                <w:rFonts w:ascii="Times New Roman" w:hAnsi="Times New Roman" w:eastAsia="Times New Roman" w:cs="Times New Roman"/>
                <w:color w:val="000000" w:themeColor="text1"/>
                <w:spacing w:val="3"/>
                <w:sz w:val="24"/>
                <w:highlight w:val="white"/>
              </w:rPr>
              <w:t xml:space="preserve">Đường Nguyễn Văn Quỳ, Khu phố 1, Phường Tân Thuận, TP. Hồ Chí Minh</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w:t>
            </w:r>
            <w:r>
              <w:rPr>
                <w:bCs/>
                <w:color w:val="000000" w:themeColor="text1"/>
                <w:lang w:val="pt-BR"/>
              </w:rPr>
              <w:t xml:space="preserve">diện </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Ông Điêu Quang Trung - Chức vụ: Giám đốc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w:t>
            </w:r>
            <w:r>
              <w:rPr>
                <w:bCs/>
                <w:color w:val="000000" w:themeColor="text1"/>
                <w:lang w:val="pt-BR"/>
              </w:rPr>
              <w:t xml:space="preserve">iấy chứng nhận quyền sử dụng đất, quyền sở hữu tài sản gắn liền với đất số: AA 02012599, số vào sổ cấp GCN: VP 1146 do Văn phòng đăng ký đất đai Thành phố Hồ Chí Minh cấp ngày 24 tháng 7 năm 2025; chủ sử dụng đất là Công ty Cổ phần Bảo vệ Thực vật Sài Gòn.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Lô số C1-C3, đường số 14, Khu công nghiệp Hiệp Phước, xã Hiệp Phước,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(10.6325402, 106.7535289)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0"/>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0"/>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0"/>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0"/>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0"/>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w:t>
      </w:r>
      <w:r>
        <w:rPr>
          <w:bCs/>
          <w:color w:val="000000" w:themeColor="text1"/>
          <w:lang w:val="pt-BR"/>
        </w:rPr>
        <w:t xml:space="preserve">iấy chứng nhận quyền sử dụng đất, quyền sở hữu tài sản gắn liền với đất số: AA 02012599, số vào sổ cấp GCN: VP 1146 do Văn phòng đăng ký đất đai Thành phố Hồ Chí Minh cấp ngày 24 tháng 7 năm 2025; chủ sử dụng đất là Công ty Cổ phần Bảo vệ Thực vật Sài Gòn.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0"/>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275/2026/0463/VFI-HĐTĐ.69.A ký ngày 25/03/</w:t>
      </w:r>
      <w:r>
        <w:rPr>
          <w:color w:val="000000" w:themeColor="text1"/>
          <w:lang w:val="pt-BR"/>
        </w:rPr>
        <w:t xml:space="preserve">2026 giữa</w:t>
      </w:r>
      <w:r>
        <w:rPr>
          <w:rFonts w:ascii="Times New Roman" w:hAnsi="Times New Roman" w:eastAsia="Times New Roman" w:cs="Times New Roman"/>
          <w:b w:val="0"/>
          <w:bCs w:val="0"/>
          <w:color w:val="000000"/>
          <w:sz w:val="24"/>
          <w:szCs w:val="24"/>
        </w:rPr>
        <w:t xml:space="preserve"> Công ty Cổ phần Bảo vệ Thực vật Sài Gòn </w:t>
      </w:r>
      <w:r>
        <w:rPr>
          <w:b w:val="0"/>
          <w:bCs w:val="0"/>
          <w:color w:val="000000" w:themeColor="text1"/>
          <w:sz w:val="24"/>
          <w:szCs w:val="24"/>
          <w:lang w:val="pt-BR"/>
        </w:rPr>
        <w:t xml:space="preserve">với Công ty Cổ phần Thẩm định và Đầu tư Tài chính Hoa Sen</w:t>
      </w:r>
      <w:r>
        <w:rPr>
          <w:b w:val="0"/>
          <w:bCs w:val="0"/>
          <w:color w:val="000000" w:themeColor="text1"/>
          <w:sz w:val="24"/>
          <w:szCs w:val="24"/>
          <w:lang w:val="pt-BR"/>
        </w:rPr>
        <w:t xml:space="preserve">.</w:t>
      </w:r>
      <w:r>
        <w:rPr>
          <w:b/>
          <w:lang w:val="pt-BR"/>
        </w:rPr>
      </w:r>
      <w:r>
        <w:rPr>
          <w:b/>
          <w:lang w:val="pt-BR"/>
        </w:rPr>
      </w:r>
    </w:p>
    <w:p>
      <w:pPr>
        <w:pStyle w:val="103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lang w:val="pt-BR"/>
        </w:rPr>
      </w:r>
      <w:r>
        <w:rPr>
          <w:b/>
          <w:bCs/>
          <w:highlight w:val="none"/>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b/>
          <w:color w:val="000000"/>
          <w:sz w:val="24"/>
          <w:highlight w:val="white"/>
        </w:rPr>
        <w:t xml:space="preserve">Bất động sản công nghiệp dự báo 'đẻ' ra tiền trong năm 2026</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Năm 2025, bất động sản công nghiệp đã có nhiều diễn biến tích cực và đến 2026, phân khúc này được đánh giá tiếp tục là điểm sáng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báo cáo của Savills, trong nửa cuối năm 2025, phân khúc bất động sản công nghiệp ghi nhận “sức khỏe” tích cực tại cả hai miền. Tại miền Bắc, tỷ lệ lấp đầy đất khu công nghiệp đạt 86%, với giá đất trung bình 141 USD/m²/chu kỳ thuê. Phân khúc nhà xưởng </w:t>
      </w:r>
      <w:r>
        <w:rPr>
          <w:rFonts w:ascii="Times New Roman" w:hAnsi="Times New Roman" w:eastAsia="Times New Roman" w:cs="Times New Roman"/>
          <w:color w:val="000000"/>
          <w:sz w:val="24"/>
          <w:highlight w:val="white"/>
        </w:rPr>
        <w:t xml:space="preserve">xây sẵn tại khu vực này duy trì mức giá thuê trung bình 5,1 USD/m²/tháng. Trong khi đó, thị trường miền Nam tiếp tục thể hiện sức hút mạnh mẽ với tỷ lệ lấp đầy đất khu công nghiệp lên tới 90%, cùng mức giá thuê trung bình 191 USD/m²/chu kỳ thuê. Đặc biệt, </w:t>
      </w:r>
      <w:r>
        <w:rPr>
          <w:rFonts w:ascii="Times New Roman" w:hAnsi="Times New Roman" w:eastAsia="Times New Roman" w:cs="Times New Roman"/>
          <w:color w:val="000000"/>
          <w:sz w:val="24"/>
          <w:highlight w:val="white"/>
        </w:rPr>
        <w:t xml:space="preserve">phân khúc nhà xưởng xây sẵn đạt tỷ lệ lấp đầy ấn tượng 92%, với giá thuê trung bình ghi nhận ở mức 4,4 USD/m²/tháng.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ab/>
        <w:t xml:space="preserve">Các chuyên gia dự báo, sang năm 2026, thị trường bất động sản công nghiệp vẫn có nhiều tiềm năng và bước vào giai đoạn phát triển mới. Ông Trần Quang Trung, Giám đốc phát triển kinh doanh tại OneHousing, nhận định: với việc Chính phủ đã thống nhất đặt mụ</w:t>
      </w:r>
      <w:r>
        <w:rPr>
          <w:rFonts w:ascii="Times New Roman" w:hAnsi="Times New Roman" w:eastAsia="Times New Roman" w:cs="Times New Roman"/>
          <w:color w:val="000000"/>
          <w:sz w:val="24"/>
          <w:highlight w:val="white"/>
        </w:rPr>
        <w:t xml:space="preserve">c tiêu 2025 và lộ trình từ nay đến 2030 là nâng mức thu nhập bình quân đầu người thì bất động sản khu công nghiệp là một mảnh đất màu mỡ.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ab/>
        <w:t xml:space="preserve">Ông cũng tự tin rằng khi Việt Nam thu hút được về quy mô, chất lượng của nguồn vốn FDI thì rất nhiều tập đoàn lớn sẽ đầu tư vào và kéo theo những công ty "ăn theo" các tập đoàn đó.</w:t>
        <w:br/>
        <w:t xml:space="preserve"> “ Tôi có không ít bạn đã và đang triển khai khu công nghiệp vừa và nhỏ ở</w:t>
      </w:r>
      <w:r>
        <w:rPr>
          <w:rFonts w:ascii="Times New Roman" w:hAnsi="Times New Roman" w:eastAsia="Times New Roman" w:cs="Times New Roman"/>
          <w:color w:val="000000"/>
          <w:sz w:val="24"/>
          <w:highlight w:val="white"/>
        </w:rPr>
        <w:t xml:space="preserve"> Hải Dương, Hưng Yên, Bắc Giang. Họ cứ xây dựng xong là có đối tác quốc tế đến hỏi thuê với mức giá tốt. Tôi nghĩ rằng đây là một tín hiệu tuyệt vời, bởi khi bất động sản khu công nghiệp phát triển tốt có thể tạo ra công ăn việc làm cho người dân. Đồng ngh</w:t>
      </w:r>
      <w:r>
        <w:rPr>
          <w:rFonts w:ascii="Times New Roman" w:hAnsi="Times New Roman" w:eastAsia="Times New Roman" w:cs="Times New Roman"/>
          <w:color w:val="000000"/>
          <w:sz w:val="24"/>
          <w:highlight w:val="white"/>
        </w:rPr>
        <w:t xml:space="preserve">ĩa, người dân có thu nhập để mua nhà, đầu tư, nâng cao chất lượng cuộc sống, tạo ra sự phát triển bền vững cho đất nước ”, ông Trung chia sẻ.</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ab/>
        <w:t xml:space="preserve">Ông Nguyễn Văn Đính - Phó Chủ tịch Hiệp hội bất động sản Việt Nam - cũng đánh giá, thời gian qua, sự phát triển hạ tầng giao thông đã thúc đẩy phân khúc bất động sản công nghiệp phát triển. Bên cạnh đó, trong bối cảnh nguồn vốn FDI tiếp tục gia tăng mạnh</w:t>
      </w:r>
      <w:r>
        <w:rPr>
          <w:rFonts w:ascii="Times New Roman" w:hAnsi="Times New Roman" w:eastAsia="Times New Roman" w:cs="Times New Roman"/>
          <w:color w:val="000000"/>
          <w:sz w:val="24"/>
          <w:highlight w:val="white"/>
        </w:rPr>
        <w:t xml:space="preserve"> mẽ, đặc biệt là trong phân khúc bất động sản công nghiệp, cuộc đua bất động sản khu công nghiệp dự báo tiếp tục "nóng" trong năm nay. Ngoài ra, Việt Nam cũng đang xây dựng lộ trình phát triển để vươn lên trong chuỗi giá trị ngành bán dẫn toàn cầu, nhằm đả</w:t>
      </w:r>
      <w:r>
        <w:rPr>
          <w:rFonts w:ascii="Times New Roman" w:hAnsi="Times New Roman" w:eastAsia="Times New Roman" w:cs="Times New Roman"/>
          <w:color w:val="000000"/>
          <w:sz w:val="24"/>
          <w:highlight w:val="white"/>
        </w:rPr>
        <w:t xml:space="preserve">m bảo vị thế thu hút vốn FDI. Các vấn đề pháp lý liên quan đến khu công nghiệp cũng được quy định cụ thể sẽ tạo thêm dư địa phê duyệt quỹ đất; Quy hoạch sử dụng đất của nhiều tỉnh, thành phố cũng nhanh chóng được hoàn thiện. Nút thắt về pháp lý đang dần nớ</w:t>
      </w:r>
      <w:r>
        <w:rPr>
          <w:rFonts w:ascii="Times New Roman" w:hAnsi="Times New Roman" w:eastAsia="Times New Roman" w:cs="Times New Roman"/>
          <w:color w:val="000000"/>
          <w:sz w:val="24"/>
          <w:highlight w:val="white"/>
        </w:rPr>
        <w:t xml:space="preserve">i lỏng sẽ tạo tiền đề cho nguồn cung mới được phê duyệt trong 2 năm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 xml:space="preserve">" Trong bối cảnh nhu cầu phát triển kinh tế và thu hút đầu tư nước ngoài ngày càng gia tăng, cuộc đua mở rộng nguồn cung khu công nghiệp của các chủ đầu tư dự báo còn diễn ra mạnh mẽ trong tương lai ", ông Đính nhận định.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Ông John Campbell - Trưởng bộ phận Bất động sản Công nghiệp, Savills Việt Nam - cũng cho biết, thị trường bất động sản công nghiệp đang chứng kiến sự chuyển dịch mang tính cấu trúc, phản ánh quá trình nâng cấp của Việt Nam trong chuỗi cung ứng toàn cầu. Ôn</w:t>
      </w:r>
      <w:r>
        <w:rPr>
          <w:rFonts w:ascii="Times New Roman" w:hAnsi="Times New Roman" w:eastAsia="Times New Roman" w:cs="Times New Roman"/>
          <w:color w:val="000000"/>
          <w:sz w:val="24"/>
          <w:highlight w:val="white"/>
        </w:rPr>
        <w:t xml:space="preserve">g John Campbell nhấn mạnh lợi thế cạnh tranh cốt lõi của Việt Nam vẫn được duy trì mạnh mẽ. Cụ thể, chi phí nhân công sản xuất trung bình tại Việt Nam năm 2025 ở mức khoảng 350 USD/tháng, thấp hơn đáng kể so với Trung Quốc và Thái Lan. Bên cạnh đó, chi phí</w:t>
      </w:r>
      <w:r>
        <w:rPr>
          <w:rFonts w:ascii="Times New Roman" w:hAnsi="Times New Roman" w:eastAsia="Times New Roman" w:cs="Times New Roman"/>
          <w:color w:val="000000"/>
          <w:sz w:val="24"/>
          <w:highlight w:val="white"/>
        </w:rPr>
        <w:t xml:space="preserve"> điện năng cho sản xuất cũng rất cạnh tranh ở mức 0,076 USD/kWh, thấp hơn nhiều nước.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 Thị trường bất động sản công nghiệp Việt Nam đang bước sang một giai đoạn phát triển mới, nơi tăng trưởng không chỉ đến từ mở rộng diện tích mà còn từ chất lượng dự án, quy mô đầu tư và giá trị gia tăng cao hơn. Đây là một sự chuyển dịch mang tính dài hạ</w:t>
      </w:r>
      <w:r>
        <w:rPr>
          <w:rFonts w:ascii="Times New Roman" w:hAnsi="Times New Roman" w:eastAsia="Times New Roman" w:cs="Times New Roman"/>
          <w:color w:val="000000"/>
          <w:sz w:val="24"/>
          <w:highlight w:val="white"/>
        </w:rPr>
        <w:t xml:space="preserve">n ," ông John Campbell chia sẻ. Tuy nhiên, theo ông John Campbell, Việt Nam đang tiến vào giai đoạn mà năng lực sản xuất quan trọng tương đương với chi phí. Lợi thế thực sự giúp Việt Nam "ghi điểm" trong mắt các nhà đầu tư giai đoạn 2026 và những năm tiếp </w:t>
      </w:r>
      <w:r>
        <w:rPr>
          <w:rFonts w:ascii="Times New Roman" w:hAnsi="Times New Roman" w:eastAsia="Times New Roman" w:cs="Times New Roman"/>
          <w:color w:val="000000"/>
          <w:sz w:val="24"/>
          <w:highlight w:val="white"/>
        </w:rPr>
        <w:t xml:space="preserve">theo nằm ở mạng lưới Hiệp định Thương mại tự do (FTA) đồ sộ bậc nhất châu Á.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ab/>
        <w:t xml:space="preserve">Điển hình là EVFTA, sau 5 năm thực thi, kim ngạch thương mại hai chiều đã đạt 300 tỷ USD, tạo niềm tin cho 80% doanh nghiệp châu Âu kỳ vọng vào kết quả tích cực tại Việt Nam trong 5 năm tới. Theo Savills Việt Nam, bước sang năm 2026 và các năm tiếp theo,</w:t>
      </w:r>
      <w:r>
        <w:rPr>
          <w:rFonts w:ascii="Times New Roman" w:hAnsi="Times New Roman" w:eastAsia="Times New Roman" w:cs="Times New Roman"/>
          <w:color w:val="000000"/>
          <w:sz w:val="24"/>
          <w:highlight w:val="white"/>
        </w:rPr>
        <w:t xml:space="preserve"> thị trường bất động sản công nghiệp Việt Nam chứng kiến sự dịch chuyển mạnh mẽ từ các hoạt động lắp ráp đơn thuần sang sản xuất tiên tiến và nghiên cứu phát triển (R&amp;D). Từ thực tế nghiên cứu của mình, các chuyên gia của Savills Việt cho rằng, có ba trụ c</w:t>
      </w:r>
      <w:r>
        <w:rPr>
          <w:rFonts w:ascii="Times New Roman" w:hAnsi="Times New Roman" w:eastAsia="Times New Roman" w:cs="Times New Roman"/>
          <w:color w:val="000000"/>
          <w:sz w:val="24"/>
          <w:highlight w:val="white"/>
        </w:rPr>
        <w:t xml:space="preserve">ột chính sẽ định hình tiềm năng thị trường.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left"/>
        <w:rPr/>
      </w:pPr>
      <w:r>
        <w:rPr>
          <w:rFonts w:ascii="Times New Roman" w:hAnsi="Times New Roman" w:eastAsia="Times New Roman" w:cs="Times New Roman"/>
          <w:color w:val="000000"/>
          <w:sz w:val="24"/>
          <w:highlight w:val="white"/>
        </w:rPr>
        <w:tab/>
        <w:tab/>
        <w:t xml:space="preserve">Cuối cùng, đó là sự lên ngôi của bất động sản công nghiệp xanh. Phát triển bền vững và khu công nghiệp sinh thái (Eco-Industrial Parks) không còn là lựa chọn mà là yêu cầu bắt buộc để thu hút dòng vốn FDI chất lượng cao từ châu Âu và Bắc Mỹ. Các nhà đầu </w:t>
      </w:r>
      <w:r>
        <w:rPr>
          <w:rFonts w:ascii="Times New Roman" w:hAnsi="Times New Roman" w:eastAsia="Times New Roman" w:cs="Times New Roman"/>
          <w:color w:val="000000"/>
          <w:sz w:val="24"/>
          <w:highlight w:val="white"/>
        </w:rPr>
        <w:t xml:space="preserve">tư ngày càng chú trọng đến tiêu chuẩn ESG và tính minh bạch pháp lý. “ Bên cạnh lợi thế chi phí, các yếu tố như hạ tầng kết nối, khung pháp lý rõ ràng và khả năng đáp ứng các tiêu chuẩn toàn cầu đang ngày càng đóng vai trò quyết định trong việc thu hút và </w:t>
      </w:r>
      <w:r>
        <w:rPr>
          <w:rFonts w:ascii="Times New Roman" w:hAnsi="Times New Roman" w:eastAsia="Times New Roman" w:cs="Times New Roman"/>
          <w:color w:val="000000"/>
          <w:sz w:val="24"/>
          <w:highlight w:val="white"/>
        </w:rPr>
        <w:t xml:space="preserve">giữ chân dòng vốn FDI chất lượng cao ,” ông Campbell nhấn mạnh.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w:t>
      </w:r>
      <w:hyperlink r:id="rId18" w:tooltip="https://cafef.vn/bat-dong-san-cong-nghiep-du-bao-de-ra-tien-trong-nam-2026-188260220084547166.chn)" w:history="1">
        <w:r>
          <w:rPr>
            <w:rStyle w:val="1020"/>
            <w:rFonts w:ascii="Times New Roman" w:hAnsi="Times New Roman" w:eastAsia="Times New Roman" w:cs="Times New Roman"/>
            <w:i/>
            <w:color w:val="000000"/>
            <w:sz w:val="24"/>
            <w:highlight w:val="white"/>
            <w:u w:val="single"/>
          </w:rPr>
          <w:t xml:space="preserve">https://cafef.vn/bat-dong-san-cong-nghiep-du-bao-de-ra-tien-trong-nam-2026-188260220084547166.chn)</w:t>
        </w:r>
      </w:hyperlink>
      <w:r>
        <w:rPr>
          <w:b/>
          <w:bCs/>
          <w:highlight w:val="none"/>
          <w:lang w:val="pt-BR"/>
        </w:rPr>
      </w:r>
      <w:r/>
    </w:p>
    <w:p>
      <w:pPr>
        <w:pStyle w:val="1030"/>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52"/>
        <w:gridCol w:w="2169"/>
        <w:gridCol w:w="1984"/>
        <w:gridCol w:w="2292"/>
        <w:gridCol w:w="252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Giấy chứng nhận quyền sử dụng đất, quyền sở hữu tài sản gắn l</w:t>
            </w:r>
            <w:r>
              <w:rPr>
                <w:rFonts w:ascii="Times New Roman" w:hAnsi="Times New Roman" w:eastAsia="Times New Roman" w:cs="Times New Roman"/>
                <w:b/>
                <w:color w:val="000000"/>
                <w:sz w:val="24"/>
              </w:rPr>
              <w:t xml:space="preserve">iền với đất số: AA 02012599, số vào sổ cấp GCN: VP 1146 do Văn phòng đăng ký đất đai Thành phố Hồ Chí Minh cấp ngày 24 tháng 7 năm 2025; chủ sử dụng đất là Công ty Cổ phần Bảo vệ Thực vật Sài Gòn..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312</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Lô số C1-C3, đường số 14, Khu công nghiệp Hiệp Phước, xã Hiệp Phước, Thành phố Hồ Chí Minh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42123</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42123 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khu công nghiệp</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Đến ngày 29/12/2048</w:t>
            </w:r>
            <w:r/>
          </w:p>
        </w:tc>
      </w:tr>
      <w:tr>
        <w:trPr>
          <w:trHeight w:val="206"/>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tra cứu thông tin tại website Meeymap và nhận thấy tài sản nằm trong khu vực quy hoạch đất công nghiệp. </w:t>
            </w:r>
            <w:r/>
          </w:p>
          <w:p>
            <w:pPr>
              <w:pBdr>
                <w:top w:val="none" w:color="000000" w:sz="4" w:space="0"/>
                <w:left w:val="none" w:color="000000" w:sz="4" w:space="0"/>
                <w:bottom w:val="none" w:color="000000" w:sz="4" w:space="0"/>
                <w:right w:val="none" w:color="000000" w:sz="4" w:space="0"/>
              </w:pBdr>
              <w:spacing/>
              <w:ind w:right="0" w:firstLine="0" w:left="0"/>
              <w:jc w:val="both"/>
              <w:rPr/>
            </w:pPr>
            <w:r>
              <mc:AlternateContent>
                <mc:Choice Requires="wpg">
                  <w:drawing>
                    <wp:inline xmlns:wp="http://schemas.openxmlformats.org/drawingml/2006/wordprocessingDrawing" distT="0" distB="0" distL="0" distR="0">
                      <wp:extent cx="4695764" cy="195439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83625" name=""/>
                              <pic:cNvPicPr>
                                <a:picLocks noChangeAspect="1"/>
                              </pic:cNvPicPr>
                              <pic:nvPr/>
                            </pic:nvPicPr>
                            <pic:blipFill rotWithShape="1">
                              <a:blip r:embed="rId19"/>
                              <a:stretch/>
                            </pic:blipFill>
                            <pic:spPr bwMode="auto">
                              <a:xfrm flipH="0" flipV="0">
                                <a:off x="0" y="0"/>
                                <a:ext cx="4695764" cy="19543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9.75pt;height:153.89pt;mso-wrap-distance-left:0.00pt;mso-wrap-distance-top:0.00pt;mso-wrap-distance-right:0.00pt;mso-wrap-distance-bottom:0.00pt;z-index:1;" stroked="false">
                      <v:imagedata r:id="rId19"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số 14, đường số 3</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góc 2 mặt đường, phố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số 14, đường số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Nam: Tiếp giáp với đường số 14.</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Bắc: Tiếp giáp với đường số 3.</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Các hướng khác: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(10.6325402, 106.7535289)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613717" cy="269008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42948" name=""/>
                              <pic:cNvPicPr>
                                <a:picLocks noChangeAspect="1"/>
                              </pic:cNvPicPr>
                              <pic:nvPr/>
                            </pic:nvPicPr>
                            <pic:blipFill rotWithShape="1">
                              <a:blip r:embed="rId20"/>
                              <a:stretch/>
                            </pic:blipFill>
                            <pic:spPr bwMode="auto">
                              <a:xfrm flipH="0" flipV="0">
                                <a:off x="0" y="0"/>
                                <a:ext cx="5613716" cy="2690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2.02pt;height:211.82pt;mso-wrap-distance-left:0.00pt;mso-wrap-distance-top:0.00pt;mso-wrap-distance-right:0.00pt;mso-wrap-distance-bottom:0.00pt;z-index:1;" stroked="false">
                      <v:imagedata r:id="rId20"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558"/>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42123</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202,27</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213,65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công nghiệp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2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Nhà máy gồm nhiều hạng mục: </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090"/>
              <w:gridCol w:w="2899"/>
              <w:gridCol w:w="2409"/>
            </w:tblGrid>
            <w:tr>
              <w:trPr>
                <w:trHeight w:val="782"/>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Hạng mục công trình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xây dựng</w:t>
                    <w:br/>
                    <w:t xml:space="preserve">  (m²</w:t>
                  </w:r>
                  <w:r>
                    <w:rPr>
                      <w:rFonts w:ascii="Times New Roman" w:hAnsi="Times New Roman" w:eastAsia="Times New Roman" w:cs="Times New Roman"/>
                      <w:b/>
                      <w:color w:val="000000"/>
                      <w:sz w:val="28"/>
                    </w:rPr>
                    <w:t xml:space="preserve">)</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xưởng - Nhà văn phòng</w:t>
                  </w:r>
                  <w:r/>
                </w:p>
              </w:tc>
              <w:tc>
                <w:tcPr>
                  <w:shd w:val="clear" w:color="ffffff" w:fill="ffffff"/>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3510,0</w:t>
                  </w:r>
                  <w:r/>
                </w:p>
              </w:tc>
              <w:tc>
                <w:tcPr>
                  <w:shd w:val="clear" w:color="ffffff" w:fill="ffffff"/>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3744,0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kho </w:t>
                  </w:r>
                  <w:r/>
                </w:p>
              </w:tc>
              <w:tc>
                <w:tcPr>
                  <w:shd w:val="clear" w:color="ffffff" w:fill="ffffff"/>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3456,0</w:t>
                  </w:r>
                  <w:r/>
                </w:p>
              </w:tc>
              <w:tc>
                <w:tcPr>
                  <w:shd w:val="clear" w:color="ffffff" w:fill="ffffff"/>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3456,0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ăn - Nhà vệ sinh </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360,0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xử lý nước thải </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216,0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216,0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Trạm xử lý rác</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bảo vệ</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Xưởng cơ điện</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288,0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288,0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xưởng mở rộng</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234,0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234,0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kho thành phẩm</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3456,0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3456,0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làm việc - Khối kỹ thuật</w:t>
                  </w:r>
                  <w:r/>
                </w:p>
              </w:tc>
              <w:tc>
                <w:tcPr>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246,0</w:t>
                  </w:r>
                  <w:r/>
                </w:p>
              </w:tc>
              <w:tc>
                <w:tcPr>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246,0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kho thuốc cỏ</w:t>
                  </w:r>
                  <w:r/>
                </w:p>
              </w:tc>
              <w:tc>
                <w:tcPr>
                  <w:shd w:val="clear" w:color="ffffff" w:fill="ffffff"/>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960,0</w:t>
                  </w:r>
                  <w:r/>
                </w:p>
              </w:tc>
              <w:tc>
                <w:tcPr>
                  <w:shd w:val="clear" w:color="ffffff" w:fill="ffffff"/>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3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kho </w:t>
                  </w:r>
                  <w:r/>
                </w:p>
              </w:tc>
              <w:tc>
                <w:tcPr>
                  <w:shd w:val="clear" w:color="ffffff" w:fill="ffffff"/>
                  <w:tcBorders>
                    <w:bottom w:val="single" w:color="000000" w:sz="8" w:space="0"/>
                    <w:right w:val="single" w:color="000000" w:sz="8" w:space="0"/>
                  </w:tcBorders>
                  <w:tcMar>
                    <w:left w:w="0" w:type="dxa"/>
                    <w:top w:w="0" w:type="dxa"/>
                    <w:right w:w="0"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2808,0</w:t>
                  </w:r>
                  <w:r/>
                </w:p>
              </w:tc>
              <w:tc>
                <w:tcPr>
                  <w:shd w:val="clear" w:color="ffffff" w:fill="ffffff"/>
                  <w:tcBorders>
                    <w:bottom w:val="single" w:color="000000" w:sz="8" w:space="0"/>
                    <w:right w:val="single" w:color="000000" w:sz="8" w:space="0"/>
                  </w:tcBorders>
                  <w:tcMar>
                    <w:left w:w="0" w:type="dxa"/>
                    <w:top w:w="0" w:type="dxa"/>
                    <w:right w:w="0"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2808,0</w:t>
                  </w:r>
                  <w:r/>
                </w:p>
              </w:tc>
            </w:tr>
          </w:tbl>
          <w:p>
            <w:pPr>
              <w:pBdr/>
              <w:spacing/>
              <w:ind/>
              <w:rPr/>
            </w:pPr>
            <w:r/>
            <w:r/>
          </w:p>
        </w:tc>
      </w:tr>
    </w:tbl>
    <w:p>
      <w:pPr>
        <w:pBdr/>
        <w:spacing w:line="235" w:lineRule="auto"/>
        <w:ind w:left="646"/>
        <w:jc w:val="both"/>
        <w:rPr>
          <w:u w:val="single"/>
        </w:rPr>
      </w:pPr>
      <w:r>
        <w:rPr>
          <w:u w:val="single"/>
        </w:rPr>
      </w:r>
      <w:r>
        <w:rPr>
          <w:u w:val="single"/>
        </w:rPr>
      </w:r>
      <w:r>
        <w:rPr>
          <w:u w:val="single"/>
        </w:rPr>
      </w:r>
    </w:p>
    <w:p>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highlight w:val="none"/>
          <w:shd w:val="clear" w:color="auto" w:fill="ffffff"/>
        </w:rPr>
      </w:r>
    </w:p>
    <w:p>
      <w:pPr>
        <w:pBdr/>
        <w:spacing/>
        <w:ind/>
        <w:rPr>
          <w:b/>
          <w:bCs/>
        </w:rPr>
      </w:pPr>
      <w:r>
        <w:rPr>
          <w:b/>
          <w:bCs/>
          <w:highlight w:val="none"/>
          <w:shd w:val="clear" w:color="auto" w:fill="ffffff"/>
        </w:rPr>
      </w:r>
      <w:r>
        <w:rPr>
          <w:b/>
          <w:bCs/>
          <w:highlight w:val="none"/>
          <w:shd w:val="clear" w:color="auto" w:fill="ffffff"/>
        </w:rPr>
      </w:r>
      <w:r>
        <w:rPr>
          <w:b/>
          <w:bCs/>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67"/>
        <w:gridCol w:w="1663"/>
        <w:gridCol w:w="1560"/>
        <w:gridCol w:w="1605"/>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Lô số C1-C3, đường số 14, Khu công nghiệp Hiệp Phước, xã Hiệp Phước, Thành phố Hồ Chí Minh </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Lô số C1-C3, đường số 14, Khu công nghiệp Hiệp Phước, xã Hiệp Phước, Thành phố Hồ Chí Minh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Hiệp Phước, Huyện Nhà Bè, Thành phố Hồ Chí Minh</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Hiệp Phước, Huyện Nhà Bè, Thành phố Hồ Chí Minh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khu công nghiệp</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khu công nghiệp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VT1</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VT1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 </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công nghiệp, cụm công nghiệp</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công nghiệp, cụm công nghiệp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Môi trường, an ninh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42123</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42123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202,27</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202,27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201,02 </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201,02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góc 2 mặt đường, phố</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góc 2 mặt đường, phố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Cảnh quan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0"/>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0"/>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0"/>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0"/>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417"/>
        <w:gridCol w:w="1701"/>
        <w:gridCol w:w="1984"/>
        <w:gridCol w:w="1701"/>
        <w:gridCol w:w="1984"/>
        <w:gridCol w:w="5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STT</w:t>
            </w:r>
            <w:r>
              <w:rPr>
                <w:sz w:val="21"/>
                <w:szCs w:val="21"/>
              </w:rPr>
            </w:r>
            <w:r>
              <w:rPr>
                <w:sz w:val="21"/>
                <w:szCs w:val="2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ĐẶC ĐIỂM BĐS</w:t>
            </w:r>
            <w:r>
              <w:rPr>
                <w:sz w:val="21"/>
                <w:szCs w:val="21"/>
              </w:rPr>
            </w:r>
            <w:r>
              <w:rPr>
                <w:sz w:val="21"/>
                <w:szCs w:val="2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TSTĐ</w:t>
            </w:r>
            <w:r>
              <w:rPr>
                <w:sz w:val="21"/>
                <w:szCs w:val="21"/>
              </w:rPr>
            </w:r>
            <w:r>
              <w:rPr>
                <w:sz w:val="21"/>
                <w:szCs w:val="2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TSSS1</w:t>
            </w:r>
            <w:r>
              <w:rPr>
                <w:sz w:val="21"/>
                <w:szCs w:val="21"/>
              </w:rPr>
            </w:r>
            <w:r>
              <w:rPr>
                <w:sz w:val="21"/>
                <w:szCs w:val="2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TSSS2</w:t>
            </w:r>
            <w:r>
              <w:rPr>
                <w:sz w:val="21"/>
                <w:szCs w:val="21"/>
              </w:rPr>
            </w:r>
            <w:r>
              <w:rPr>
                <w:sz w:val="21"/>
                <w:szCs w:val="2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TSSS3</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A</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b/>
                <w:color w:val="000000"/>
                <w:sz w:val="21"/>
                <w:szCs w:val="21"/>
              </w:rPr>
              <w:t xml:space="preserve">Thông tin về tài sản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 </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Địa chỉ</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Lô số C1-C3, đường số 14, Khu công nghiệp Hiệp Phước, xã Hiệp Phước, Thành phố Hồ Chí Minh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Đường số 11, Khu công nghiệp Hiệp Phước, xã Hiệp Phước, Thành phố Hồ Chí Minh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Khu công nghiệp Hiệp Phước, xã Hiệp Phước, Thành phố Hồ Chí Minh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Khu công nghiệp Long Hậu, Xã Cần Giuộc, tỉnh Tây Ninh </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Nguồn tham khảo</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https://batdongsan.com.vn/ban-kho-nha-xuong-duong-1-xa-hiep-phuoc-76/ban-tai-1-be-hcm-gia-sieu-hoi-410-ty-61-000-m2-pr44461503?gidzl=r18OEk-SRLNK1HmzuOPlKz4463ZzXca6pr0ROAY6RLlBL4Wohz0n3ynM5pMgWZ8Edm57DJ82jq1Vuf1fK0#js__pr-expired__content-anchor</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Liên hệ trực tiếp</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Liên hệ trực tiếp</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79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Thông tin liên lạc</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SĐT: 0374281744</w:t>
            </w:r>
            <w:r>
              <w:rPr>
                <w:sz w:val="21"/>
                <w:szCs w:val="21"/>
              </w:rPr>
            </w:r>
            <w:r>
              <w:rPr>
                <w:sz w:val="21"/>
                <w:szCs w:val="21"/>
              </w:rPr>
            </w:r>
          </w:p>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(Lê Hiền)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SĐT: 08.9992.9995</w:t>
              <w:br/>
              <w:t xml:space="preserve"> (Thành)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SĐT: 08.9992.9995</w:t>
              <w:br/>
              <w:t xml:space="preserve"> (Thành)</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3</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Tình trạng giao dịch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Đang giao dịch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Đang giao dịch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Đang giao dịch</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4</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Thời điểm thu thập thông tin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Tháng 03/2026</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Tháng 03/2026</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Tháng 03/2026</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5</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Pháp lý</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Giấy chứng nhận quyền sử dụng đất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Giấy chứng nhận quyền sử dụng đất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Giấy chứng nhận quyền sử dụng đất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Giấy chứng nhận quyền sử dụng đất</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6</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Mục đích sử dụng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Đất khu công nghiệp</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Đất khu công nghiệp</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Đất khu công nghiệp</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Đất khu công nghiệp</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7</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Thời hạn sử dụng đất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Có thời hạn (đến 29/12/2048)</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Có thời hạn (đến 01/01/2048)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Có thời hạn (đến 01/01/2052)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Có thời hạn (đến 17/06/2057)</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8</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Vị trí</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Tài sản tại: Lô số C1-C3, đường số 14, Khu công nghiệp Hiệp Phước, xã Hiệp Phước, Thành phố Hồ Chí Minh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Tài sản tại: Khu công nghiệp Hiệp Phước, xã Hiệp Phước, Thành phố Hồ Chí Minh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Tài sản tại: Khu công nghiệp Hiệp Phước, xã Hiệp Phước, Thành phố Hồ Chí Minh</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Tài sản tại: Khu công nghiệp Long Hậu, Xã Cần Giuộc, tỉnh Tây Ninh </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9</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Giao thông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Đường nhựa có vỉa hè</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Đường nhựa có vỉa hè</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Đường nhựa có vỉa hè</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Đường nhựa có vỉa hè</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Độ rộng đường trước tài sản (m)</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15</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15</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15</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12</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11</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Diện tích đất (m²)</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42123</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61000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14464,7</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12127</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12</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Mặt tiền (m)</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202,27</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200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150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104</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13</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Chiều sâu (m)</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201,02</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305</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96.43</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116.61</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14</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Số lượng mặt tiếp giáp</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Tiếp giáp góc 2 mặt đường, phố</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Tiếp giáp 1 mặt tiền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Tiếp giáp góc 2 mặt đường, phố</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Tiếp giáp 1 mặt tiền</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4"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15</w:t>
            </w:r>
            <w:r>
              <w:rPr>
                <w:sz w:val="21"/>
                <w:szCs w:val="21"/>
              </w:rPr>
            </w:r>
            <w:r>
              <w:rPr>
                <w:sz w:val="21"/>
                <w:szCs w:val="21"/>
              </w:rPr>
            </w:r>
          </w:p>
        </w:tc>
        <w:tc>
          <w:tcPr>
            <w:tcBorders>
              <w:bottom w:val="single" w:color="000000" w:sz="4"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Hình dáng thửa đất</w:t>
            </w:r>
            <w:r>
              <w:rPr>
                <w:sz w:val="21"/>
                <w:szCs w:val="21"/>
              </w:rPr>
            </w:r>
            <w:r>
              <w:rPr>
                <w:sz w:val="21"/>
                <w:szCs w:val="21"/>
              </w:rPr>
            </w:r>
          </w:p>
        </w:tc>
        <w:tc>
          <w:tcPr>
            <w:tcBorders>
              <w:bottom w:val="single" w:color="000000" w:sz="4"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đối vuông vức</w:t>
            </w:r>
            <w:r>
              <w:rPr>
                <w:sz w:val="21"/>
                <w:szCs w:val="21"/>
              </w:rPr>
            </w:r>
            <w:r>
              <w:rPr>
                <w:sz w:val="21"/>
                <w:szCs w:val="21"/>
              </w:rPr>
            </w:r>
          </w:p>
        </w:tc>
        <w:tc>
          <w:tcPr>
            <w:tcBorders>
              <w:bottom w:val="single" w:color="000000" w:sz="4"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đối vuông vức</w:t>
            </w:r>
            <w:r>
              <w:rPr>
                <w:sz w:val="21"/>
                <w:szCs w:val="21"/>
              </w:rPr>
            </w:r>
            <w:r>
              <w:rPr>
                <w:sz w:val="21"/>
                <w:szCs w:val="21"/>
              </w:rPr>
            </w:r>
          </w:p>
        </w:tc>
        <w:tc>
          <w:tcPr>
            <w:tcBorders>
              <w:bottom w:val="single" w:color="000000" w:sz="4"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Đa giác khác</w:t>
            </w:r>
            <w:r>
              <w:rPr>
                <w:sz w:val="21"/>
                <w:szCs w:val="21"/>
              </w:rPr>
            </w:r>
            <w:r>
              <w:rPr>
                <w:sz w:val="21"/>
                <w:szCs w:val="21"/>
              </w:rPr>
            </w:r>
          </w:p>
        </w:tc>
        <w:tc>
          <w:tcPr>
            <w:tcBorders>
              <w:bottom w:val="single" w:color="000000" w:sz="4"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đối vuông vức</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16</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Tài sản trên đất </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Đất trống </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Nhà xưởng; Nhà văn phòng </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Đất trống</w:t>
            </w:r>
            <w:r>
              <w:rPr>
                <w:sz w:val="21"/>
                <w:szCs w:val="21"/>
              </w:rPr>
            </w:r>
            <w:r>
              <w:rPr>
                <w:sz w:val="21"/>
                <w:szCs w:val="21"/>
              </w:rPr>
            </w:r>
          </w:p>
        </w:tc>
        <w:tc>
          <w:tcPr>
            <w:tcBorders>
              <w:lef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Cs/>
                <w:i/>
                <w:sz w:val="21"/>
                <w:szCs w:val="21"/>
              </w:rPr>
            </w:pPr>
            <w:r>
              <w:rPr>
                <w:rFonts w:ascii="Times New Roman" w:hAnsi="Times New Roman" w:eastAsia="Times New Roman" w:cs="Times New Roman"/>
                <w:i/>
                <w:iCs/>
                <w:color w:val="000000"/>
                <w:sz w:val="21"/>
                <w:szCs w:val="21"/>
              </w:rPr>
              <w:t xml:space="preserve">Diện tích sàn (m²)</w:t>
            </w:r>
            <w:r>
              <w:rPr>
                <w:i/>
                <w:iCs/>
                <w:sz w:val="21"/>
                <w:szCs w:val="21"/>
              </w:rPr>
            </w:r>
            <w:r>
              <w:rPr>
                <w:bCs/>
                <w:i/>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sz w:val="21"/>
                <w:szCs w:val="21"/>
              </w:rPr>
            </w:pPr>
            <w:r>
              <w:rPr>
                <w:rFonts w:ascii="Times New Roman" w:hAnsi="Times New Roman" w:eastAsia="Times New Roman" w:cs="Times New Roman"/>
                <w:i/>
                <w:iCs/>
                <w:color w:val="000000"/>
                <w:sz w:val="21"/>
                <w:szCs w:val="21"/>
              </w:rPr>
              <w:t xml:space="preserve"> </w:t>
            </w:r>
            <w:r>
              <w:rPr>
                <w:i/>
                <w:iCs/>
                <w:sz w:val="21"/>
                <w:szCs w:val="21"/>
              </w:rPr>
            </w:r>
            <w:r>
              <w:rPr>
                <w:bCs/>
                <w:i/>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sz w:val="21"/>
                <w:szCs w:val="21"/>
              </w:rPr>
            </w:pPr>
            <w:r>
              <w:rPr>
                <w:rFonts w:ascii="Times New Roman" w:hAnsi="Times New Roman" w:eastAsia="Times New Roman" w:cs="Times New Roman"/>
                <w:i/>
                <w:iCs/>
                <w:color w:val="000000"/>
                <w:sz w:val="21"/>
                <w:szCs w:val="21"/>
              </w:rPr>
              <w:t xml:space="preserve">-</w:t>
            </w:r>
            <w:r>
              <w:rPr>
                <w:i/>
                <w:iCs/>
                <w:sz w:val="21"/>
                <w:szCs w:val="21"/>
              </w:rPr>
            </w:r>
            <w:r>
              <w:rPr>
                <w:bCs/>
                <w:i/>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sz w:val="21"/>
                <w:szCs w:val="21"/>
              </w:rPr>
            </w:pPr>
            <w:r>
              <w:rPr>
                <w:rFonts w:ascii="Times New Roman" w:hAnsi="Times New Roman" w:eastAsia="Times New Roman" w:cs="Times New Roman"/>
                <w:i/>
                <w:iCs/>
                <w:color w:val="000000"/>
                <w:sz w:val="21"/>
                <w:szCs w:val="21"/>
              </w:rPr>
              <w:t xml:space="preserve">8600</w:t>
            </w:r>
            <w:r>
              <w:rPr>
                <w:i/>
                <w:iCs/>
                <w:sz w:val="21"/>
                <w:szCs w:val="21"/>
              </w:rPr>
            </w:r>
            <w:r>
              <w:rPr>
                <w:bCs/>
                <w:i/>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sz w:val="21"/>
                <w:szCs w:val="21"/>
              </w:rPr>
            </w:pPr>
            <w:r>
              <w:rPr>
                <w:rFonts w:ascii="Times New Roman" w:hAnsi="Times New Roman" w:eastAsia="Times New Roman" w:cs="Times New Roman"/>
                <w:i/>
                <w:iCs/>
                <w:color w:val="000000"/>
                <w:sz w:val="21"/>
                <w:szCs w:val="21"/>
              </w:rPr>
              <w:t xml:space="preserve">-</w:t>
            </w:r>
            <w:r>
              <w:rPr>
                <w:i/>
                <w:iCs/>
                <w:sz w:val="21"/>
                <w:szCs w:val="21"/>
              </w:rPr>
            </w:r>
            <w:r>
              <w:rPr>
                <w:bCs/>
                <w:i/>
                <w:sz w:val="21"/>
                <w:szCs w:val="21"/>
              </w:rPr>
            </w:r>
          </w:p>
        </w:tc>
        <w:tc>
          <w:tcPr>
            <w:tcBorders>
              <w:lef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17</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Giá rao (đồng)</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410.000.000.000</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190.000.000.000</w:t>
            </w:r>
            <w:r>
              <w:rPr>
                <w:sz w:val="21"/>
                <w:szCs w:val="21"/>
              </w:rPr>
            </w:r>
            <w:r>
              <w:rPr>
                <w:sz w:val="21"/>
                <w:szCs w:val="2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97.016.000.000</w:t>
            </w:r>
            <w:r>
              <w:rPr>
                <w:sz w:val="21"/>
                <w:szCs w:val="21"/>
              </w:rPr>
            </w:r>
            <w:r>
              <w:rPr>
                <w:sz w:val="21"/>
                <w:szCs w:val="21"/>
              </w:rPr>
            </w:r>
          </w:p>
        </w:tc>
        <w:tc>
          <w:tcPr>
            <w:tcBorders>
              <w:lef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top w:val="single" w:color="000000" w:sz="4"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18</w:t>
            </w:r>
            <w:r>
              <w:rPr>
                <w:sz w:val="21"/>
                <w:szCs w:val="21"/>
              </w:rPr>
            </w:r>
            <w:r>
              <w:rPr>
                <w:sz w:val="21"/>
                <w:szCs w:val="21"/>
              </w:rPr>
            </w:r>
          </w:p>
        </w:tc>
        <w:tc>
          <w:tcPr>
            <w:tcBorders>
              <w:top w:val="single" w:color="000000" w:sz="4"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Giá thương lượng/bán (đồng)</w:t>
            </w:r>
            <w:r>
              <w:rPr>
                <w:sz w:val="21"/>
                <w:szCs w:val="21"/>
              </w:rPr>
            </w:r>
            <w:r>
              <w:rPr>
                <w:sz w:val="21"/>
                <w:szCs w:val="21"/>
              </w:rP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295.200.000.000</w:t>
            </w:r>
            <w:r>
              <w:rPr>
                <w:sz w:val="21"/>
                <w:szCs w:val="21"/>
              </w:rPr>
            </w:r>
            <w:r>
              <w:rPr>
                <w:sz w:val="21"/>
                <w:szCs w:val="21"/>
              </w:rP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123.500.000.000</w:t>
            </w:r>
            <w:r>
              <w:rPr>
                <w:sz w:val="21"/>
                <w:szCs w:val="21"/>
              </w:rPr>
            </w:r>
            <w:r>
              <w:rPr>
                <w:sz w:val="21"/>
                <w:szCs w:val="21"/>
              </w:rP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67.911.200.000</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B</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b/>
                <w:color w:val="000000"/>
                <w:sz w:val="21"/>
                <w:szCs w:val="21"/>
              </w:rPr>
              <w:t xml:space="preserve">Chi tiết tính toán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1</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b/>
                <w:color w:val="000000"/>
                <w:sz w:val="21"/>
                <w:szCs w:val="21"/>
              </w:rPr>
              <w:t xml:space="preserve">Giá trị tài sản trên đất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36.438.758.400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Đơn giá xây dựng theo Quyết định số 409/QĐ-BXD ngày 11/4/2025 của Bộ Xây Dựng (đồng/m²)</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highlight w:val="white"/>
              </w:rPr>
              <w:t xml:space="preserve">Nhà xưởng (4.567.800 đồng/m²)</w:t>
            </w:r>
            <w:r>
              <w:rPr>
                <w:rFonts w:ascii="Times New Roman" w:hAnsi="Times New Roman" w:eastAsia="Times New Roman" w:cs="Times New Roman"/>
                <w:color w:val="000000"/>
                <w:sz w:val="21"/>
                <w:szCs w:val="21"/>
              </w:rPr>
              <w:t xml:space="preserve">; </w:t>
            </w:r>
            <w:r>
              <w:rPr>
                <w:sz w:val="21"/>
                <w:szCs w:val="21"/>
              </w:rPr>
            </w:r>
            <w:r>
              <w:rPr>
                <w:sz w:val="21"/>
                <w:szCs w:val="21"/>
              </w:rPr>
            </w:r>
          </w:p>
          <w:p>
            <w:pPr>
              <w:pBdr>
                <w:top w:val="none" w:color="000000" w:sz="4" w:space="0"/>
                <w:left w:val="none" w:color="000000" w:sz="4" w:space="0"/>
                <w:bottom w:val="none" w:color="000000" w:sz="4" w:space="0"/>
                <w:right w:val="none" w:color="000000" w:sz="4" w:space="0"/>
              </w:pBdr>
              <w:spacing/>
              <w:ind w:right="0" w:firstLine="0" w:left="0"/>
              <w:jc w:val="left"/>
              <w:rPr>
                <w:sz w:val="21"/>
                <w:szCs w:val="21"/>
              </w:rPr>
            </w:pPr>
            <w:r>
              <w:rPr>
                <w:rFonts w:ascii="Times New Roman" w:hAnsi="Times New Roman" w:eastAsia="Times New Roman" w:cs="Times New Roman"/>
                <w:color w:val="000000"/>
                <w:sz w:val="21"/>
                <w:szCs w:val="21"/>
                <w:highlight w:val="white"/>
              </w:rPr>
              <w:t xml:space="preserve">Nhà văn phòng (5.014.342 đồng/m²)</w:t>
            </w:r>
            <w:r>
              <w:rPr>
                <w:rFonts w:ascii="Times New Roman" w:hAnsi="Times New Roman" w:eastAsia="Times New Roman" w:cs="Times New Roman"/>
                <w:color w:val="000000"/>
                <w:sz w:val="21"/>
                <w:szCs w:val="21"/>
                <w:highlight w:val="white"/>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 Tỷ lệ % CLCL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highlight w:val="white"/>
              </w:rPr>
              <w:t xml:space="preserve">Nhà xưởng (90%) </w:t>
              <w:br/>
              <w:t xml:space="preserve"> Nhà văn phòng (90%)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2</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b/>
                <w:color w:val="000000"/>
                <w:sz w:val="21"/>
                <w:szCs w:val="21"/>
              </w:rPr>
              <w:t xml:space="preserve">Giá trị đất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295.200.000.000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87.061.241.600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67.911.200.000</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3</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b/>
                <w:color w:val="000000"/>
                <w:sz w:val="21"/>
                <w:szCs w:val="21"/>
              </w:rPr>
              <w:t xml:space="preserve">Đơn giá QSDĐ (đồng/m²)</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4.839.344</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6.018.876</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5.600.000</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b/>
                <w:color w:val="000000"/>
                <w:sz w:val="21"/>
                <w:szCs w:val="21"/>
              </w:rPr>
              <w:t xml:space="preserve">C</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b/>
                <w:color w:val="000000"/>
                <w:sz w:val="21"/>
                <w:szCs w:val="21"/>
              </w:rPr>
              <w:t xml:space="preserve">NHẬN XÉT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Pháp lý</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2</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Mục đích sử dụng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573"/>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3</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Thời hạn sử dụng đất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4</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Vị trí</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5</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Giao thông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6</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Độ rộng đường trước tài sản (m)</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7</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Diện tích đất (m²)</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Kém lợi thế hơn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Lợi thế hơn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Lợi thế hơn</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8</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Mặt tiền (m)</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Lợi thế hơn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Lợi thế hơn</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9</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Chiều sâu (m)</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Lợi thế hơn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Lợi thế hơn</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10</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Số lượng mặt tiếp giáp</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Kém lợi thế hơn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Kém lợi thế hơn</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11</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1"/>
                <w:szCs w:val="21"/>
              </w:rPr>
            </w:pPr>
            <w:r>
              <w:rPr>
                <w:rFonts w:ascii="Times New Roman" w:hAnsi="Times New Roman" w:eastAsia="Times New Roman" w:cs="Times New Roman"/>
                <w:color w:val="000000"/>
                <w:sz w:val="21"/>
                <w:szCs w:val="21"/>
              </w:rPr>
              <w:t xml:space="preserve">Hình dáng thửa đất</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 </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Kém lợi thế hơn</w:t>
            </w:r>
            <w:r>
              <w:rPr>
                <w:sz w:val="21"/>
                <w:szCs w:val="21"/>
              </w:rPr>
            </w:r>
            <w:r>
              <w:rPr>
                <w:sz w:val="21"/>
                <w:szCs w:val="2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1"/>
                <w:szCs w:val="21"/>
              </w:rPr>
            </w:pPr>
            <w:r>
              <w:rPr>
                <w:rFonts w:ascii="Times New Roman" w:hAnsi="Times New Roman" w:eastAsia="Times New Roman" w:cs="Times New Roman"/>
                <w:color w:val="000000"/>
                <w:sz w:val="21"/>
                <w:szCs w:val="21"/>
              </w:rPr>
              <w:t xml:space="preserve">Tương đồng</w:t>
            </w:r>
            <w:r>
              <w:rPr>
                <w:sz w:val="21"/>
                <w:szCs w:val="21"/>
              </w:rPr>
            </w:r>
            <w:r>
              <w:rPr>
                <w:sz w:val="21"/>
                <w:szCs w:val="21"/>
              </w:rP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sz w:val="21"/>
                <w:szCs w:val="21"/>
              </w:rPr>
            </w:pPr>
            <w:r>
              <w:rPr>
                <w:sz w:val="21"/>
                <w:szCs w:val="21"/>
              </w:rPr>
            </w:r>
            <w:r>
              <w:rPr>
                <w:sz w:val="21"/>
                <w:szCs w:val="21"/>
              </w:rPr>
            </w:r>
          </w:p>
        </w:tc>
      </w:tr>
    </w:tbl>
    <w:p>
      <w:pPr>
        <w:pBdr/>
        <w:tabs>
          <w:tab w:val="left" w:leader="none" w:pos="720"/>
        </w:tabs>
        <w:spacing w:after="120" w:before="120" w:line="276" w:lineRule="auto"/>
        <w:ind w:firstLine="0" w:left="0"/>
        <w:jc w:val="both"/>
        <w:rPr>
          <w:b/>
          <w:bCs/>
          <w:lang w:val="nl-NL"/>
        </w:rPr>
      </w:pPr>
      <w:r>
        <w:rPr>
          <w:b/>
          <w:highlight w:val="none"/>
          <w:lang w:val="nl-NL" w:bidi="nl-NL"/>
        </w:rPr>
      </w:r>
      <w:r>
        <w:rPr>
          <w:b/>
          <w:highlight w:val="none"/>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pPr>
        <w:pBdr/>
        <w:spacing w:after="120" w:before="120" w:line="276" w:lineRule="auto"/>
        <w:ind/>
        <w:jc w:val="both"/>
        <w:rPr>
          <w:b/>
          <w:bCs/>
          <w:i/>
        </w:rPr>
      </w:pPr>
      <w:r>
        <w:rPr>
          <w:b/>
          <w:bCs/>
          <w:i/>
          <w:iCs/>
          <w:highlight w:val="none"/>
        </w:rPr>
      </w:r>
      <w:r>
        <w:rPr>
          <w:b/>
          <w:bCs/>
          <w:i/>
          <w:iCs/>
          <w:highlight w:val="none"/>
        </w:rPr>
      </w:r>
      <w:r>
        <w:rPr>
          <w:b/>
          <w:bCs/>
          <w:i/>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420"/>
        <w:gridCol w:w="1624"/>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295.200.000.000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87.061.241.600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67.911.200.000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Đất khu công nghiệp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Đất khu công nghiệp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Đất khu công nghiệp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Đất khu công nghiệp</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Có thời hạn (đến 29/12/2048)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Có thời hạn (đến 01/01/2048)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Có thời hạn (đến 01/01/2052)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Có thời hạn (đến 17/06/2057)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Tài sản tại: Lô số C1-C3, đường số 14, Khu công nghiệp Hiệp Phước, xã Hiệp Phước, Thành phố Hồ Chí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Tài sản tại: Khu công nghiệp Hiệp Phước, xã Hiệp Phước, Thành phố Hồ Chí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Tài sản tại: Khu công nghiệp Hiệp Phước, xã Hiệp Phước, Thành phố Hồ Chí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Tài sản tại: Khu công nghiệp Long Hậu, Xã Cần Giuộc, tỉnh Tây Ninh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45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4.839.344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42123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14464.7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12127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241.967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-601.888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-560.000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5.081.311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5.416.988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202,27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-361.133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-336.000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5.081.311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5.055.855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4.704.000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201,02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96,43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116,61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-300.944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-280.000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5.081.311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4.754.911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4.424.000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Tiếp giáp góc 2 mặt đường, phố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Tiếp giáp góc 2 mặt đường, phố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725.902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840.000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5.807.213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4.754.911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5.264.000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Tương đối 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-300.944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5.807.213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4.453.967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5.264.000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5.807.213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4.453.967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5.264.000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5.175.060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12.22%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-13.93%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1.72%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967.869</w:t>
            </w:r>
            <w:r>
              <w:rPr>
                <w:rFonts w:ascii="Times New Roman" w:hAnsi="Times New Roman" w:eastAsia="Times New Roman" w:cs="Times New Roman"/>
                <w:b/>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1.564.909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2.016.000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0% - 15%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0"/>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967.869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1.564.909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336.000</w:t>
            </w:r>
            <w:r/>
          </w:p>
        </w:tc>
      </w:tr>
    </w:tbl>
    <w:p>
      <w:pPr>
        <w:pBdr/>
        <w:spacing w:after="120" w:before="120" w:line="276" w:lineRule="auto"/>
        <w:ind/>
        <w:jc w:val="both"/>
        <w:rPr>
          <w:b/>
          <w:bCs/>
          <w:i/>
          <w:highlight w:val="none"/>
        </w:rPr>
      </w:pPr>
      <w:r>
        <w:rPr>
          <w:b/>
          <w:bCs/>
          <w:i/>
          <w:iCs/>
          <w:highlight w:val="none"/>
        </w:rPr>
      </w:r>
      <w:r>
        <w:rPr>
          <w:b/>
          <w:bCs/>
          <w:i/>
          <w:iCs/>
          <w:highlight w:val="none"/>
        </w:rPr>
      </w:r>
      <w:r>
        <w:rPr>
          <w:b/>
          <w:bCs/>
          <w:i/>
          <w:highlight w:val="none"/>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-13,93</w:t>
      </w:r>
      <w:r>
        <w:t xml:space="preserve">% đến </w:t>
      </w:r>
      <w:r>
        <w:t xml:space="preserve">12,22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5.807.213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1.936.125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4.453.967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1.484.507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5.264.000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1.754.491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5.175.123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w:t>
      </w:r>
      <w:r>
        <w:rPr>
          <w:b/>
          <w:bCs/>
          <w:color w:val="000000" w:themeColor="text1"/>
        </w:rPr>
        <w:t xml:space="preserve"> </w:t>
      </w:r>
      <w:r>
        <w:rPr>
          <w:b/>
          <w:bCs/>
        </w:rPr>
        <w:t xml:space="preserve">đồng/m².</w:t>
      </w:r>
      <w:r>
        <w:rPr>
          <w:b/>
          <w:bCs/>
        </w:rPr>
      </w:r>
      <w:r>
        <w:rPr>
          <w:b/>
          <w:bCs/>
        </w:rPr>
      </w:r>
    </w:p>
    <w:p>
      <w:pPr>
        <w:pStyle w:val="1030"/>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30"/>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tỷ lệ hao mòn của công trình xây dựng: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Tỷ lệ hao mòn của công trình xây dựng được tính theo phương pháp tuổi đời kinh tế: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Style w:val="1030"/>
        <w:pBdr/>
        <w:spacing w:after="120" w:before="120" w:line="276" w:lineRule="auto"/>
        <w:ind w:left="0"/>
        <w:jc w:val="both"/>
        <w:rPr>
          <w:b/>
          <w:bCs/>
          <w:highlight w:val="none"/>
          <w:lang w:val="pt-BR"/>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w:t>
      </w: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như sau:</w:t>
      </w:r>
      <w:r>
        <w:rPr>
          <w:b/>
          <w:lang w:val="pt-BR"/>
        </w:rPr>
      </w:r>
      <w:r>
        <w:rPr>
          <w:b/>
          <w:bCs/>
          <w:highlight w:val="none"/>
          <w:lang w:val="pt-BR"/>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96"/>
        <w:gridCol w:w="1111"/>
        <w:gridCol w:w="1002"/>
        <w:gridCol w:w="1082"/>
        <w:gridCol w:w="1199"/>
        <w:gridCol w:w="1275"/>
        <w:gridCol w:w="1561"/>
      </w:tblGrid>
      <w:tr>
        <w:trPr>
          <w:trHeight w:val="10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Tên tài sản</w:t>
            </w:r>
            <w:r/>
          </w:p>
        </w:tc>
        <w:tc>
          <w:tcPr>
            <w:tcBorders>
              <w:top w:val="single" w:color="000000" w:sz="8" w:space="0"/>
              <w:bottom w:val="single" w:color="000000" w:sz="8" w:space="0"/>
              <w:right w:val="single" w:color="000000" w:sz="8" w:space="0"/>
            </w:tcBorders>
            <w:tcMar>
              <w:left w:w="0" w:type="dxa"/>
              <w:top w:w="0" w:type="dxa"/>
              <w:right w:w="0"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highlight w:val="white"/>
              </w:rPr>
              <w:t xml:space="preserve">Tỉ lệ hao mòn (%)</w:t>
            </w:r>
            <w:r/>
          </w:p>
        </w:tc>
        <w:tc>
          <w:tcPr>
            <w:tcBorders>
              <w:top w:val="single" w:color="000000" w:sz="8" w:space="0"/>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Tỷ lệ CLCL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xưởng - Nhà văn phòng</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2007</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48%</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52%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kho </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2007</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48%</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52%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ăn - Nhà vệ sinh </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2007</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38%</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xử lý nước thải </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2007</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48%</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52%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Trạm xử lý rác</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2007</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48%</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52%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bảo vệ</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2010</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32%</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Xưởng cơ điện</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2010</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40%</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xưởng mở rộng</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2010</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40%</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kho thành phẩm</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2010</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40%</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làm việc - Khối kỹ thuật</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2010</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32%</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kho thuốc cỏ</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2010</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40%</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60%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kho </w:t>
            </w:r>
            <w:r/>
          </w:p>
        </w:tc>
        <w:tc>
          <w:tcPr>
            <w:tcBorders>
              <w:bottom w:val="single" w:color="000000" w:sz="8" w:space="0"/>
              <w:right w:val="single" w:color="000000" w:sz="8" w:space="0"/>
            </w:tcBorders>
            <w:tcMar>
              <w:left w:w="0" w:type="dxa"/>
              <w:top w:w="0" w:type="dxa"/>
              <w:right w:w="0"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2019</w:t>
            </w:r>
            <w:r/>
          </w:p>
        </w:tc>
        <w:tc>
          <w:tcPr>
            <w:shd w:val="clear" w:color="ffffff" w:fill="ffffff"/>
            <w:tcBorders>
              <w:bottom w:val="single" w:color="000000" w:sz="8" w:space="0"/>
              <w:right w:val="single" w:color="000000" w:sz="8" w:space="0"/>
            </w:tcBorders>
            <w:tcMar>
              <w:left w:w="0" w:type="dxa"/>
              <w:top w:w="0" w:type="dxa"/>
              <w:right w:w="0" w:type="dxa"/>
              <w:bottom w:w="0" w:type="dxa"/>
            </w:tcMar>
            <w:tcW w:w="1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0" w:type="dxa"/>
              <w:top w:w="0" w:type="dxa"/>
              <w:right w:w="0" w:type="dxa"/>
              <w:bottom w:w="0" w:type="dxa"/>
            </w:tcMar>
            <w:tcW w:w="10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0" w:type="dxa"/>
              <w:top w:w="0" w:type="dxa"/>
              <w:right w:w="0"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0" w:type="dxa"/>
              <w:top w:w="0" w:type="dxa"/>
              <w:right w:w="0"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18%</w:t>
            </w:r>
            <w:r/>
          </w:p>
        </w:tc>
        <w:tc>
          <w:tcPr>
            <w:tcBorders>
              <w:bottom w:val="single" w:color="000000" w:sz="8" w:space="0"/>
              <w:right w:val="single" w:color="000000" w:sz="8" w:space="0"/>
            </w:tcBorders>
            <w:tcMar>
              <w:left w:w="0" w:type="dxa"/>
              <w:top w:w="0" w:type="dxa"/>
              <w:right w:w="0"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82%</w:t>
            </w:r>
            <w:r/>
          </w:p>
        </w:tc>
      </w:tr>
    </w:tbl>
    <w:p>
      <w:pPr>
        <w:pStyle w:val="1030"/>
        <w:pBdr/>
        <w:spacing w:after="120" w:before="120" w:line="276" w:lineRule="auto"/>
        <w:ind w:left="0"/>
        <w:jc w:val="both"/>
        <w:rPr>
          <w:b/>
          <w:bCs/>
          <w:lang w:val="pt-BR"/>
        </w:rPr>
      </w:pPr>
      <w:r>
        <w:rPr>
          <w:b/>
          <w:bCs/>
          <w:lang w:val="pt-BR"/>
        </w:rPr>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 xml:space="preserve">Xác định đơn giá xây mới của công trình xây dựng: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xây dựng, cân nhắc và xem xét với mức độ hoàn thiện của công trình xây dựng hiện có, Tổ thẩm định nhận thấy đơn giá vận dụng theo Quyết định số 409/QĐ-BXD ngày 11/4/2025 của Bộ Xây dựng về</w:t>
      </w:r>
      <w:r>
        <w:rPr>
          <w:rFonts w:ascii="Times New Roman" w:hAnsi="Times New Roman" w:eastAsia="Times New Roman" w:cs="Times New Roman"/>
          <w:color w:val="000000"/>
          <w:sz w:val="24"/>
        </w:rPr>
        <w:t xml:space="preserve"> việc Công bố suất vốn đầu tư xây dựng công trình khá phù hợp với thị trường. Cụ thể như sau:</w:t>
      </w:r>
      <w:r/>
    </w:p>
    <w:tbl>
      <w:tblPr>
        <w:tblStyle w:val="1034"/>
        <w:tblInd w:w="2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84"/>
        <w:gridCol w:w="992"/>
        <w:gridCol w:w="1559"/>
        <w:gridCol w:w="1134"/>
        <w:gridCol w:w="1276"/>
        <w:gridCol w:w="2693"/>
      </w:tblGrid>
      <w:tr>
        <w:trPr>
          <w:trHeight w:val="120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Diện tích sàn</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highlight w:val="white"/>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highlight w:val="white"/>
              </w:rPr>
              <w:t xml:space="preserve">Hệ số điều chỉnh vùng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highlight w:val="white"/>
              </w:rPr>
              <w:t xml:space="preserve">Đơn giá xây dựng mới chưa bao gồm VAT (đồng/m²)</w:t>
            </w:r>
            <w:r/>
          </w:p>
        </w:tc>
        <w:tc>
          <w:tcPr>
            <w:tcBorders>
              <w:top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Thông tin kết cấu theo Quyết định số 409/QĐ-BXD ngày 11/4/2025 của Bộ Xây dựng về việc Công bố suất vốn đầu tư xây dựng công trình </w:t>
            </w:r>
            <w:r/>
          </w:p>
        </w:tc>
      </w:tr>
      <w:tr>
        <w:trPr>
          <w:trHeight w:val="1333"/>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xưởng - Nhà văn phòng</w:t>
            </w:r>
            <w:r/>
          </w:p>
        </w:tc>
        <w:tc>
          <w:tcPr>
            <w:shd w:val="clear" w:color="ffffff" w:fill="ffffff"/>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3744</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2"/>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1 tầng khẩu độ 15m, cao ≤ 9m, không có cầu trục, kết cấu cột kèo thép, tường bao che tôn, mái tôn</w:t>
            </w:r>
            <w:r/>
          </w:p>
        </w:tc>
      </w:tr>
      <w:tr>
        <w:trPr>
          <w:trHeight w:val="6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kho </w:t>
            </w:r>
            <w:r/>
          </w:p>
        </w:tc>
        <w:tc>
          <w:tcPr>
            <w:shd w:val="clear" w:color="ffffff" w:fill="ffffff"/>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3456</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4"/>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 căn hộ khép kín, kết cấu tường gạch chịu lực, mái BTCT đổ tại chỗ</w:t>
            </w:r>
            <w:r/>
          </w:p>
        </w:tc>
      </w:tr>
      <w:tr>
        <w:trPr>
          <w:trHeight w:val="9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ăn - Nhà vệ sinh </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360</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5.363.000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1,064</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5.187.484</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1 tầng khẩu độ 12m, cao ≤ 6m, không có cầu trục, kết cấu tường gạch, bổ trụ, kèo thép, mái tôn. </w:t>
            </w:r>
            <w:r/>
          </w:p>
        </w:tc>
      </w:tr>
      <w:tr>
        <w:trPr>
          <w:trHeight w:val="9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xử lý nước thải </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216</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2.268.000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2.086.560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1 tầng khẩu độ 15m, cao ≤ 9m, không có cầu trục, kết cấu cột kèo thép, tường bao che tôn, mái tôn</w:t>
            </w:r>
            <w:r/>
          </w:p>
        </w:tc>
      </w:tr>
      <w:tr>
        <w:trPr>
          <w:trHeight w:val="6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Trạm xử lý rác</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96</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4"/>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 căn hộ khép kín, kết cấu tường gạch chịu lực, mái BTCT đổ tại chỗ</w:t>
            </w:r>
            <w:r/>
          </w:p>
        </w:tc>
      </w:tr>
      <w:tr>
        <w:trPr>
          <w:trHeight w:val="9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bảo vệ</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5.363.000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1,064</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5.187.484</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 căn hộ khép kín, kết cấu tường gạch chịu lực, mái BTCT đổ tại chỗ</w:t>
            </w:r>
            <w:r/>
          </w:p>
        </w:tc>
      </w:tr>
      <w:tr>
        <w:trPr>
          <w:trHeight w:val="9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Xưởng cơ điện</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288</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2.268.000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2.086.560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1 tầng khẩu độ 12m, cao ≤ 6m, không có cầu trục, kết cấu tường gạch, bổ trụ, kèo thép, mái tôn.</w:t>
            </w:r>
            <w:r/>
          </w:p>
        </w:tc>
      </w:tr>
      <w:tr>
        <w:trPr>
          <w:trHeight w:val="9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mở rộng</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234</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2"/>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1 tầng khẩu độ 15m, cao ≤ 9m, không có cầu trục, kết cấu cột kèo thép, tường bao che tôn, mái tôn</w:t>
            </w:r>
            <w:r/>
          </w:p>
        </w:tc>
      </w:tr>
      <w:tr>
        <w:trPr>
          <w:trHeight w:val="6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kho thành phẩm</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3456</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2"/>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xưởng 1 tầng khẩu độ 15m, cao ≤ 9m, không có cầu trục, kết cấu cột kèo thép, tường bao che tôn, mái tôn.</w:t>
            </w:r>
            <w:r/>
          </w:p>
        </w:tc>
      </w:tr>
      <w:tr>
        <w:trPr>
          <w:trHeight w:val="900"/>
        </w:trPr>
        <w:tc>
          <w:tcPr>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làm việc - Khối kỹ thuật</w:t>
            </w: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246</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5.363.000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1,064</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5.187.484</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 căn hộ khép kín, kết cấu tường gạch chịu lực, mái BTCT đổ tại chỗ.</w:t>
            </w:r>
            <w:r/>
          </w:p>
        </w:tc>
      </w:tr>
      <w:tr>
        <w:trPr>
          <w:trHeight w:val="9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Nhà kho thuốc cỏ</w:t>
            </w:r>
            <w:r/>
          </w:p>
        </w:tc>
        <w:tc>
          <w:tcPr>
            <w:shd w:val="clear" w:color="ffffff" w:fill="ffffff"/>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960</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2"/>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xưởng 1 tầng khẩu độ 15m, cao ≤ 9m, không có cầu trục, kết cấu cột kèo thép, tường bao che tôn, mái tôn</w:t>
            </w:r>
            <w:r/>
          </w:p>
        </w:tc>
      </w:tr>
      <w:tr>
        <w:trPr>
          <w:trHeight w:val="9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Nhà kho </w:t>
            </w:r>
            <w:r/>
          </w:p>
        </w:tc>
        <w:tc>
          <w:tcPr>
            <w:shd w:val="clear" w:color="ffffff" w:fill="ffffff"/>
            <w:tcBorders>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2808</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pacing w:val="-4"/>
                <w:sz w:val="22"/>
                <w:highlight w:val="white"/>
              </w:rPr>
              <w:t xml:space="preserve">4.631.000</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1,012</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xưởng 1 tầng khẩu độ 15m, cao ≤ 9m, không có cầu trục, kết cấu cột kèo thép, tường bao che tôn, mái tôn</w:t>
            </w:r>
            <w:r/>
          </w:p>
        </w:tc>
      </w:tr>
    </w:tbl>
    <w:p>
      <w:pPr>
        <w:pStyle w:val="1030"/>
        <w:pBdr/>
        <w:spacing w:after="120" w:before="120" w:line="276" w:lineRule="auto"/>
        <w:ind w:left="0"/>
        <w:jc w:val="both"/>
        <w:rPr>
          <w:b/>
          <w:bCs/>
          <w:lang w:val="pt-BR"/>
        </w:rPr>
      </w:pPr>
      <w:r>
        <w:rPr>
          <w:b/>
          <w:bCs/>
          <w:lang w:val="pt-BR"/>
        </w:rPr>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BẢNG TÍNH GIÁ TRỊ CÔNG TRÌNH XÂY DỰNG </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45"/>
        <w:gridCol w:w="709"/>
        <w:gridCol w:w="1135"/>
        <w:gridCol w:w="1841"/>
        <w:gridCol w:w="860"/>
        <w:gridCol w:w="1691"/>
        <w:gridCol w:w="1843"/>
      </w:tblGrid>
      <w:tr>
        <w:trPr>
          <w:trHeight w:val="1058"/>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Diện tích sàn</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Tỷ lệ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1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18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 = (2) * (3)</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6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(6)=(4)*(5)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(7) = (4) - (6)</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Nhà xưởng - Nhà văn phòng</w:t>
            </w:r>
            <w:r/>
          </w:p>
        </w:tc>
        <w:tc>
          <w:tcPr>
            <w:shd w:val="clear" w:color="ffffff" w:fill="ffffff"/>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3744,0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15.951.386.880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48%</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7.576.908.768</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8.374.478.112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Nhà kho </w:t>
            </w:r>
            <w:r/>
          </w:p>
        </w:tc>
        <w:tc>
          <w:tcPr>
            <w:shd w:val="clear" w:color="ffffff" w:fill="ffffff"/>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3456,0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14.724.357.120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48%</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6.994.069.632</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7.730.287.488</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ăn - Nhà vệ sinh </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360,0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5.187.484</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1.867.494.109</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38%</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709.647.761</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1.157.846.348</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xử lý nước thải </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216,0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2.086.560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450.696.960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48%</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214.081.056</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236.615.904</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Trạm xử lý rác</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96,0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409.009.920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48%</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194.279.712</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214.730.208</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bảo vệ</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18,0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5.187.484</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93.374.705</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32%</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29.879.906</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63.494.800</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Xưởng cơ điện</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288,0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2.086.560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600.929.280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40%</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240.371.712</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360.557.568</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xưởng mở rộng</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234,0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996.961.680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40%</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398.784.672</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598.177.008</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kho thành phẩm</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3456,0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14.724.357.120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40%</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5.889.742.848</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8.834.614.272</w:t>
            </w:r>
            <w:r/>
          </w:p>
        </w:tc>
      </w:tr>
      <w:tr>
        <w:trPr>
          <w:trHeight w:val="34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Nhà làm việc - Khối kỹ thuật</w:t>
            </w:r>
            <w:r/>
          </w:p>
        </w:tc>
        <w:tc>
          <w:tcPr>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246,0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5.187.484</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1.276.120.975</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32%</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408.358.712</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867.762.263</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Nhà kho thuốc cỏ</w:t>
            </w:r>
            <w:r/>
          </w:p>
        </w:tc>
        <w:tc>
          <w:tcPr>
            <w:shd w:val="clear" w:color="ffffff" w:fill="ffffff"/>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960,0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4.090.099.200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40%</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1.636.039.680</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2.454.059.520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Nhà kho </w:t>
            </w:r>
            <w:r/>
          </w:p>
        </w:tc>
        <w:tc>
          <w:tcPr>
            <w:shd w:val="clear" w:color="ffffff" w:fill="ffffff"/>
            <w:tcBorders>
              <w:bottom w:val="single" w:color="000000" w:sz="8" w:space="0"/>
              <w:right w:val="single" w:color="000000" w:sz="8" w:space="0"/>
            </w:tcBorders>
            <w:tcMar>
              <w:left w:w="0" w:type="dxa"/>
              <w:top w:w="0" w:type="dxa"/>
              <w:right w:w="0"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2808,0</w:t>
            </w:r>
            <w:r/>
          </w:p>
        </w:tc>
        <w:tc>
          <w:tcPr>
            <w:tcBorders>
              <w:bottom w:val="single" w:color="000000" w:sz="8" w:space="0"/>
              <w:right w:val="single" w:color="000000" w:sz="8" w:space="0"/>
            </w:tcBorders>
            <w:tcMar>
              <w:left w:w="0" w:type="dxa"/>
              <w:top w:w="0" w:type="dxa"/>
              <w:right w:w="0" w:type="dxa"/>
              <w:bottom w:w="0" w:type="dxa"/>
            </w:tcMar>
            <w:tcW w:w="113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4.260.520</w:t>
            </w:r>
            <w:r/>
          </w:p>
        </w:tc>
        <w:tc>
          <w:tcPr>
            <w:tcBorders>
              <w:bottom w:val="single" w:color="000000" w:sz="8" w:space="0"/>
              <w:right w:val="single" w:color="000000" w:sz="8" w:space="0"/>
            </w:tcBorders>
            <w:tcMar>
              <w:left w:w="0" w:type="dxa"/>
              <w:top w:w="0" w:type="dxa"/>
              <w:right w:w="0" w:type="dxa"/>
              <w:bottom w:w="0" w:type="dxa"/>
            </w:tcMar>
            <w:tcW w:w="18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11.963.540.160</w:t>
            </w:r>
            <w:r/>
          </w:p>
        </w:tc>
        <w:tc>
          <w:tcPr>
            <w:shd w:val="clear" w:color="ffffff" w:fill="ffffff"/>
            <w:tcBorders>
              <w:bottom w:val="single" w:color="000000" w:sz="8" w:space="0"/>
              <w:right w:val="single" w:color="000000" w:sz="8" w:space="0"/>
            </w:tcBorders>
            <w:tcMar>
              <w:left w:w="0" w:type="dxa"/>
              <w:top w:w="0" w:type="dxa"/>
              <w:right w:w="0" w:type="dxa"/>
              <w:bottom w:w="0" w:type="dxa"/>
            </w:tcMar>
            <w:tcW w:w="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1"/>
              </w:rPr>
              <w:t xml:space="preserve">18%</w:t>
            </w:r>
            <w:r/>
          </w:p>
        </w:tc>
        <w:tc>
          <w:tcPr>
            <w:tcBorders>
              <w:bottom w:val="single" w:color="000000" w:sz="8" w:space="0"/>
              <w:right w:val="single" w:color="000000" w:sz="8" w:space="0"/>
            </w:tcBorders>
            <w:tcMar>
              <w:left w:w="0" w:type="dxa"/>
              <w:top w:w="0" w:type="dxa"/>
              <w:right w:w="0" w:type="dxa"/>
              <w:bottom w:w="0" w:type="dxa"/>
            </w:tcMar>
            <w:tcW w:w="16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2.093.619.528</w:t>
            </w: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1"/>
              </w:rPr>
              <w:t xml:space="preserve">9.869.920.632</w:t>
            </w:r>
            <w:r/>
          </w:p>
        </w:tc>
      </w:tr>
      <w:tr>
        <w:trPr>
          <w:trHeight w:val="599"/>
        </w:trPr>
        <w:tc>
          <w:tcPr>
            <w:gridSpan w:val="6"/>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 TỔNG CỘNG </w:t>
            </w:r>
            <w:r>
              <w:rPr>
                <w:rFonts w:ascii="Times New Roman" w:hAnsi="Times New Roman" w:eastAsia="Times New Roman" w:cs="Times New Roman"/>
                <w:sz w:val="24"/>
              </w:rPr>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1"/>
              </w:rPr>
              <w:t xml:space="preserve">40.762.544.122</w:t>
            </w:r>
            <w:r/>
          </w:p>
        </w:tc>
      </w:tr>
    </w:tbl>
    <w:p>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pPr>
        <w:pStyle w:val="1030"/>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03/2026</w:t>
      </w:r>
      <w:r>
        <w:t xml:space="preserve"> </w:t>
      </w:r>
      <w:r>
        <w:t xml:space="preserve">ước tính </w:t>
      </w:r>
      <w:r>
        <w:t xml:space="preserve">như sau</w:t>
      </w:r>
      <w:r>
        <w:t xml:space="preserve">:</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5"/>
        <w:gridCol w:w="2666"/>
        <w:gridCol w:w="1559"/>
        <w:gridCol w:w="1674"/>
        <w:gridCol w:w="1160"/>
        <w:gridCol w:w="1871"/>
      </w:tblGrid>
      <w:tr>
        <w:trPr>
          <w:trHeight w:val="7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Diện tích </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Đơn giá </w:t>
              <w:br/>
              <w:t xml:space="preserve">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Thành tiền </w:t>
              <w:br/>
              <w:t xml:space="preserve"> (đồng)</w:t>
            </w:r>
            <w:r/>
          </w:p>
        </w:tc>
      </w:tr>
      <w:tr>
        <w:trPr>
          <w:trHeight w:val="2551"/>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01</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0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2"/>
              </w:rPr>
              <w:t xml:space="preserve">Quyền sử dụng đất và tài sản gắn liền với đất tại thửa đất số: 312, tờ bản đồ số: 137, có địa chỉ: Lô số C1-C3, đường số 14, Khu công nghiệp Hiệp Phước, xã Hiệp Phước, thành phố Hồ Chí Minh theo Giấy chứng nhận quyền sử dụng đất, quyền sở hữu tài sản gắn l</w:t>
            </w:r>
            <w:r>
              <w:rPr>
                <w:rFonts w:ascii="Times New Roman" w:hAnsi="Times New Roman" w:eastAsia="Times New Roman" w:cs="Times New Roman"/>
                <w:b/>
                <w:color w:val="000000"/>
                <w:sz w:val="22"/>
              </w:rPr>
              <w:t xml:space="preserve">iền với đất số: AA 02012599, số vào sổ cấp GCN: VP 1146 do Văn phòng đăng ký đất đai Thành phố Hồ Chí Minh cấp ngày 24 tháng 7 năm 2025; chủ sử dụng đất là Công ty Cổ phần Bảo vệ Thực vật Sài Gòn.</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2"/>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b/>
                <w:color w:val="000000"/>
                <w:sz w:val="22"/>
              </w:rPr>
              <w:t xml:space="preserve">Giá trị quyền sử dụng đất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42.123,0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5.000.000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2"/>
              </w:rPr>
              <w:t xml:space="preserve">210.615.000.000</w:t>
            </w:r>
            <w:r/>
          </w:p>
        </w:tc>
      </w:tr>
      <w:tr>
        <w:trPr>
          <w:trHeight w:val="68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b/>
                <w:color w:val="000000"/>
                <w:sz w:val="22"/>
              </w:rPr>
              <w:t xml:space="preserve">Giá trị công trình xây dựng trên đất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15.882,0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2"/>
              </w:rPr>
              <w:t xml:space="preserve">40.762.544.122</w:t>
            </w:r>
            <w:r/>
          </w:p>
        </w:tc>
      </w:tr>
      <w:tr>
        <w:trPr>
          <w:trHeight w:val="3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xưởng - Nhà văn phòng</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3.744,0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8.374.478.112</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3.456,0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7.730.287.488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ăn - Nhà vệ sinh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360,0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5.187.484</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1.157.846.348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xử lý nước thải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216,0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2.086.560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236.615.904</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Trạm xử lý rác</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214.730.208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bảo vệ</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5.187.484</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63.494.800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Xưởng cơ điện</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288,0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2.086.560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360.557.568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xưởng mở rộng</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234,0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598.177.008</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thành phẩm</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3.456,0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8.834.614.272</w:t>
            </w:r>
            <w:r/>
          </w:p>
        </w:tc>
      </w:tr>
      <w:tr>
        <w:trPr>
          <w:trHeight w:val="8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làm việc - Khối kỹ thuật</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246,0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5.187.484</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867.762.263</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thuốc cỏ</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960,0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2.454.059.520</w:t>
            </w:r>
            <w:r/>
          </w:p>
        </w:tc>
      </w:tr>
      <w:tr>
        <w:trPr>
          <w:trHeight w:val="34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6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Nhà kho </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2.808,0</w:t>
            </w:r>
            <w:r/>
          </w:p>
        </w:tc>
        <w:tc>
          <w:tcPr>
            <w:shd w:val="clear" w:color="ffffff" w:fill="ffffff"/>
            <w:tcBorders>
              <w:bottom w:val="single" w:color="000000" w:sz="8" w:space="0"/>
              <w:right w:val="single" w:color="000000" w:sz="8" w:space="0"/>
            </w:tcBorders>
            <w:tcMar>
              <w:left w:w="0" w:type="dxa"/>
              <w:top w:w="0" w:type="dxa"/>
              <w:right w:w="0" w:type="dxa"/>
              <w:bottom w:w="0" w:type="dxa"/>
            </w:tcMar>
            <w:tcW w:w="16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4.260.520</w:t>
            </w:r>
            <w:r/>
          </w:p>
        </w:tc>
        <w:tc>
          <w:tcPr>
            <w:shd w:val="clear" w:color="ffffff" w:fill="ffffff"/>
            <w:tcBorders>
              <w:bottom w:val="single" w:color="000000" w:sz="8" w:space="0"/>
              <w:right w:val="single" w:color="000000" w:sz="8" w:space="0"/>
            </w:tcBorders>
            <w:tcMar>
              <w:left w:w="0" w:type="dxa"/>
              <w:top w:w="0" w:type="dxa"/>
              <w:right w:w="0" w:type="dxa"/>
              <w:bottom w:w="0" w:type="dxa"/>
            </w:tcMar>
            <w:tcW w:w="1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82%</w:t>
            </w:r>
            <w:r/>
          </w:p>
        </w:tc>
        <w:tc>
          <w:tcPr>
            <w:shd w:val="clear" w:color="ffffff" w:fill="ffffff"/>
            <w:tcBorders>
              <w:bottom w:val="single" w:color="000000" w:sz="8" w:space="0"/>
              <w:right w:val="single" w:color="000000" w:sz="8" w:space="0"/>
            </w:tcBorders>
            <w:tcMar>
              <w:left w:w="0" w:type="dxa"/>
              <w:top w:w="0" w:type="dxa"/>
              <w:right w:w="0" w:type="dxa"/>
              <w:bottom w:w="0" w:type="dxa"/>
            </w:tcMar>
            <w:tcW w:w="18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2"/>
              </w:rPr>
              <w:t xml:space="preserve">9.869.920.632</w:t>
            </w:r>
            <w:r/>
          </w:p>
        </w:tc>
      </w:tr>
      <w:tr>
        <w:trPr>
          <w:trHeight w:val="48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5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0" w:type="dxa"/>
              <w:top w:w="0" w:type="dxa"/>
              <w:right w:w="0" w:type="dxa"/>
              <w:bottom w:w="0" w:type="dxa"/>
            </w:tcMar>
            <w:tcW w:w="187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2"/>
              </w:rPr>
              <w:t xml:space="preserve">251.377.544.122</w:t>
            </w:r>
            <w:r/>
          </w:p>
        </w:tc>
      </w:tr>
      <w:tr>
        <w:trPr>
          <w:trHeight w:val="38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65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0" w:type="dxa"/>
              <w:top w:w="0" w:type="dxa"/>
              <w:right w:w="0" w:type="dxa"/>
              <w:bottom w:w="0" w:type="dxa"/>
            </w:tcMar>
            <w:tcW w:w="187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2"/>
              </w:rPr>
              <w:t xml:space="preserve">251.378.000.000</w:t>
            </w:r>
            <w:r/>
          </w:p>
        </w:tc>
      </w:tr>
    </w:tbl>
    <w:p>
      <w:pPr>
        <w:pStyle w:val="1030"/>
        <w:pBdr/>
        <w:tabs>
          <w:tab w:val="left" w:leader="none" w:pos="993"/>
        </w:tabs>
        <w:spacing w:after="120" w:before="120" w:line="276" w:lineRule="auto"/>
        <w:ind w:left="0"/>
        <w:jc w:val="both"/>
        <w:rPr/>
      </w:pPr>
      <w:r/>
      <w:r/>
    </w:p>
    <w:p>
      <w:pPr>
        <w:pStyle w:val="103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0"/>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0"/>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0"/>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0"/>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0"/>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0"/>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0"/>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0"/>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0"/>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0"/>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0"/>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0"/>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0"/>
        <w:pBdr/>
        <w:tabs>
          <w:tab w:val="left" w:leader="none" w:pos="993"/>
        </w:tabs>
        <w:spacing w:after="120" w:before="120" w:line="288" w:lineRule="auto"/>
        <w:ind w:left="0"/>
        <w:jc w:val="both"/>
        <w:rPr>
          <w:bCs/>
          <w:lang w:val="pt-BR"/>
        </w:rPr>
      </w:pPr>
      <w:r>
        <w:rPr>
          <w:bCs/>
          <w:lang w:val="pt-BR"/>
        </w:rPr>
        <w:t xml:space="preserve">Phụ lục 1: Hình ảnh hiện trạng </w:t>
      </w:r>
      <w:r>
        <w:rPr>
          <w:bCs/>
          <w:lang w:val="pt-BR"/>
        </w:rPr>
        <w:t xml:space="preserve">và </w:t>
      </w:r>
      <w:r>
        <w:rPr>
          <w:bCs/>
          <w:lang w:val="pt-BR"/>
        </w:rPr>
        <w:t xml:space="preserve">phá</w:t>
      </w:r>
      <w:r>
        <w:rPr>
          <w:bCs/>
          <w:lang w:val="pt-BR"/>
        </w:rPr>
        <w:t xml:space="preserve">p </w:t>
      </w:r>
      <w:r>
        <w:rPr>
          <w:bCs/>
          <w:lang w:val="pt-BR"/>
        </w:rPr>
        <w:t xml:space="preserve">lý</w:t>
      </w:r>
      <w:r>
        <w:rPr>
          <w:bCs/>
          <w:lang w:val="pt-BR"/>
        </w:rPr>
        <w:t xml:space="preserve"> của tài sản.</w:t>
      </w:r>
      <w:r>
        <w:rPr>
          <w:bCs/>
          <w:lang w:val="pt-BR"/>
        </w:rPr>
      </w:r>
      <w:r>
        <w:rPr>
          <w:bCs/>
          <w:lang w:val="pt-BR"/>
        </w:rPr>
      </w:r>
    </w:p>
    <w:p>
      <w:pPr>
        <w:pStyle w:val="1030"/>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0"/>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275/2026/0463/VFI-CT.69.A</w:t>
      </w:r>
      <w:r>
        <w:rPr>
          <w:color w:val="ff0000"/>
          <w:lang w:val="vi-VN"/>
        </w:rPr>
        <w:t xml:space="preserve"> </w:t>
      </w:r>
      <w:r>
        <w:rPr>
          <w:color w:val="000000" w:themeColor="text1"/>
        </w:rPr>
        <w:t xml:space="preserve">ngày 30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275/2026/0463/VFI-BC.69.A</w:t>
      </w:r>
      <w:r>
        <w:rPr>
          <w:i/>
        </w:rPr>
        <w:t xml:space="preserve"> ngày</w:t>
      </w:r>
      <w:r>
        <w:rPr>
          <w:i/>
          <w:lang w:val="pt-BR"/>
        </w:rPr>
        <w:t xml:space="preserve"> </w:t>
      </w:r>
      <w:r>
        <w:rPr>
          <w:i/>
          <w:lang w:val="pt-BR"/>
        </w:rPr>
        <w:t xml:space="preserve">30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38250" cy="16097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94218" name=""/>
                              <pic:cNvPicPr>
                                <a:picLocks noChangeAspect="1"/>
                              </pic:cNvPicPr>
                              <pic:nvPr/>
                            </pic:nvPicPr>
                            <pic:blipFill rotWithShape="1">
                              <a:blip r:embed="rId21"/>
                              <a:stretch/>
                            </pic:blipFill>
                            <pic:spPr bwMode="auto">
                              <a:xfrm>
                                <a:off x="0" y="0"/>
                                <a:ext cx="1238249" cy="1609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7.50pt;height:126.7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00275" cy="16478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81670" name=""/>
                              <pic:cNvPicPr>
                                <a:picLocks noChangeAspect="1"/>
                              </pic:cNvPicPr>
                              <pic:nvPr/>
                            </pic:nvPicPr>
                            <pic:blipFill rotWithShape="1">
                              <a:blip r:embed="rId22"/>
                              <a:stretch/>
                            </pic:blipFill>
                            <pic:spPr bwMode="auto">
                              <a:xfrm>
                                <a:off x="0" y="0"/>
                                <a:ext cx="2200275" cy="1647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3.25pt;height:129.7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62175" cy="16192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61974" name=""/>
                              <pic:cNvPicPr>
                                <a:picLocks noChangeAspect="1"/>
                              </pic:cNvPicPr>
                              <pic:nvPr/>
                            </pic:nvPicPr>
                            <pic:blipFill rotWithShape="1">
                              <a:blip r:embed="rId23"/>
                              <a:stretch/>
                            </pic:blipFill>
                            <pic:spPr bwMode="auto">
                              <a:xfrm>
                                <a:off x="0" y="0"/>
                                <a:ext cx="2162174" cy="1619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0.25pt;height:127.5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00275" cy="16478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74719" name=""/>
                              <pic:cNvPicPr>
                                <a:picLocks noChangeAspect="1"/>
                              </pic:cNvPicPr>
                              <pic:nvPr/>
                            </pic:nvPicPr>
                            <pic:blipFill rotWithShape="1">
                              <a:blip r:embed="rId24"/>
                              <a:stretch/>
                            </pic:blipFill>
                            <pic:spPr bwMode="auto">
                              <a:xfrm>
                                <a:off x="0" y="0"/>
                                <a:ext cx="2200275" cy="1647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3.25pt;height:129.7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43125" cy="16002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17877" name=""/>
                              <pic:cNvPicPr>
                                <a:picLocks noChangeAspect="1"/>
                              </pic:cNvPicPr>
                              <pic:nvPr/>
                            </pic:nvPicPr>
                            <pic:blipFill rotWithShape="1">
                              <a:blip r:embed="rId25"/>
                              <a:stretch/>
                            </pic:blipFill>
                            <pic:spPr bwMode="auto">
                              <a:xfrm>
                                <a:off x="0" y="0"/>
                                <a:ext cx="2143125" cy="1600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8.75pt;height:126.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79642" cy="163302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68976" name=""/>
                              <pic:cNvPicPr>
                                <a:picLocks noChangeAspect="1"/>
                              </pic:cNvPicPr>
                              <pic:nvPr/>
                            </pic:nvPicPr>
                            <pic:blipFill rotWithShape="1">
                              <a:blip r:embed="rId26"/>
                              <a:stretch/>
                            </pic:blipFill>
                            <pic:spPr bwMode="auto">
                              <a:xfrm rot="0" flipH="0" flipV="0">
                                <a:off x="0" y="0"/>
                                <a:ext cx="2179640" cy="1633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1.63pt;height:128.58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20939" cy="158904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92786" name=""/>
                              <pic:cNvPicPr>
                                <a:picLocks noChangeAspect="1"/>
                              </pic:cNvPicPr>
                              <pic:nvPr/>
                            </pic:nvPicPr>
                            <pic:blipFill rotWithShape="1">
                              <a:blip r:embed="rId27"/>
                              <a:stretch/>
                            </pic:blipFill>
                            <pic:spPr bwMode="auto">
                              <a:xfrm flipH="0" flipV="0">
                                <a:off x="0" y="0"/>
                                <a:ext cx="2120938" cy="15890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7.00pt;height:125.1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97789" cy="157169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0000" name=""/>
                              <pic:cNvPicPr>
                                <a:picLocks noChangeAspect="1"/>
                              </pic:cNvPicPr>
                              <pic:nvPr/>
                            </pic:nvPicPr>
                            <pic:blipFill rotWithShape="1">
                              <a:blip r:embed="rId28"/>
                              <a:stretch/>
                            </pic:blipFill>
                            <pic:spPr bwMode="auto">
                              <a:xfrm flipH="0" flipV="0">
                                <a:off x="0" y="0"/>
                                <a:ext cx="2097789" cy="15716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5.18pt;height:123.76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tbl>
      <w:tblPr>
        <w:tblStyle w:val="1034"/>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17520" cy="15864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74213" name=""/>
                              <pic:cNvPicPr>
                                <a:picLocks noChangeAspect="1"/>
                              </pic:cNvPicPr>
                              <pic:nvPr/>
                            </pic:nvPicPr>
                            <pic:blipFill rotWithShape="1">
                              <a:blip r:embed="rId29"/>
                              <a:stretch/>
                            </pic:blipFill>
                            <pic:spPr bwMode="auto">
                              <a:xfrm flipH="0" flipV="0">
                                <a:off x="0" y="0"/>
                                <a:ext cx="2117520" cy="1586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73pt;height:124.92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96176" cy="17203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07016" name=""/>
                              <pic:cNvPicPr>
                                <a:picLocks noChangeAspect="1"/>
                              </pic:cNvPicPr>
                              <pic:nvPr/>
                            </pic:nvPicPr>
                            <pic:blipFill rotWithShape="1">
                              <a:blip r:embed="rId30"/>
                              <a:stretch/>
                            </pic:blipFill>
                            <pic:spPr bwMode="auto">
                              <a:xfrm flipH="0" flipV="0">
                                <a:off x="0" y="0"/>
                                <a:ext cx="2296175" cy="17203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0.80pt;height:135.46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96946" cy="164598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5397" name=""/>
                              <pic:cNvPicPr>
                                <a:picLocks noChangeAspect="1"/>
                              </pic:cNvPicPr>
                              <pic:nvPr/>
                            </pic:nvPicPr>
                            <pic:blipFill rotWithShape="1">
                              <a:blip r:embed="rId31"/>
                              <a:stretch/>
                            </pic:blipFill>
                            <pic:spPr bwMode="auto">
                              <a:xfrm flipH="0" flipV="0">
                                <a:off x="0" y="0"/>
                                <a:ext cx="2196946" cy="16459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2.99pt;height:129.61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35580" cy="167493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6829" name=""/>
                              <pic:cNvPicPr>
                                <a:picLocks noChangeAspect="1"/>
                              </pic:cNvPicPr>
                              <pic:nvPr/>
                            </pic:nvPicPr>
                            <pic:blipFill rotWithShape="1">
                              <a:blip r:embed="rId32"/>
                              <a:stretch/>
                            </pic:blipFill>
                            <pic:spPr bwMode="auto">
                              <a:xfrm flipH="0" flipV="0">
                                <a:off x="0" y="0"/>
                                <a:ext cx="2235580" cy="16749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6.03pt;height:131.88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69124" cy="170006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17540" name=""/>
                              <pic:cNvPicPr>
                                <a:picLocks noChangeAspect="1"/>
                              </pic:cNvPicPr>
                              <pic:nvPr/>
                            </pic:nvPicPr>
                            <pic:blipFill rotWithShape="1">
                              <a:blip r:embed="rId33"/>
                              <a:stretch/>
                            </pic:blipFill>
                            <pic:spPr bwMode="auto">
                              <a:xfrm flipH="0" flipV="0">
                                <a:off x="0" y="0"/>
                                <a:ext cx="2269124" cy="17000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8.67pt;height:133.86pt;mso-wrap-distance-left:0.00pt;mso-wrap-distance-top:0.00pt;mso-wrap-distance-right:0.00pt;mso-wrap-distance-bottom:0.00pt;z-index:1;" stroked="false">
                      <v:imagedata r:id="rId3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53843" cy="176353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81299" name=""/>
                              <pic:cNvPicPr>
                                <a:picLocks noChangeAspect="1"/>
                              </pic:cNvPicPr>
                              <pic:nvPr/>
                            </pic:nvPicPr>
                            <pic:blipFill rotWithShape="1">
                              <a:blip r:embed="rId34"/>
                              <a:stretch/>
                            </pic:blipFill>
                            <pic:spPr bwMode="auto">
                              <a:xfrm flipH="0" flipV="0">
                                <a:off x="0" y="0"/>
                                <a:ext cx="2353843" cy="17635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5.34pt;height:138.86pt;mso-wrap-distance-left:0.00pt;mso-wrap-distance-top:0.00pt;mso-wrap-distance-right:0.00pt;mso-wrap-distance-bottom:0.00pt;z-index:1;" stroked="false">
                      <v:imagedata r:id="rId3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2948"/>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40287" cy="175338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0179" name=""/>
                              <pic:cNvPicPr>
                                <a:picLocks noChangeAspect="1"/>
                              </pic:cNvPicPr>
                              <pic:nvPr/>
                            </pic:nvPicPr>
                            <pic:blipFill rotWithShape="1">
                              <a:blip r:embed="rId35"/>
                              <a:stretch/>
                            </pic:blipFill>
                            <pic:spPr bwMode="auto">
                              <a:xfrm flipH="0" flipV="0">
                                <a:off x="0" y="0"/>
                                <a:ext cx="2340286" cy="1753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4.27pt;height:138.06pt;mso-wrap-distance-left:0.00pt;mso-wrap-distance-top:0.00pt;mso-wrap-distance-right:0.00pt;mso-wrap-distance-bottom:0.00pt;z-index:1;" stroked="false">
                      <v:imagedata r:id="rId3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70808" cy="177624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96696" name=""/>
                              <pic:cNvPicPr>
                                <a:picLocks noChangeAspect="1"/>
                              </pic:cNvPicPr>
                              <pic:nvPr/>
                            </pic:nvPicPr>
                            <pic:blipFill rotWithShape="1">
                              <a:blip r:embed="rId36"/>
                              <a:stretch/>
                            </pic:blipFill>
                            <pic:spPr bwMode="auto">
                              <a:xfrm flipH="0" flipV="0">
                                <a:off x="0" y="0"/>
                                <a:ext cx="2370808" cy="17762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6.68pt;height:139.86pt;mso-wrap-distance-left:0.00pt;mso-wrap-distance-top:0.00pt;mso-wrap-distance-right:0.00pt;mso-wrap-distance-bottom:0.00pt;z-index:1;" stroked="false">
                      <v:imagedata r:id="rId36" o:title=""/>
                      <o:lock v:ext="edit" rotation="t"/>
                    </v:shape>
                  </w:pict>
                </mc:Fallback>
              </mc:AlternateContent>
            </w:r>
            <w:r>
              <w:rPr>
                <w:i/>
                <w:lang w:val="pt-BR"/>
              </w:rPr>
            </w:r>
            <w:r>
              <w:rPr>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w:rPr>
          <w:iCs/>
          <w:lang w:val="pt-BR"/>
        </w:rPr>
        <mc:AlternateContent>
          <mc:Choice Requires="wpg">
            <w:drawing>
              <wp:inline xmlns:wp="http://schemas.openxmlformats.org/drawingml/2006/wordprocessingDrawing" distT="0" distB="0" distL="0" distR="0">
                <wp:extent cx="6048375" cy="855932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24385" name=""/>
                        <pic:cNvPicPr>
                          <a:picLocks noChangeAspect="1"/>
                        </pic:cNvPicPr>
                        <pic:nvPr/>
                      </pic:nvPicPr>
                      <pic:blipFill rotWithShape="1">
                        <a:blip r:embed="rId37"/>
                        <a:stretch/>
                      </pic:blipFill>
                      <pic:spPr bwMode="auto">
                        <a:xfrm rot="0" flipH="0" flipV="0">
                          <a:off x="0" y="0"/>
                          <a:ext cx="6048374" cy="85593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3.96pt;mso-wrap-distance-left:0.00pt;mso-wrap-distance-top:0.00pt;mso-wrap-distance-right:0.00pt;mso-wrap-distance-bottom:0.00pt;rotation:0;z-index:1;" stroked="false">
                <v:imagedata r:id="rId37"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15337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74601" name=""/>
                        <pic:cNvPicPr>
                          <a:picLocks noChangeAspect="1"/>
                        </pic:cNvPicPr>
                        <pic:nvPr/>
                      </pic:nvPicPr>
                      <pic:blipFill rotWithShape="1">
                        <a:blip r:embed="rId38"/>
                        <a:stretch/>
                      </pic:blipFill>
                      <pic:spPr bwMode="auto">
                        <a:xfrm>
                          <a:off x="0" y="0"/>
                          <a:ext cx="6048374" cy="8153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42.00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05467"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75612"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40"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20139" name=""/>
                        <pic:cNvPicPr>
                          <a:picLocks noChangeAspect="1"/>
                        </pic:cNvPicPr>
                        <pic:nvPr/>
                      </pic:nvPicPr>
                      <pic:blipFill rotWithShape="1">
                        <a:blip r:embed="rId4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41" o:title=""/>
                <o:lock v:ext="edit" rotation="t"/>
              </v:shape>
            </w:pict>
          </mc:Fallback>
        </mc:AlternateContent>
      </w:r>
      <w:r>
        <w:rPr>
          <w:highlight w:val="none"/>
        </w:rPr>
      </w:r>
      <w:r>
        <w:rPr>
          <w:highlight w:val="none"/>
        </w:rPr>
      </w:r>
    </w:p>
    <w:p>
      <w:pPr>
        <w:pBdr/>
        <w:shd w:val="nil" w:color="auto"/>
        <w:spacing/>
        <w:ind/>
        <w:rPr>
          <w:bCs/>
          <w:i/>
          <w:lang w:val="pt-BR"/>
        </w:rPr>
      </w:pPr>
      <w:r>
        <w:rPr>
          <w:b/>
          <w:highlight w:val="none"/>
        </w:rPr>
        <w:br w:type="page" w:clear="all"/>
      </w:r>
      <w:r>
        <w:rPr>
          <w:b/>
          <w:highlight w:val="none"/>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275/2026/0463/VFI-BC.69.A</w:t>
      </w:r>
      <w:r>
        <w:rPr>
          <w:i/>
        </w:rPr>
        <w:t xml:space="preserve"> ngày</w:t>
      </w:r>
      <w:r>
        <w:rPr>
          <w:i/>
          <w:lang w:val="pt-BR"/>
        </w:rPr>
        <w:t xml:space="preserve"> </w:t>
      </w:r>
      <w:r>
        <w:rPr>
          <w:i/>
          <w:lang w:val="pt-BR"/>
        </w:rPr>
        <w:t xml:space="preserve">30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https://batdongsan.com.vn/ban-kho-nha-xuong-duong-1-xa-hiep-phuoc-76/ban-tai-1-be-hcm-gia-sieu-hoi-410-ty-61-000-m2-pr44461503?gidzl=r18OEk-SRLNK1HmzuOPlKz4463ZzXca6pr0ROAY6RLlBL4Wohz0n3ynM5pMgWZ8Edm57DJ82jq1Vuf1fK0#js__pr-expired__content-ancho</w:t>
            </w:r>
            <w:r>
              <w:rPr>
                <w:color w:val="000000" w:themeColor="text1"/>
                <w:sz w:val="22"/>
                <w:szCs w:val="22"/>
              </w:rPr>
              <w:t xml:space="preserve">r</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295.200.000.000</w:t>
            </w:r>
            <w:r>
              <w:rPr>
                <w:sz w:val="22"/>
                <w:szCs w:val="22"/>
              </w:rPr>
            </w:r>
            <w:r>
              <w:rPr>
                <w:sz w:val="22"/>
                <w:szCs w:val="22"/>
              </w:rPr>
            </w:r>
          </w:p>
        </w:tc>
      </w:tr>
      <w:tr>
        <w:trPr>
          <w:trHeight w:val="25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(61000m²)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w:t>
            </w:r>
            <w:r>
              <w:rPr>
                <w:color w:val="000000" w:themeColor="text1"/>
                <w:sz w:val="22"/>
                <w:szCs w:val="22"/>
              </w:rPr>
              <w:t xml:space="preserve">đến </w:t>
            </w:r>
            <w:r>
              <w:rPr>
                <w:color w:val="000000" w:themeColor="text1"/>
                <w:sz w:val="22"/>
                <w:szCs w:val="22"/>
              </w:rPr>
              <w:t xml:space="preserve">ngày 01/01/2048)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rPr>
              <w:t xml:space="preserve">Đường Số 11, KCN Hiệp Phước, xã Hiệp Phước,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64081" cy="2742107"/>
                      <wp:effectExtent l="0" t="0" r="0" b="0"/>
                      <wp:docPr id="28" name=""/>
                      <wp:cNvGraphicFramePr/>
                      <a:graphic xmlns:a="http://schemas.openxmlformats.org/drawingml/2006/main">
                        <a:graphicData uri="http://schemas.openxmlformats.org/drawingml/2006/picture">
                          <pic:pic xmlns:pic="http://schemas.openxmlformats.org/drawingml/2006/picture">
                            <pic:nvPicPr>
                              <pic:cNvPr id="134273868" name="" descr=""/>
                              <pic:cNvPicPr/>
                              <pic:nvPr/>
                            </pic:nvPicPr>
                            <pic:blipFill rotWithShape="1">
                              <a:blip r:embed="rId42"/>
                              <a:stretch/>
                            </pic:blipFill>
                            <pic:spPr bwMode="auto">
                              <a:xfrm flipH="0" flipV="0">
                                <a:off x="0" y="0"/>
                                <a:ext cx="5364081" cy="27421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22.37pt;height:215.91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4143375" cy="32004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36004" name=""/>
                              <pic:cNvPicPr>
                                <a:picLocks noChangeAspect="1"/>
                              </pic:cNvPicPr>
                              <pic:nvPr/>
                            </pic:nvPicPr>
                            <pic:blipFill rotWithShape="1">
                              <a:blip r:embed="rId43"/>
                              <a:stretch/>
                            </pic:blipFill>
                            <pic:spPr bwMode="auto">
                              <a:xfrm rot="0" flipH="0" flipV="0">
                                <a:off x="0" y="0"/>
                                <a:ext cx="4143375" cy="3200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26.25pt;height:252.00pt;mso-wrap-distance-left:0.00pt;mso-wrap-distance-top:0.00pt;mso-wrap-distance-right:0.00pt;mso-wrap-distance-bottom:0.00pt;rotation:0;z-index:1;" stroked="false">
                      <v:imagedata r:id="rId4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5221603"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708642746" name="" descr=""/>
                              <pic:cNvPicPr/>
                              <pic:nvPr/>
                            </pic:nvPicPr>
                            <pic:blipFill rotWithShape="1">
                              <a:blip r:embed="rId44"/>
                              <a:stretch/>
                            </pic:blipFill>
                            <pic:spPr bwMode="auto">
                              <a:xfrm>
                                <a:off x="0" y="0"/>
                                <a:ext cx="522160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11.15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76839"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98658516" name="" descr=""/>
                              <pic:cNvPicPr/>
                              <pic:nvPr/>
                            </pic:nvPicPr>
                            <pic:blipFill rotWithShape="1">
                              <a:blip r:embed="rId45"/>
                              <a:stretch/>
                            </pic:blipFill>
                            <pic:spPr bwMode="auto">
                              <a:xfrm>
                                <a:off x="0" y="0"/>
                                <a:ext cx="527683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15.50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75915" cy="1963843"/>
                      <wp:effectExtent l="0" t="0" r="0" b="0"/>
                      <wp:docPr id="32" name=""/>
                      <wp:cNvGraphicFramePr/>
                      <a:graphic xmlns:a="http://schemas.openxmlformats.org/drawingml/2006/main">
                        <a:graphicData uri="http://schemas.openxmlformats.org/drawingml/2006/picture">
                          <pic:pic xmlns:pic="http://schemas.openxmlformats.org/drawingml/2006/picture">
                            <pic:nvPicPr>
                              <pic:cNvPr id="950591202" name="" descr=""/>
                              <pic:cNvPicPr/>
                              <pic:nvPr/>
                            </pic:nvPicPr>
                            <pic:blipFill rotWithShape="1">
                              <a:blip r:embed="rId46"/>
                              <a:stretch/>
                            </pic:blipFill>
                            <pic:spPr bwMode="auto">
                              <a:xfrm flipH="0" flipV="0">
                                <a:off x="0" y="0"/>
                                <a:ext cx="2675914" cy="19638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10.70pt;height:154.63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97081" cy="1963843"/>
                      <wp:effectExtent l="0" t="0" r="0" b="0"/>
                      <wp:docPr id="33" name=""/>
                      <wp:cNvGraphicFramePr/>
                      <a:graphic xmlns:a="http://schemas.openxmlformats.org/drawingml/2006/main">
                        <a:graphicData uri="http://schemas.openxmlformats.org/drawingml/2006/picture">
                          <pic:pic xmlns:pic="http://schemas.openxmlformats.org/drawingml/2006/picture">
                            <pic:nvPicPr>
                              <pic:cNvPr id="756741670" name="" descr=""/>
                              <pic:cNvPicPr/>
                              <pic:nvPr/>
                            </pic:nvPicPr>
                            <pic:blipFill rotWithShape="1">
                              <a:blip r:embed="rId47"/>
                              <a:stretch/>
                            </pic:blipFill>
                            <pic:spPr bwMode="auto">
                              <a:xfrm flipH="0" flipV="0">
                                <a:off x="0" y="0"/>
                                <a:ext cx="2697081" cy="19638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12.37pt;height:154.63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971550" cy="48577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90074" name=""/>
                              <pic:cNvPicPr>
                                <a:picLocks noChangeAspect="1"/>
                              </pic:cNvPicPr>
                              <pic:nvPr/>
                            </pic:nvPicPr>
                            <pic:blipFill rotWithShape="1">
                              <a:blip r:embed="rId48"/>
                              <a:stretch/>
                            </pic:blipFill>
                            <pic:spPr bwMode="auto">
                              <a:xfrm>
                                <a:off x="0" y="0"/>
                                <a:ext cx="971550" cy="485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76.50pt;height:38.25pt;mso-wrap-distance-left:0.00pt;mso-wrap-distance-top:0.00pt;mso-wrap-distance-right:0.00pt;mso-wrap-distance-bottom:0.00pt;z-index:1;" stroked="false">
                      <v:imagedata r:id="rId48" o:title=""/>
                      <o:lock v:ext="edit" rotation="t"/>
                    </v:shape>
                  </w:pict>
                </mc:Fallback>
              </mc:AlternateContent>
            </w:r>
            <w:r/>
          </w:p>
          <w:p>
            <w:pPr>
              <w:pBdr/>
              <w:spacing/>
              <w:ind/>
              <w:jc w:val="center"/>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trưc tiếp</w:t>
            </w:r>
            <w:r>
              <w:rPr>
                <w:color w:val="000000" w:themeColor="text1"/>
                <w:sz w:val="22"/>
                <w:szCs w:val="22"/>
              </w:rPr>
              <w:br/>
              <w:t xml:space="preserve">08.9992.9995</w:t>
            </w:r>
            <w:r>
              <w:rPr>
                <w:sz w:val="22"/>
                <w:szCs w:val="22"/>
              </w:rPr>
              <w:t xml:space="preserve"> </w:t>
            </w:r>
            <w:r>
              <w:rPr>
                <w:sz w:val="22"/>
                <w:szCs w:val="22"/>
              </w:rPr>
              <w:br/>
              <w:t xml:space="preserve">(Thành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190.000.000.000</w:t>
            </w:r>
            <w:r>
              <w:rPr>
                <w:sz w:val="22"/>
                <w:szCs w:val="22"/>
              </w:rPr>
            </w:r>
            <w:r>
              <w:rPr>
                <w:sz w:val="22"/>
                <w:szCs w:val="22"/>
              </w:rPr>
            </w:r>
          </w:p>
        </w:tc>
      </w:tr>
      <w:tr>
        <w:trPr>
          <w:trHeight w:val="39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(14464.7m²)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w:t>
            </w:r>
            <w:r>
              <w:rPr>
                <w:rFonts w:ascii="Times New Roman" w:hAnsi="Times New Roman" w:eastAsia="Times New Roman" w:cs="Times New Roman"/>
                <w:color w:val="000000"/>
                <w:sz w:val="22"/>
              </w:rPr>
              <w:t xml:space="preserve">(đến 01/01/2052)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rPr>
              <w:t xml:space="preserve">Khu công nghiệp Hiệp Phước, xã Hiệp Phước,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14464,7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0813" cy="3175000"/>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9"/>
                              <a:stretch/>
                            </pic:blipFill>
                            <pic:spPr bwMode="auto">
                              <a:xfrm>
                                <a:off x="0" y="0"/>
                                <a:ext cx="55508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37.07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45190" cy="3479260"/>
                      <wp:effectExtent l="0" t="0" r="0" b="0"/>
                      <wp:docPr id="36" name=""/>
                      <wp:cNvGraphicFramePr/>
                      <a:graphic xmlns:a="http://schemas.openxmlformats.org/drawingml/2006/main">
                        <a:graphicData uri="http://schemas.openxmlformats.org/drawingml/2006/picture">
                          <pic:pic xmlns:pic="http://schemas.openxmlformats.org/drawingml/2006/picture">
                            <pic:nvPicPr>
                              <pic:cNvPr id="1957234802" name="" descr=""/>
                              <pic:cNvPicPr/>
                              <pic:nvPr/>
                            </pic:nvPicPr>
                            <pic:blipFill rotWithShape="1">
                              <a:blip r:embed="rId50"/>
                              <a:stretch/>
                            </pic:blipFill>
                            <pic:spPr bwMode="auto">
                              <a:xfrm flipH="0" flipV="0">
                                <a:off x="0" y="0"/>
                                <a:ext cx="3245189" cy="3479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255.53pt;height:273.96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45190" cy="3057525"/>
                      <wp:effectExtent l="0" t="0" r="0" b="0"/>
                      <wp:docPr id="37" name=""/>
                      <wp:cNvGraphicFramePr/>
                      <a:graphic xmlns:a="http://schemas.openxmlformats.org/drawingml/2006/main">
                        <a:graphicData uri="http://schemas.openxmlformats.org/drawingml/2006/picture">
                          <pic:pic xmlns:pic="http://schemas.openxmlformats.org/drawingml/2006/picture">
                            <pic:nvPicPr>
                              <pic:cNvPr id="1460548319" name="" descr=""/>
                              <pic:cNvPicPr/>
                              <pic:nvPr/>
                            </pic:nvPicPr>
                            <pic:blipFill rotWithShape="1">
                              <a:blip r:embed="rId51"/>
                              <a:stretch/>
                            </pic:blipFill>
                            <pic:spPr bwMode="auto">
                              <a:xfrm flipH="0" flipV="0">
                                <a:off x="0" y="0"/>
                                <a:ext cx="3245189" cy="30575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55.53pt;height:240.75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16640" cy="2993247"/>
                      <wp:effectExtent l="0" t="0" r="0" b="0"/>
                      <wp:docPr id="38" name=""/>
                      <wp:cNvGraphicFramePr/>
                      <a:graphic xmlns:a="http://schemas.openxmlformats.org/drawingml/2006/main">
                        <a:graphicData uri="http://schemas.openxmlformats.org/drawingml/2006/picture">
                          <pic:pic xmlns:pic="http://schemas.openxmlformats.org/drawingml/2006/picture">
                            <pic:nvPicPr>
                              <pic:cNvPr id="1861799294" name="" descr=""/>
                              <pic:cNvPicPr/>
                              <pic:nvPr/>
                            </pic:nvPicPr>
                            <pic:blipFill rotWithShape="1">
                              <a:blip r:embed="rId52"/>
                              <a:stretch/>
                            </pic:blipFill>
                            <pic:spPr bwMode="auto">
                              <a:xfrm rot="0" flipH="0" flipV="0">
                                <a:off x="0" y="0"/>
                                <a:ext cx="3416639" cy="29932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269.03pt;height:235.69pt;mso-wrap-distance-left:0.00pt;mso-wrap-distance-top:0.00pt;mso-wrap-distance-right:0.00pt;mso-wrap-distance-bottom:0.00pt;rotation:0;z-index:1;" stroked="false">
                      <v:imagedata r:id="rId5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63105" cy="1793335"/>
                      <wp:effectExtent l="0" t="0" r="0" b="0"/>
                      <wp:docPr id="39" name=""/>
                      <wp:cNvGraphicFramePr/>
                      <a:graphic xmlns:a="http://schemas.openxmlformats.org/drawingml/2006/main">
                        <a:graphicData uri="http://schemas.openxmlformats.org/drawingml/2006/picture">
                          <pic:pic xmlns:pic="http://schemas.openxmlformats.org/drawingml/2006/picture">
                            <pic:nvPicPr>
                              <pic:cNvPr id="919801914" name="" descr=""/>
                              <pic:cNvPicPr/>
                              <pic:nvPr/>
                            </pic:nvPicPr>
                            <pic:blipFill rotWithShape="1">
                              <a:blip r:embed="rId53"/>
                              <a:stretch/>
                            </pic:blipFill>
                            <pic:spPr bwMode="auto">
                              <a:xfrm flipH="0" flipV="0">
                                <a:off x="0" y="0"/>
                                <a:ext cx="2463104" cy="1793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193.95pt;height:141.21pt;mso-wrap-distance-left:0.00pt;mso-wrap-distance-top:0.00pt;mso-wrap-distance-right:0.00pt;mso-wrap-distance-bottom:0.00pt;z-index:1;" stroked="false">
                      <v:imagedata r:id="rId5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730" cy="1793335"/>
                      <wp:effectExtent l="0" t="0" r="0" b="0"/>
                      <wp:docPr id="40" name=""/>
                      <wp:cNvGraphicFramePr/>
                      <a:graphic xmlns:a="http://schemas.openxmlformats.org/drawingml/2006/main">
                        <a:graphicData uri="http://schemas.openxmlformats.org/drawingml/2006/picture">
                          <pic:pic xmlns:pic="http://schemas.openxmlformats.org/drawingml/2006/picture">
                            <pic:nvPicPr>
                              <pic:cNvPr id="2027337991" name="" descr=""/>
                              <pic:cNvPicPr/>
                              <pic:nvPr/>
                            </pic:nvPicPr>
                            <pic:blipFill rotWithShape="1">
                              <a:blip r:embed="rId54"/>
                              <a:stretch/>
                            </pic:blipFill>
                            <pic:spPr bwMode="auto">
                              <a:xfrm flipH="0" flipV="0">
                                <a:off x="0" y="0"/>
                                <a:ext cx="2383729" cy="1793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87.70pt;height:141.21pt;mso-wrap-distance-left:0.00pt;mso-wrap-distance-top:0.00pt;mso-wrap-distance-right:0.00pt;mso-wrap-distance-bottom:0.00pt;z-index:1;" stroked="false">
                      <v:imagedata r:id="rId5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971550" cy="48577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18902" name=""/>
                              <pic:cNvPicPr>
                                <a:picLocks noChangeAspect="1"/>
                              </pic:cNvPicPr>
                              <pic:nvPr/>
                            </pic:nvPicPr>
                            <pic:blipFill rotWithShape="1">
                              <a:blip r:embed="rId55"/>
                              <a:stretch/>
                            </pic:blipFill>
                            <pic:spPr bwMode="auto">
                              <a:xfrm>
                                <a:off x="0" y="0"/>
                                <a:ext cx="971550" cy="485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76.50pt;height:38.25pt;mso-wrap-distance-left:0.00pt;mso-wrap-distance-top:0.00pt;mso-wrap-distance-right:0.00pt;mso-wrap-distance-bottom:0.00pt;z-index:1;" stroked="false">
                      <v:imagedata r:id="rId55" o:title=""/>
                      <o:lock v:ext="edit" rotation="t"/>
                    </v:shape>
                  </w:pict>
                </mc:Fallback>
              </mc:AlternateContent>
            </w:r>
            <w:r/>
          </w:p>
          <w:p>
            <w:pPr>
              <w:pBdr/>
              <w:spacing/>
              <w:ind/>
              <w:jc w:val="left"/>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08.9992.9995</w:t>
            </w:r>
            <w:r>
              <w:rPr>
                <w:sz w:val="22"/>
                <w:szCs w:val="22"/>
              </w:rPr>
              <w:t xml:space="preserve"> </w:t>
            </w:r>
            <w:r>
              <w:rPr>
                <w:sz w:val="22"/>
                <w:szCs w:val="22"/>
              </w:rPr>
              <w:br/>
              <w:t xml:space="preserve">(Thành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97.016.000.000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67.911.200.000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(12127m²)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khu công nghiệp – Có thời hạn (đến 16/06/2054, 28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rPr>
              <w:t xml:space="preserve">KCN Long Hậu, Huyện Cần Giuộc, Tỉnh Tây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12127,0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12415" cy="2602515"/>
                      <wp:effectExtent l="0" t="0" r="0" b="0"/>
                      <wp:docPr id="42" name=""/>
                      <wp:cNvGraphicFramePr/>
                      <a:graphic xmlns:a="http://schemas.openxmlformats.org/drawingml/2006/main">
                        <a:graphicData uri="http://schemas.openxmlformats.org/drawingml/2006/picture">
                          <pic:pic xmlns:pic="http://schemas.openxmlformats.org/drawingml/2006/picture">
                            <pic:nvPicPr>
                              <pic:cNvPr id="1810697550" name="" descr=""/>
                              <pic:cNvPicPr/>
                              <pic:nvPr/>
                            </pic:nvPicPr>
                            <pic:blipFill rotWithShape="1">
                              <a:blip r:embed="rId56"/>
                              <a:stretch/>
                            </pic:blipFill>
                            <pic:spPr bwMode="auto">
                              <a:xfrm flipH="0" flipV="0">
                                <a:off x="0" y="0"/>
                                <a:ext cx="2612414" cy="26025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05.70pt;height:204.92pt;mso-wrap-distance-left:0.00pt;mso-wrap-distance-top:0.00pt;mso-wrap-distance-right:0.00pt;mso-wrap-distance-bottom:0.00pt;z-index:1;" stroked="false">
                      <v:imagedata r:id="rId5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55831" cy="2700758"/>
                      <wp:effectExtent l="0" t="0" r="0" b="0"/>
                      <wp:docPr id="43" name=""/>
                      <wp:cNvGraphicFramePr/>
                      <a:graphic xmlns:a="http://schemas.openxmlformats.org/drawingml/2006/main">
                        <a:graphicData uri="http://schemas.openxmlformats.org/drawingml/2006/picture">
                          <pic:pic xmlns:pic="http://schemas.openxmlformats.org/drawingml/2006/picture">
                            <pic:nvPicPr>
                              <pic:cNvPr id="1749928365" name="" descr=""/>
                              <pic:cNvPicPr/>
                              <pic:nvPr/>
                            </pic:nvPicPr>
                            <pic:blipFill rotWithShape="1">
                              <a:blip r:embed="rId57"/>
                              <a:stretch/>
                            </pic:blipFill>
                            <pic:spPr bwMode="auto">
                              <a:xfrm flipH="0" flipV="0">
                                <a:off x="0" y="0"/>
                                <a:ext cx="2855831" cy="27007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224.87pt;height:212.66pt;mso-wrap-distance-left:0.00pt;mso-wrap-distance-top:0.00pt;mso-wrap-distance-right:0.00pt;mso-wrap-distance-bottom:0.00pt;z-index:1;" stroked="false">
                      <v:imagedata r:id="rId5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3834" cy="5448748"/>
                      <wp:effectExtent l="0" t="0" r="0" b="0"/>
                      <wp:docPr id="4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8"/>
                              <a:stretch/>
                            </pic:blipFill>
                            <pic:spPr bwMode="auto">
                              <a:xfrm rot="16199969" flipH="0" flipV="0">
                                <a:off x="0" y="0"/>
                                <a:ext cx="2743834" cy="54487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216.05pt;height:429.04pt;mso-wrap-distance-left:0.00pt;mso-wrap-distance-top:0.00pt;mso-wrap-distance-right:0.00pt;mso-wrap-distance-bottom:0.00pt;rotation:269;z-index:1;" stroked="false">
                      <v:imagedata r:id="rId5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42915" cy="3175000"/>
                      <wp:effectExtent l="0" t="0" r="0" b="0"/>
                      <wp:docPr id="4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9"/>
                              <a:stretch/>
                            </pic:blipFill>
                            <pic:spPr bwMode="auto">
                              <a:xfrm flipH="0" flipV="0">
                                <a:off x="0" y="0"/>
                                <a:ext cx="53429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420.70pt;height:250.00pt;mso-wrap-distance-left:0.00pt;mso-wrap-distance-top:0.00pt;mso-wrap-distance-right:0.00pt;mso-wrap-distance-bottom:0.00pt;z-index:1;" stroked="false">
                      <v:imagedata r:id="rId5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971550" cy="485775"/>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82572" name=""/>
                              <pic:cNvPicPr>
                                <a:picLocks noChangeAspect="1"/>
                              </pic:cNvPicPr>
                              <pic:nvPr/>
                            </pic:nvPicPr>
                            <pic:blipFill rotWithShape="1">
                              <a:blip r:embed="rId60"/>
                              <a:stretch/>
                            </pic:blipFill>
                            <pic:spPr bwMode="auto">
                              <a:xfrm>
                                <a:off x="0" y="0"/>
                                <a:ext cx="971550" cy="485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76.50pt;height:38.25pt;mso-wrap-distance-left:0.00pt;mso-wrap-distance-top:0.00pt;mso-wrap-distance-right:0.00pt;mso-wrap-distance-bottom:0.00pt;z-index:1;" stroked="false">
                      <v:imagedata r:id="rId60" o:title=""/>
                      <o:lock v:ext="edit" rotation="t"/>
                    </v:shape>
                  </w:pict>
                </mc:Fallback>
              </mc:AlternateContent>
            </w:r>
            <w:r/>
          </w:p>
          <w:p>
            <w:pPr>
              <w:pBdr/>
              <w:spacing/>
              <w:ind/>
              <w:jc w:val="left"/>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195EFB7"/>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371238CB"/>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54D6132"/>
    <w:lvl w:ilvl="0">
      <w:isLgl w:val="false"/>
      <w:lvlJc w:val="righ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cafef.vn/bat-dong-san-cong-nghiep-du-bao-de-ra-tien-trong-nam-2026-188260220084547166.chn)"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image" Target="media/image28.png"/><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image" Target="media/image31.png"/><Relationship Id="rId48" Type="http://schemas.openxmlformats.org/officeDocument/2006/relationships/image" Target="media/image32.png"/><Relationship Id="rId49" Type="http://schemas.openxmlformats.org/officeDocument/2006/relationships/image" Target="media/image33.png"/><Relationship Id="rId50" Type="http://schemas.openxmlformats.org/officeDocument/2006/relationships/image" Target="media/image34.png"/><Relationship Id="rId51" Type="http://schemas.openxmlformats.org/officeDocument/2006/relationships/image" Target="media/image35.png"/><Relationship Id="rId52" Type="http://schemas.openxmlformats.org/officeDocument/2006/relationships/image" Target="media/image36.png"/><Relationship Id="rId53" Type="http://schemas.openxmlformats.org/officeDocument/2006/relationships/image" Target="media/image37.png"/><Relationship Id="rId54" Type="http://schemas.openxmlformats.org/officeDocument/2006/relationships/image" Target="media/image38.png"/><Relationship Id="rId55" Type="http://schemas.openxmlformats.org/officeDocument/2006/relationships/image" Target="media/image39.png"/><Relationship Id="rId56" Type="http://schemas.openxmlformats.org/officeDocument/2006/relationships/image" Target="media/image40.png"/><Relationship Id="rId57" Type="http://schemas.openxmlformats.org/officeDocument/2006/relationships/image" Target="media/image41.png"/><Relationship Id="rId58" Type="http://schemas.openxmlformats.org/officeDocument/2006/relationships/image" Target="media/image42.png"/><Relationship Id="rId59" Type="http://schemas.openxmlformats.org/officeDocument/2006/relationships/image" Target="media/image43.png"/><Relationship Id="rId60" Type="http://schemas.openxmlformats.org/officeDocument/2006/relationships/image" Target="media/image4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511</cp:revision>
  <dcterms:created xsi:type="dcterms:W3CDTF">2025-09-15T02:01:00Z</dcterms:created>
  <dcterms:modified xsi:type="dcterms:W3CDTF">2026-04-04T06:27:43Z</dcterms:modified>
</cp:coreProperties>
</file>