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254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25473"/>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275/2026/0466/VFI-CT.21.A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TRÍ VIỆT INVESTCONS</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Cs/>
                                <w:i w:val="0"/>
                                <w:iCs w:val="0"/>
                              </w:rPr>
                              <w:t xml:space="preserve">Giá trị Quyền sử dụng đất và tài sản gắn liền với đất tại thửa đất có địa chỉ: Ô đất số 4-Dãy B-TT5, dự án Tây Nam Hồ Linh Đàm, phường Hoàng Liệt, quận Hoàng Mai, thành phố Hà Nội </w:t>
                            </w:r>
                            <w:r>
                              <w:rPr>
                                <w:bCs/>
                                <w:i/>
                                <w:iCs/>
                              </w:rPr>
                              <w:t xml:space="preserve">(Nay là phường Hoàng Liệt, Thành phố Hà Nội)</w:t>
                            </w:r>
                            <w:r>
                              <w:rPr>
                                <w:bCs/>
                                <w:i w:val="0"/>
                                <w:iCs w:val="0"/>
                              </w:rPr>
                              <w:t xml:space="preserve"> theo Giấy chứng nhận quyền sử dụ</w:t>
                            </w:r>
                            <w:r>
                              <w:rPr>
                                <w:bCs/>
                                <w:i w:val="0"/>
                                <w:iCs w:val="0"/>
                              </w:rPr>
                              <w:t xml:space="preserve">ng đất, quyền sở hữu nhà ở và tài sản khác gắn liền với đất số: CB 845281, số vào sổ cấp GCN: CS 00783 do Sở Tài nguyên và Môi trường Thành phố Hà Nội cấp ngày 14/01/2016; Chủ tài sản là Ông Lê Phúc Vũ và Bà Hoàng Thị Huệ</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7.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275/2026/0466/VFI-CT.21.A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TRÍ VIỆT INVESTCONS</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Cs/>
                          <w:i w:val="0"/>
                          <w:iCs w:val="0"/>
                        </w:rPr>
                        <w:t xml:space="preserve">Giá trị Quyền sử dụng đất và tài sản gắn liền với đất tại thửa đất có địa chỉ: Ô đất số 4-Dãy B-TT5, dự án Tây Nam Hồ Linh Đàm, phường Hoàng Liệt, quận Hoàng Mai, thành phố Hà Nội </w:t>
                      </w:r>
                      <w:r>
                        <w:rPr>
                          <w:bCs/>
                          <w:i/>
                          <w:iCs/>
                        </w:rPr>
                        <w:t xml:space="preserve">(Nay là phường Hoàng Liệt, Thành phố Hà Nội)</w:t>
                      </w:r>
                      <w:r>
                        <w:rPr>
                          <w:bCs/>
                          <w:i w:val="0"/>
                          <w:iCs w:val="0"/>
                        </w:rPr>
                        <w:t xml:space="preserve"> theo Giấy chứng nhận quyền sử dụ</w:t>
                      </w:r>
                      <w:r>
                        <w:rPr>
                          <w:bCs/>
                          <w:i w:val="0"/>
                          <w:iCs w:val="0"/>
                        </w:rPr>
                        <w:t xml:space="preserve">ng đất, quyền sở hữu nhà ở và tài sản khác gắn liền với đất số: CB 845281, số vào sổ cấp GCN: CS 00783 do Sở Tài nguyên và Môi trường Thành phố Hà Nội cấp ngày 14/01/2016; Chủ tài sản là Ông Lê Phúc Vũ và Bà Hoàng Thị Huệ</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4-23</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25-34</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61" w:type="dxa"/>
        <w:tblBorders/>
        <w:tblLayout w:type="fixed"/>
        <w:tblLook w:val="04A0" w:firstRow="1" w:lastRow="0" w:firstColumn="1" w:lastColumn="0" w:noHBand="0" w:noVBand="1"/>
      </w:tblPr>
      <w:tblGrid>
        <w:gridCol w:w="312"/>
        <w:gridCol w:w="1276"/>
        <w:gridCol w:w="8220"/>
        <w:gridCol w:w="53"/>
      </w:tblGrid>
      <w:tr>
        <w:trPr>
          <w:trHeight w:val="1152"/>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7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9496"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275/2026/0466/VFI-CT.21.A                                   </w:t>
            </w: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25 tháng 3 năm 2026</w:t>
            </w:r>
            <w:r>
              <w:rPr>
                <w:color w:val="000000" w:themeColor="text1"/>
                <w:sz w:val="24"/>
                <w:szCs w:val="24"/>
              </w:rPr>
            </w:r>
            <w:r>
              <w:rPr>
                <w:color w:val="000000" w:themeColor="text1"/>
                <w:sz w:val="24"/>
                <w:szCs w:val="24"/>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TRÍ VIỆT INVESTCONS</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275/2026/0466/VFI-HĐTĐ.21.A</w:t>
      </w:r>
      <w:r>
        <w:rPr>
          <w:spacing w:val="-4"/>
          <w:lang w:val="vi-VN"/>
        </w:rPr>
        <w:t xml:space="preserve"> ký ngày </w:t>
      </w:r>
      <w:r>
        <w:rPr>
          <w:color w:val="000000" w:themeColor="text1"/>
          <w:spacing w:val="-4"/>
        </w:rPr>
        <w:t xml:space="preserve">24 tháng 3 năm 2026</w:t>
      </w:r>
      <w:r>
        <w:rPr>
          <w:spacing w:val="-4"/>
          <w:lang w:val="vi-VN"/>
        </w:rPr>
        <w:t xml:space="preserve"> </w:t>
      </w:r>
      <w:r>
        <w:rPr>
          <w:spacing w:val="-4"/>
          <w:lang w:val="vi-VN"/>
        </w:rPr>
        <w:t xml:space="preserve">giữa </w:t>
      </w:r>
      <w:r>
        <w:rPr>
          <w:color w:val="000000" w:themeColor="text1"/>
          <w:spacing w:val="-4"/>
        </w:rPr>
        <w:t xml:space="preserve">Công ty Cổ phần Trí Việt Investcons</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275/2026/0466/VFI-BC.21.A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25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ayout w:type="fixed"/>
        <w:tblLook w:val="04A0" w:firstRow="1" w:lastRow="0" w:firstColumn="1" w:lastColumn="0" w:noHBand="0" w:noVBand="1"/>
      </w:tblPr>
      <w:tblGrid>
        <w:gridCol w:w="2296"/>
        <w:gridCol w:w="283"/>
        <w:gridCol w:w="6946"/>
      </w:tblGrid>
      <w:tr>
        <w:trPr>
          <w:trHeight w:val="20"/>
        </w:trPr>
        <w:tc>
          <w:tcPr>
            <w:shd w:val="clear" w:color="auto" w:fill="auto"/>
            <w:tcBorders/>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b/>
                <w:color w:val="000000"/>
                <w:sz w:val="24"/>
              </w:rPr>
              <w:t xml:space="preserve">CÔNG TY CỔ PHẦN TRÍ VIỆT INVESTCONS</w:t>
            </w:r>
            <w:r/>
          </w:p>
        </w:tc>
      </w:tr>
      <w:tr>
        <w:trPr>
          <w:trHeight w:val="20"/>
        </w:trPr>
        <w:tc>
          <w:tcPr>
            <w:shd w:val="clear" w:color="auto" w:fill="auto"/>
            <w:tcBorders/>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Phòng 202, tầng 2, lô 04 – TT5B Khu đô thị Tây Nam Linh Đàm, phường Hoàng Liệt, Thành phố Hà Nội</w:t>
            </w:r>
            <w:r/>
          </w:p>
        </w:tc>
      </w:tr>
      <w:tr>
        <w:trPr>
          <w:trHeight w:val="20"/>
        </w:trPr>
        <w:tc>
          <w:tcPr>
            <w:shd w:val="clear" w:color="auto" w:fill="auto"/>
            <w:tcBorders/>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0108413468</w:t>
            </w:r>
            <w:r/>
          </w:p>
        </w:tc>
      </w:tr>
      <w:tr>
        <w:trPr>
          <w:trHeight w:val="20"/>
        </w:trPr>
        <w:tc>
          <w:tcPr>
            <w:shd w:val="clear" w:color="ffffff" w:fill="ffffff"/>
            <w:tcBorders/>
            <w:tcW w:w="229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ffffff" w:fill="ffffff"/>
            <w:tcBorders/>
            <w:tcW w:w="2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before="6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694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b/>
                <w:color w:val="000000"/>
                <w:sz w:val="24"/>
              </w:rPr>
              <w:t xml:space="preserve">Ông Lý Quang Hưng</w:t>
            </w:r>
            <w:r/>
          </w:p>
        </w:tc>
      </w:tr>
      <w:tr>
        <w:trPr>
          <w:trHeight w:val="20"/>
        </w:trPr>
        <w:tc>
          <w:tcPr>
            <w:shd w:val="clear" w:color="auto" w:fill="auto"/>
            <w:tcBorders/>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auto" w:fill="auto"/>
            <w:tcBorders/>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b/>
                <w:color w:val="000000"/>
                <w:sz w:val="24"/>
              </w:rPr>
              <w:t xml:space="preserve">Giám đốc Tài chính</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t xml:space="preserve">Chủ tịch HĐQT kiêm Tổng Giám đốc</w:t>
            </w:r>
            <w:r>
              <w:rPr>
                <w:b/>
                <w:bCs/>
                <w:lang w:val="vi-VN"/>
              </w:rPr>
            </w:r>
            <w:r>
              <w:rPr>
                <w:b/>
                <w:bCs/>
                <w:lang w:val="vi-VN"/>
              </w:rPr>
            </w:r>
          </w:p>
        </w:tc>
      </w:tr>
    </w:tbl>
    <w:p>
      <w:pPr>
        <w:pBdr/>
        <w:spacing w:after="120" w:before="120" w:line="276"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bCs/>
          <w:i w:val="0"/>
          <w:iCs w:val="0"/>
        </w:rPr>
        <w:t xml:space="preserve">Giá trị Quyền sử dụng đất và tài sản gắn liền với đất tại thửa đất có địa chỉ: Ô đất số 4-Dẫy B-TT5, dự án Tây Nam Hồ Linh Đàm, phường Hoàng Liệt, quận Hoàng Mai, thành phố Hà Nội </w:t>
      </w:r>
      <w:r>
        <w:rPr>
          <w:bCs/>
          <w:i/>
          <w:iCs/>
        </w:rPr>
        <w:t xml:space="preserve">(Nay là phường Hoàng Liệt, Thành phố Hà Nội)</w:t>
      </w:r>
      <w:r>
        <w:rPr>
          <w:bCs/>
          <w:i w:val="0"/>
          <w:iCs w:val="0"/>
        </w:rPr>
        <w:t xml:space="preserve"> theo Giấy chứng nhận quyền sử dụ</w:t>
      </w:r>
      <w:r>
        <w:rPr>
          <w:bCs/>
          <w:i w:val="0"/>
          <w:iCs w:val="0"/>
        </w:rPr>
        <w:t xml:space="preserve">ng đất quyền sở hữu nhà ở và tài sản khác gắn liền với đất số: CB 845281, số vào sổ cấp GCN: CS 00783 do Sở Tài nguyên và Môi trường Thành phố Hà Nội cấp ngày 14/01/2016; Chủ tài sản là Ông Lê Phúc Vũ và Bà Hoàng Thị Huệ</w:t>
      </w:r>
      <w:r>
        <w:rPr>
          <w:color w:val="000000" w:themeColor="text1"/>
        </w:rPr>
        <w:t xml:space="preserve">.</w:t>
      </w:r>
      <w:r>
        <w:rPr>
          <w:b/>
          <w:bCs/>
        </w:rPr>
      </w:r>
      <w:r>
        <w:rPr>
          <w:b/>
          <w:bCs/>
        </w:rPr>
      </w:r>
    </w:p>
    <w:p>
      <w:pPr>
        <w:pBdr/>
        <w:spacing w:after="120" w:before="120" w:line="276"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phục vụ công tác vay vốn tại tổ chức tín dụng</w:t>
      </w:r>
      <w:r>
        <w:rPr>
          <w:bCs/>
          <w:lang w:val="vi-VN"/>
        </w:rPr>
        <w:t xml:space="preserve">.</w:t>
      </w:r>
      <w:r>
        <w:rPr>
          <w:bCs/>
        </w:rPr>
      </w:r>
      <w:r>
        <w:rPr>
          <w:bCs/>
        </w:rPr>
      </w:r>
    </w:p>
    <w:p>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276"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276"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976"/>
        <w:gridCol w:w="1276"/>
        <w:gridCol w:w="1559"/>
        <w:gridCol w:w="1134"/>
        <w:gridCol w:w="1843"/>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27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CLCL </w:t>
              <w:b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Thành tiền (đồng)</w:t>
            </w:r>
            <w:r/>
          </w:p>
        </w:tc>
      </w:tr>
      <w:tr>
        <w:trPr>
          <w:trHeight w:val="1607"/>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945" w:type="dxa"/>
            <w:vAlign w:val="center"/>
            <w:textDirection w:val="lrTb"/>
            <w:noWrap w:val="false"/>
          </w:tcPr>
          <w:p>
            <w:pPr>
              <w:pBdr/>
              <w:spacing w:after="0" w:before="0" w:line="288" w:lineRule="auto"/>
              <w:ind w:right="142" w:firstLine="0" w:left="142"/>
              <w:jc w:val="both"/>
              <w:rPr/>
            </w:pPr>
            <w:r>
              <w:rPr>
                <w:rFonts w:ascii="Times New Roman" w:hAnsi="Times New Roman" w:eastAsia="Times New Roman" w:cs="Times New Roman"/>
                <w:b/>
                <w:color w:val="000000"/>
                <w:sz w:val="24"/>
              </w:rPr>
              <w:t xml:space="preserve">Giá trị Quyền sử dụng đất và tài sản gắn liền với đất tại thửa đất có địa chỉ: Ô đất số 4-Dẫy B-TT5, dự án Tây Nam Hồ Linh Đàm, phường Hoàng Liệt, quận Hoàng Mai, thành phố Hà Nội </w:t>
            </w:r>
            <w:r>
              <w:rPr>
                <w:rFonts w:ascii="Times New Roman" w:hAnsi="Times New Roman" w:eastAsia="Times New Roman" w:cs="Times New Roman"/>
                <w:b/>
                <w:i/>
                <w:iCs/>
                <w:color w:val="000000"/>
                <w:sz w:val="24"/>
              </w:rPr>
              <w:t xml:space="preserve">(Nay là phường Hoàng Liệt, Thành phố Hà Nội)</w:t>
            </w:r>
            <w:r>
              <w:rPr>
                <w:rFonts w:ascii="Times New Roman" w:hAnsi="Times New Roman" w:eastAsia="Times New Roman" w:cs="Times New Roman"/>
                <w:b/>
                <w:color w:val="000000"/>
                <w:sz w:val="24"/>
              </w:rPr>
              <w:t xml:space="preserve"> theo Giấy chứng nhận quyền sử d</w:t>
            </w:r>
            <w:r>
              <w:rPr>
                <w:rFonts w:ascii="Times New Roman" w:hAnsi="Times New Roman" w:eastAsia="Times New Roman" w:cs="Times New Roman"/>
                <w:b/>
                <w:color w:val="000000"/>
                <w:sz w:val="24"/>
              </w:rPr>
              <w:t xml:space="preserve">ụng đất quyền sở hữu nhà ở và tài sản khác gắn liền với đất số: CB 845281, số vào sổ cấp GCN: CS 00783 do Sở Tài nguyên và Môi trường Thành phố Hà Nội cấp ngày 14/01/2016; Chủ sử dụng đất là Ông Lê Phúc Vũ và Bà Hoàng Thị Huệ.</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right="0" w:firstLine="0" w:left="142"/>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276" w:type="dxa"/>
            <w:vAlign w:val="center"/>
            <w:textDirection w:val="lrTb"/>
            <w:noWrap/>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210,0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270.000.000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right="142" w:firstLine="0" w:left="0"/>
              <w:jc w:val="right"/>
              <w:rPr/>
            </w:pPr>
            <w:r>
              <w:rPr>
                <w:rFonts w:ascii="Times New Roman" w:hAnsi="Times New Roman" w:eastAsia="Times New Roman" w:cs="Times New Roman"/>
                <w:color w:val="000000"/>
                <w:sz w:val="24"/>
              </w:rPr>
              <w:t xml:space="preserve">56.700.000.000</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right="0" w:firstLine="0" w:left="142"/>
              <w:rPr>
                <w:bCs/>
                <w:i/>
              </w:rPr>
            </w:pPr>
            <w:r>
              <w:rPr>
                <w:rFonts w:ascii="Times New Roman" w:hAnsi="Times New Roman" w:eastAsia="Times New Roman" w:cs="Times New Roman"/>
                <w:color w:val="000000"/>
                <w:sz w:val="24"/>
              </w:rPr>
              <w:t xml:space="preserve">Tài sản gắn liền với đất </w:t>
            </w:r>
            <w:r>
              <w:rPr>
                <w:rFonts w:ascii="Times New Roman" w:hAnsi="Times New Roman" w:eastAsia="Times New Roman" w:cs="Times New Roman"/>
                <w:i/>
                <w:iCs/>
                <w:color w:val="000000"/>
                <w:sz w:val="24"/>
              </w:rPr>
              <w:t xml:space="preserve">(Nhà biệt thự)</w:t>
            </w:r>
            <w:r>
              <w:rPr>
                <w:bCs/>
                <w:i/>
              </w:rPr>
            </w:r>
            <w:r>
              <w:rPr>
                <w:bCs/>
                <w:i/>
              </w:rPr>
            </w:r>
          </w:p>
        </w:tc>
        <w:tc>
          <w:tcPr>
            <w:tcBorders>
              <w:bottom w:val="single" w:color="000000" w:sz="6" w:space="0"/>
              <w:right w:val="single" w:color="000000" w:sz="6" w:space="0"/>
            </w:tcBorders>
            <w:tcMar>
              <w:left w:w="0" w:type="dxa"/>
              <w:top w:w="0" w:type="dxa"/>
              <w:right w:w="0" w:type="dxa"/>
              <w:bottom w:w="0" w:type="dxa"/>
            </w:tcMar>
            <w:tcW w:w="1276" w:type="dxa"/>
            <w:vAlign w:val="center"/>
            <w:textDirection w:val="lrTb"/>
            <w:noWrap/>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269,2</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9.837.968</w:t>
            </w:r>
            <w:r/>
          </w:p>
        </w:tc>
        <w:tc>
          <w:tcPr>
            <w:shd w:val="clear" w:color="ffffff" w:fill="ffffff"/>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88%</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right="142" w:firstLine="0" w:left="0"/>
              <w:jc w:val="right"/>
              <w:rPr/>
            </w:pPr>
            <w:r>
              <w:rPr>
                <w:rFonts w:ascii="Times New Roman" w:hAnsi="Times New Roman" w:eastAsia="Times New Roman" w:cs="Times New Roman"/>
                <w:color w:val="000000"/>
                <w:sz w:val="24"/>
              </w:rPr>
              <w:t xml:space="preserve">2.330.575.267</w:t>
            </w:r>
            <w:r/>
          </w:p>
        </w:tc>
      </w:tr>
      <w:tr>
        <w:trPr>
          <w:trHeight w:val="312"/>
        </w:trPr>
        <w:tc>
          <w:tcPr>
            <w:gridSpan w:val="5"/>
            <w:tcBorders>
              <w:top w:val="single" w:color="000000" w:sz="6" w:space="0"/>
              <w:left w:val="single" w:color="000000" w:sz="6" w:space="0"/>
              <w:bottom w:val="single" w:color="000000" w:sz="6" w:space="0"/>
              <w:right w:val="single" w:color="000000" w:sz="4" w:space="0"/>
            </w:tcBorders>
            <w:tcMar>
              <w:left w:w="0" w:type="dxa"/>
              <w:top w:w="0" w:type="dxa"/>
              <w:right w:w="0" w:type="dxa"/>
              <w:bottom w:w="0" w:type="dxa"/>
            </w:tcMar>
            <w:tcW w:w="7682"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88" w:lineRule="auto"/>
              <w:ind w:right="142" w:firstLine="0" w:left="0"/>
              <w:jc w:val="right"/>
              <w:rPr/>
            </w:pPr>
            <w:r>
              <w:rPr>
                <w:rFonts w:ascii="Times New Roman" w:hAnsi="Times New Roman" w:eastAsia="Times New Roman" w:cs="Times New Roman"/>
                <w:b/>
                <w:color w:val="000000"/>
                <w:sz w:val="24"/>
              </w:rPr>
              <w:t xml:space="preserve">59.030.575.267</w:t>
            </w:r>
            <w:r/>
          </w:p>
        </w:tc>
      </w:tr>
      <w:tr>
        <w:trPr>
          <w:trHeight w:val="312"/>
        </w:trPr>
        <w:tc>
          <w:tcPr>
            <w:gridSpan w:val="5"/>
            <w:tcBorders>
              <w:top w:val="single" w:color="000000" w:sz="6" w:space="0"/>
              <w:left w:val="single" w:color="000000" w:sz="6" w:space="0"/>
              <w:bottom w:val="single" w:color="000000" w:sz="6" w:space="0"/>
              <w:right w:val="single" w:color="000000" w:sz="4" w:space="0"/>
            </w:tcBorders>
            <w:tcMar>
              <w:left w:w="0" w:type="dxa"/>
              <w:top w:w="0" w:type="dxa"/>
              <w:right w:w="0" w:type="dxa"/>
              <w:bottom w:w="0" w:type="dxa"/>
            </w:tcMar>
            <w:tcW w:w="7682"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88" w:lineRule="auto"/>
              <w:ind w:right="142" w:firstLine="0" w:left="0"/>
              <w:jc w:val="right"/>
              <w:rPr/>
            </w:pPr>
            <w:r>
              <w:rPr>
                <w:rFonts w:ascii="Times New Roman" w:hAnsi="Times New Roman" w:eastAsia="Times New Roman" w:cs="Times New Roman"/>
                <w:b/>
                <w:color w:val="000000"/>
                <w:sz w:val="24"/>
              </w:rPr>
              <w:t xml:space="preserve">59.031.000.000</w:t>
            </w:r>
            <w:r/>
          </w:p>
        </w:tc>
      </w:tr>
      <w:tr>
        <w:trPr>
          <w:trHeight w:val="309"/>
        </w:trPr>
        <w:tc>
          <w:tcPr>
            <w:gridSpan w:val="6"/>
            <w:tcBorders>
              <w:top w:val="single" w:color="000000" w:sz="6" w:space="0"/>
              <w:left w:val="single" w:color="000000" w:sz="6" w:space="0"/>
              <w:bottom w:val="single" w:color="000000" w:sz="6" w:space="0"/>
              <w:right w:val="single" w:color="000000" w:sz="4" w:space="0"/>
            </w:tcBorders>
            <w:tcMar>
              <w:left w:w="0" w:type="dxa"/>
              <w:top w:w="0" w:type="dxa"/>
              <w:right w:w="0" w:type="dxa"/>
              <w:bottom w:w="0" w:type="dxa"/>
            </w:tcMar>
            <w:tcW w:w="9524" w:type="dxa"/>
            <w:vAlign w:val="center"/>
            <w:textDirection w:val="lrTb"/>
            <w:noWrap w:val="false"/>
          </w:tcPr>
          <w:p>
            <w:pPr>
              <w:pBdr/>
              <w:spacing w:after="0" w:before="0" w:line="288" w:lineRule="auto"/>
              <w:ind/>
              <w:jc w:val="center"/>
              <w:rPr/>
            </w:pPr>
            <w:r>
              <w:rPr>
                <w:rFonts w:ascii="Times New Roman" w:hAnsi="Times New Roman" w:eastAsia="Times New Roman" w:cs="Times New Roman"/>
                <w:b/>
                <w:i/>
                <w:color w:val="000000"/>
                <w:sz w:val="24"/>
              </w:rPr>
              <w:t xml:space="preserve">(Bằng chữ: Năm mươi chín tỷ, không trăm ba mươi mốt triệu đồng chẵn./.)</w:t>
            </w:r>
            <w:r/>
          </w:p>
        </w:tc>
      </w:tr>
    </w:tbl>
    <w:p>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76"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276" w:lineRule="auto"/>
        <w:ind/>
        <w:rPr/>
      </w:pPr>
      <w:r>
        <w:rPr>
          <w:b/>
          <w:bCs/>
          <w:lang w:val="vi-VN"/>
        </w:rPr>
        <w:t xml:space="preserve">11. Những điều khoản loại trừ và hạn chế của kết quả thẩm định giá:</w:t>
      </w:r>
      <w:r/>
    </w:p>
    <w:p>
      <w:pPr>
        <w:pBdr/>
        <w:spacing w:after="120" w:before="120" w:line="276"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pPr>
        <w:pBdr/>
        <w:spacing w:after="120" w:before="120" w:line="276"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74" w:type="pct"/>
        <w:tblBorders/>
        <w:tblLayout w:type="fixed"/>
        <w:tblLook w:val="01E0" w:firstRow="1" w:lastRow="1" w:firstColumn="1" w:lastColumn="1" w:noHBand="0" w:noVBand="0"/>
      </w:tblPr>
      <w:tblGrid>
        <w:gridCol w:w="4563"/>
        <w:gridCol w:w="5102"/>
      </w:tblGrid>
      <w:tr>
        <w:trPr>
          <w:trHeight w:val="20"/>
        </w:trPr>
        <w:tc>
          <w:tcPr>
            <w:tcBorders/>
            <w:tcW w:w="4563"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4563"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563"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454"/>
        <w:gridCol w:w="1134"/>
        <w:gridCol w:w="3402"/>
        <w:gridCol w:w="4961"/>
      </w:tblGrid>
      <w:tr>
        <w:trPr>
          <w:trHeight w:val="1152"/>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4535"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275/2026/0466/VFI-CT.21.A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25 tháng 3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275/2026/0466/VFI-CT.21.A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25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w:t>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40" w:before="40" w:line="276" w:lineRule="auto"/>
              <w:ind/>
              <w:rPr>
                <w:b/>
                <w:bCs/>
                <w:lang w:val="vi-VN"/>
              </w:rPr>
            </w:pPr>
            <w:r>
              <w:rPr>
                <w:b/>
                <w:bCs/>
                <w:lang w:val="vi-VN"/>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CỔ PHẦN TRÍ VIỆT INVESTCONS</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Phòng 202, tầng 2, lô 04 – TT5B Khu đô thị Tây Nam Linh Đàm, phường Hoàng Liệt,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0108413468</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Style w:val="1035"/>
              <w:pBdr/>
              <w:spacing w:after="60" w:before="60" w:line="276" w:lineRule="auto"/>
              <w:ind w:left="0"/>
              <w:rPr>
                <w:bCs/>
                <w:lang w:val="pt-BR"/>
              </w:rPr>
            </w:pPr>
            <w:r>
              <w:rPr>
                <w:bCs/>
                <w:lang w:val="pt-BR"/>
              </w:rPr>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Lý Quang Hưng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Giám đốc Tài chính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line="276" w:lineRule="auto"/>
              <w:ind/>
              <w:jc w:val="both"/>
              <w:rPr/>
            </w:pPr>
            <w:r>
              <w:rPr>
                <w:b/>
              </w:rPr>
            </w:r>
            <w:r>
              <w:rPr>
                <w:bCs/>
                <w:i w:val="0"/>
                <w:iCs w:val="0"/>
              </w:rPr>
              <w:t xml:space="preserve">Giá trị Quyền sử dụng đất và tài sản gắn liền với đất tại thửa đất có địa chỉ: Ô đất số 4-Dẫy B-TT5, dự án Tây Nam Hồ Linh Đàm, phường Hoàng Liệt, quận Hoàng Mai, thành phố Hà Nội </w:t>
            </w:r>
            <w:r>
              <w:rPr>
                <w:bCs/>
                <w:i/>
                <w:iCs/>
              </w:rPr>
              <w:t xml:space="preserve">(Nay là phường Hoàng Liệt, Thành phố Hà Nội)</w:t>
            </w:r>
            <w:r>
              <w:rPr>
                <w:bCs/>
                <w:i w:val="0"/>
                <w:iCs w:val="0"/>
              </w:rPr>
              <w:t xml:space="preserve"> theo Giấy chứng nhận quyền sử dụ</w:t>
            </w:r>
            <w:r>
              <w:rPr>
                <w:bCs/>
                <w:i w:val="0"/>
                <w:iCs w:val="0"/>
              </w:rPr>
              <w:t xml:space="preserve">ng đất quyền sở hữu nhà ở và tài sản khác gắn liền với đất số: CB 845281, số vào sổ cấp GCN: CS 00783 do Sở Tài nguyên và Môi trường Thành phố Hà Nội cấp ngày 14/01/2016; Chủ tài sản là Ông Lê Phúc Vũ và Bà Hoàng Thị Huệ</w:t>
            </w:r>
            <w:r>
              <w:t xml:space="preserve">.</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Hoàng Liệt,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line="276" w:lineRule="auto"/>
              <w:ind/>
              <w:rPr>
                <w:rFonts w:ascii="Times New Roman" w:hAnsi="Times New Roman" w:cs="Times New Roman"/>
                <w:color w:val="auto"/>
                <w:sz w:val="24"/>
                <w:szCs w:val="24"/>
              </w:rPr>
            </w:pPr>
            <w:r>
              <w:rPr>
                <w:rFonts w:ascii="Times New Roman" w:hAnsi="Times New Roman" w:cs="Times New Roman"/>
                <w:color w:val="auto"/>
                <w:sz w:val="24"/>
                <w:szCs w:val="24"/>
              </w:rPr>
              <w:t xml:space="preserve">(20.960875, 105.823841)</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lang w:val="pt-BR"/>
        </w:rPr>
      </w:r>
      <w:r>
        <w:rPr>
          <w:bCs/>
          <w:i w:val="0"/>
          <w:iCs w:val="0"/>
        </w:rPr>
        <w:t xml:space="preserve">Giấy chứng nhận quyền sử dụ</w:t>
      </w:r>
      <w:r>
        <w:rPr>
          <w:bCs/>
          <w:i w:val="0"/>
          <w:iCs w:val="0"/>
        </w:rPr>
        <w:t xml:space="preserve">ng đất quyền sở hữu nhà ở và tài sản khác gắn liền với đất số: CB 845281, số vào sổ cấp GCN: CS 00783 do Sở Tài nguyên và Môi trường Thành phố Hà Nội cấp ngày 14/01/2016; Chủtài sản là Ông Lê Phúc Vũ và Bà Hoàng Thị Huệ</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275/2026/0466/VFI-HĐTĐ.21.A</w:t>
      </w:r>
      <w:r>
        <w:rPr>
          <w:spacing w:val="-4"/>
          <w:lang w:val="vi-VN"/>
        </w:rPr>
        <w:t xml:space="preserve"> ký ngày </w:t>
      </w:r>
      <w:r>
        <w:rPr>
          <w:color w:val="000000" w:themeColor="text1"/>
          <w:spacing w:val="-4"/>
        </w:rPr>
        <w:t xml:space="preserve">24 tháng 3 năm 2026</w:t>
      </w:r>
      <w:r>
        <w:rPr>
          <w:spacing w:val="-4"/>
          <w:lang w:val="vi-VN"/>
        </w:rPr>
        <w:t xml:space="preserve"> </w:t>
      </w:r>
      <w:r>
        <w:rPr>
          <w:spacing w:val="-4"/>
          <w:lang w:val="vi-VN"/>
        </w:rPr>
        <w:t xml:space="preserve">giữa </w:t>
      </w:r>
      <w:r>
        <w:rPr>
          <w:color w:val="000000" w:themeColor="text1"/>
          <w:spacing w:val="-4"/>
        </w:rPr>
        <w:t xml:space="preserve">Công ty Cổ phần Trí Việt Investcons</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b/>
          <w:lang w:val="pt-BR"/>
        </w:rPr>
        <w:t xml:space="preserve">;</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425" w:left="0"/>
        <w:jc w:val="both"/>
        <w:rPr/>
      </w:pPr>
      <w:r>
        <w:rPr>
          <w:rFonts w:ascii="Times New Roman" w:hAnsi="Times New Roman" w:eastAsia="Times New Roman" w:cs="Times New Roman"/>
          <w:b/>
          <w:i/>
          <w:color w:val="000000"/>
          <w:sz w:val="24"/>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center"/>
        <w:rPr/>
      </w:pPr>
      <w:r>
        <w:rPr>
          <w:rFonts w:ascii="Times New Roman" w:hAnsi="Times New Roman" w:eastAsia="Times New Roman" w:cs="Times New Roman"/>
          <w:i/>
          <w:color w:val="000000"/>
          <w:sz w:val="24"/>
        </w:rPr>
        <w:t xml:space="preserve">(Nguồn tham khảo: https://thanglong.chinhphu.vn/buc-tranh-thi-truong-bat-dong-san-ha-noi-nam-2026-ha-tang-dan-dat-thi-truong-buoc-vao-chu-ky-tang-truong-moi-103260101181315972.htm)</w:t>
      </w:r>
      <w:r>
        <w:rPr>
          <w:rFonts w:ascii="Times New Roman" w:hAnsi="Times New Roman" w:eastAsia="Times New Roman" w:cs="Times New Roman"/>
          <w:sz w:val="24"/>
        </w:rPr>
      </w: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có địa chỉ: Ô đất số 4-Dãy B-TT5, dự án Tây Nam Hồ Linh Đàm, phường Hoàng Liệt, quận Hoàng Mai, thành phố Hà Nội</w:t>
            </w:r>
            <w:r>
              <w:rPr>
                <w:rFonts w:ascii="Times New Roman" w:hAnsi="Times New Roman" w:eastAsia="Times New Roman" w:cs="Times New Roman"/>
                <w:b/>
                <w:i/>
                <w:iCs/>
                <w:color w:val="000000"/>
                <w:sz w:val="24"/>
              </w:rPr>
              <w:t xml:space="preserve"> (Nay là phường Hoàng Liệt, Thành phố Hà Nội)</w:t>
            </w:r>
            <w:r>
              <w:rPr>
                <w:rFonts w:ascii="Times New Roman" w:hAnsi="Times New Roman" w:eastAsia="Times New Roman" w:cs="Times New Roman"/>
                <w:b/>
                <w:color w:val="000000"/>
                <w:sz w:val="24"/>
              </w:rPr>
              <w:t xml:space="preserve"> theo Giấy chứng nhận quyền sử d</w:t>
            </w:r>
            <w:r>
              <w:rPr>
                <w:rFonts w:ascii="Times New Roman" w:hAnsi="Times New Roman" w:eastAsia="Times New Roman" w:cs="Times New Roman"/>
                <w:b/>
                <w:color w:val="000000"/>
                <w:sz w:val="24"/>
              </w:rPr>
              <w:t xml:space="preserve">ụng đất quyền sở hữu nhà ở và tài sản khác gắn liền với đất số: CB 845281, số vào sổ cấp GCN: CS 00783 do Sở Tài nguyên và Môi trường Thành phố Hà Nội cấp ngày 14/01/2016; Chủ sử dụng đất là Ông Lê Phúc Vũ và Bà Hoàng Thị Huệ.</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Ô đất số 4-Dãy B-TT5, dự án Tây Nam Hồ Linh Đàm, phường Hoàng Liệt, quận Hoàng Mai, thành phố Hà Nội</w:t>
            </w:r>
            <w:r>
              <w:rPr>
                <w:rFonts w:ascii="Times New Roman" w:hAnsi="Times New Roman" w:eastAsia="Times New Roman" w:cs="Times New Roman"/>
                <w:i/>
                <w:color w:val="000000"/>
                <w:sz w:val="24"/>
              </w:rPr>
              <w:t xml:space="preserve"> (Nay là phường Hoàng Liệt,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210,0</w:t>
            </w: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w:t>
            </w: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cW w:w="6259" w:type="dxa"/>
            <w:vAlign w:val="center"/>
            <w:textDirection w:val="lrTb"/>
            <w:noWrap w:val="false"/>
          </w:tcPr>
          <w:p>
            <w:pPr>
              <w:pBdr/>
              <w:spacing w:after="0" w:before="0" w:line="240" w:lineRule="auto"/>
              <w:ind/>
              <w:jc w:val="both"/>
              <w:rPr>
                <w:bCs/>
                <w:i/>
              </w:rPr>
            </w:pPr>
            <w:r>
              <w:rPr>
                <w:rFonts w:ascii="Times New Roman" w:hAnsi="Times New Roman" w:eastAsia="Times New Roman" w:cs="Times New Roman"/>
                <w:i/>
                <w:iCs/>
                <w:color w:val="000000"/>
                <w:sz w:val="24"/>
              </w:rPr>
              <w:t xml:space="preserve">Số tờ, số thửa và sơ đồ sẽ được điều chỉnh khi có bản đồ địa chính chính quy.</w:t>
            </w:r>
            <w:r>
              <w:rPr>
                <w:bCs/>
                <w:i/>
              </w:rPr>
            </w:r>
            <w:r>
              <w:rPr>
                <w:bCs/>
                <w:i/>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nội khu</w:t>
            </w: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5,5m+ vỉa hè 3m</w:t>
            </w: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5,5m+ vỉa hè 3m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ô đất số 4-Dẫy B-TT5, dự án Tây Nam Hồ Linh Đàm, phường Hoàng Liệt, thành phố Hà Nội; cách phố Linh Đàm khoảng 100m.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Hướng Tây: Tiếp giáp đường nội khu;</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(20.960875, 105.823841)</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533095" cy="286194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923020" name=""/>
                              <pic:cNvPicPr>
                                <a:picLocks noChangeAspect="1"/>
                              </pic:cNvPicPr>
                              <pic:nvPr/>
                            </pic:nvPicPr>
                            <pic:blipFill rotWithShape="1">
                              <a:blip r:embed="rId17"/>
                              <a:stretch/>
                            </pic:blipFill>
                            <pic:spPr bwMode="auto">
                              <a:xfrm flipH="0" flipV="0">
                                <a:off x="0" y="0"/>
                                <a:ext cx="5533094" cy="28619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5.68pt;height:225.35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210,0</w:t>
            </w: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10,5</w:t>
            </w: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w:t>
            </w:r>
            <w:r>
              <w:rPr>
                <w:color w:val="000000"/>
              </w:rPr>
            </w:r>
            <w:r>
              <w:rPr>
                <w:color w:val="000000"/>
              </w:rPr>
            </w:r>
          </w:p>
          <w:p>
            <w:pPr>
              <w:pBdr/>
              <w:spacing/>
              <w:ind/>
              <w:rPr>
                <w:color w:val="000000"/>
              </w:rPr>
            </w:pPr>
            <w:r>
              <w:rPr>
                <w:color w:val="000000"/>
              </w:rPr>
              <w:t xml:space="preserve">Hạ tầng thoát nước: Rãnh có nắp, </w:t>
            </w:r>
            <w:r>
              <w:rPr>
                <w:color w:val="000000"/>
              </w:rPr>
            </w:r>
            <w:r>
              <w:rPr>
                <w:color w:val="000000"/>
              </w:rPr>
            </w:r>
          </w:p>
          <w:p>
            <w:pPr>
              <w:pBdr/>
              <w:spacing/>
              <w:ind/>
              <w:rPr>
                <w:color w:val="000000"/>
              </w:rPr>
            </w:pPr>
            <w:r>
              <w:rPr>
                <w:color w:val="000000"/>
              </w:rPr>
              <w:t xml:space="preserve">Hạ tầng cấp điện: Điện lưới, </w:t>
            </w:r>
            <w:r>
              <w:rPr>
                <w:color w:val="000000"/>
              </w:rPr>
            </w:r>
            <w:r>
              <w:rPr>
                <w:color w:val="000000"/>
              </w:rPr>
            </w:r>
          </w:p>
          <w:p>
            <w:pPr>
              <w:pBdr/>
              <w:spacing/>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Kinh doanh tốt</w:t>
            </w: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Căn cứ theo GCN số CB 845281, và dưới sự hướng dẫn của khách hàng, Công trình xây dựng gắn liền với đất là Biệt thự 05 tầng, diện tích xây dựng 94m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diện tích sàn 269,2m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được hoàn công năm 2016. Vào năm 2024, công trình xây dựng trên đã được cải tạo sửa c</w:t>
            </w:r>
            <w:r>
              <w:rPr>
                <w:rFonts w:ascii="Times New Roman" w:hAnsi="Times New Roman" w:eastAsia="Times New Roman" w:cs="Times New Roman"/>
                <w:color w:val="000000"/>
                <w:sz w:val="24"/>
              </w:rPr>
              <w:t xml:space="preserve">hữa và mở rộng thêm diện tích sử dụng tầng 4 và tầng 5. Hiện trạng công trình xây dựng còn mới, kết cấu chính đảm bảo công năng chịu lực, kết cấu phụ trợ sử dụng ở mức độ tốt, đang được sử dụng làm văn phòng.</w:t>
            </w:r>
            <w:r/>
          </w:p>
        </w:tc>
      </w:tr>
    </w:tbl>
    <w:p>
      <w:pPr>
        <w:pBdr/>
        <w:spacing w:line="235" w:lineRule="auto"/>
        <w:ind w:left="646"/>
        <w:jc w:val="both"/>
        <w:rPr>
          <w:u w:val="single"/>
        </w:rPr>
      </w:pPr>
      <w:r>
        <w:rPr>
          <w:u w:val="single"/>
        </w:rPr>
      </w:r>
      <w:r>
        <w:rPr>
          <w:u w:val="single"/>
        </w:rPr>
      </w:r>
      <w:r>
        <w:rPr>
          <w:u w:val="single"/>
        </w:rPr>
      </w:r>
    </w:p>
    <w:p>
      <w:pPr>
        <w:pBdr/>
        <w:spacing w:line="288" w:lineRule="auto"/>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tbl>
      <w:tblPr>
        <w:tblStyle w:val="1039"/>
        <w:jc w:val="center"/>
        <w:tblW w:w="0" w:type="auto"/>
        <w:tblBorders/>
        <w:tblLayout w:type="fixed"/>
        <w:tblLook w:val="04A0" w:firstRow="1" w:lastRow="0" w:firstColumn="1" w:lastColumn="0" w:noHBand="0" w:noVBand="1"/>
      </w:tblPr>
      <w:tblGrid>
        <w:gridCol w:w="732"/>
        <w:gridCol w:w="1701"/>
        <w:gridCol w:w="2197"/>
        <w:gridCol w:w="2197"/>
        <w:gridCol w:w="1344"/>
        <w:gridCol w:w="1344"/>
      </w:tblGrid>
      <w:tr>
        <w:trPr>
          <w:jc w:val="center"/>
        </w:trPr>
        <w:tc>
          <w:tcPr>
            <w:tcBorders/>
            <w:tcW w:w="732" w:type="dxa"/>
            <w:vAlign w:val="center"/>
            <w:textDirection w:val="lrTb"/>
            <w:noWrap w:val="false"/>
          </w:tcPr>
          <w:p>
            <w:pPr>
              <w:pBdr/>
              <w:spacing/>
              <w:ind/>
              <w:jc w:val="center"/>
              <w:rPr>
                <w:b/>
                <w:bCs/>
              </w:rPr>
            </w:pPr>
            <w:r>
              <w:rPr>
                <w:b/>
                <w:bCs/>
              </w:rPr>
              <w:t xml:space="preserve">STT</w:t>
            </w:r>
            <w:r>
              <w:rPr>
                <w:b/>
                <w:bCs/>
              </w:rPr>
            </w:r>
            <w:r>
              <w:rPr>
                <w:b/>
                <w:bCs/>
              </w:rPr>
            </w:r>
          </w:p>
        </w:tc>
        <w:tc>
          <w:tcPr>
            <w:tcBorders/>
            <w:tcW w:w="1701"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197"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197"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44"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344"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732" w:type="dxa"/>
            <w:vAlign w:val="center"/>
            <w:textDirection w:val="lrTb"/>
            <w:noWrap w:val="false"/>
          </w:tcPr>
          <w:p>
            <w:pPr>
              <w:pBdr/>
              <w:spacing/>
              <w:ind/>
              <w:jc w:val="center"/>
              <w:rPr/>
            </w:pPr>
            <w:r>
              <w:t xml:space="preserve">1</w:t>
            </w:r>
            <w:r/>
          </w:p>
        </w:tc>
        <w:tc>
          <w:tcPr>
            <w:tcBorders/>
            <w:tcW w:w="1701" w:type="dxa"/>
            <w:vAlign w:val="center"/>
            <w:textDirection w:val="lrTb"/>
            <w:noWrap w:val="false"/>
          </w:tcPr>
          <w:p>
            <w:pPr>
              <w:pBdr/>
              <w:spacing/>
              <w:ind/>
              <w:jc w:val="center"/>
              <w:rPr/>
            </w:pPr>
            <w:r>
              <w:t xml:space="preserve">Địa chỉ trên sổ</w:t>
            </w:r>
            <w:r/>
          </w:p>
        </w:tc>
        <w:tc>
          <w:tcPr>
            <w:tcBorders/>
            <w:tcW w:w="2197" w:type="dxa"/>
            <w:vAlign w:val="center"/>
            <w:textDirection w:val="lrTb"/>
            <w:noWrap w:val="false"/>
          </w:tcPr>
          <w:p>
            <w:pPr>
              <w:pBdr/>
              <w:spacing/>
              <w:ind/>
              <w:jc w:val="center"/>
              <w:rPr/>
            </w:pPr>
            <w:r>
              <w:t xml:space="preserve">Ô đất số 4-Dẫy B-TT5, dự án Tây Nam Hồ Linh Đàm, phường Hoàng Liệt, quận Hoàng Mai, thành phố Hà Nội</w:t>
            </w:r>
            <w:r/>
          </w:p>
        </w:tc>
        <w:tc>
          <w:tcPr>
            <w:tcBorders/>
            <w:tcW w:w="2197" w:type="dxa"/>
            <w:vAlign w:val="center"/>
            <w:textDirection w:val="lrTb"/>
            <w:noWrap w:val="false"/>
          </w:tcPr>
          <w:p>
            <w:pPr>
              <w:pBdr/>
              <w:spacing/>
              <w:ind/>
              <w:jc w:val="center"/>
              <w:rPr/>
            </w:pPr>
            <w:r>
              <w:t xml:space="preserve">Ô đất số 4-Dẫy B-TT5, dự án Tây Nam Hồ Linh Đàm, phường Hoàng Liệt, quận Hoàng Mai, thành phố Hà Nội</w:t>
            </w:r>
            <w:r>
              <w:t xml:space="preserve">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2</w:t>
            </w:r>
            <w:r/>
          </w:p>
        </w:tc>
        <w:tc>
          <w:tcPr>
            <w:tcBorders/>
            <w:tcW w:w="1701" w:type="dxa"/>
            <w:vAlign w:val="center"/>
            <w:textDirection w:val="lrTb"/>
            <w:noWrap w:val="false"/>
          </w:tcPr>
          <w:p>
            <w:pPr>
              <w:pBdr/>
              <w:spacing/>
              <w:ind/>
              <w:jc w:val="center"/>
              <w:rPr/>
            </w:pPr>
            <w:r>
              <w:t xml:space="preserve">Địa chỉ thực tế</w:t>
            </w:r>
            <w:r/>
          </w:p>
        </w:tc>
        <w:tc>
          <w:tcPr>
            <w:tcBorders/>
            <w:tcW w:w="2197" w:type="dxa"/>
            <w:vAlign w:val="center"/>
            <w:textDirection w:val="lrTb"/>
            <w:noWrap w:val="false"/>
          </w:tcPr>
          <w:p>
            <w:pPr>
              <w:pBdr/>
              <w:spacing/>
              <w:ind/>
              <w:jc w:val="center"/>
              <w:rPr/>
            </w:pPr>
            <w:r>
              <w:t xml:space="preserve">Ô đất số 4-Dẫy B-TT5, dự án Tây Nam Hồ Linh Đàm, phường Hoàng Liệt, thành phố Hà Nội</w:t>
            </w:r>
            <w:r/>
          </w:p>
        </w:tc>
        <w:tc>
          <w:tcPr>
            <w:tcBorders/>
            <w:tcW w:w="2197" w:type="dxa"/>
            <w:vAlign w:val="center"/>
            <w:textDirection w:val="lrTb"/>
            <w:noWrap w:val="false"/>
          </w:tcPr>
          <w:p>
            <w:pPr>
              <w:pBdr/>
              <w:spacing/>
              <w:ind/>
              <w:jc w:val="center"/>
              <w:rPr/>
            </w:pPr>
            <w:r>
              <w:t xml:space="preserve">Ô đất số 4-Dẫy B-TT5, dự án Tây Nam Hồ Linh Đàm, phường Hoàng Liệt, thành phố Hà Nội</w:t>
            </w:r>
            <w:r>
              <w:t xml:space="preserve">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3</w:t>
            </w:r>
            <w:r/>
          </w:p>
        </w:tc>
        <w:tc>
          <w:tcPr>
            <w:tcBorders/>
            <w:tcW w:w="1701" w:type="dxa"/>
            <w:vAlign w:val="center"/>
            <w:textDirection w:val="lrTb"/>
            <w:noWrap w:val="false"/>
          </w:tcPr>
          <w:p>
            <w:pPr>
              <w:pBdr/>
              <w:spacing/>
              <w:ind/>
              <w:jc w:val="center"/>
              <w:rPr/>
            </w:pPr>
            <w:r>
              <w:t xml:space="preserve">Pháp lý</w:t>
            </w:r>
            <w:r/>
          </w:p>
        </w:tc>
        <w:tc>
          <w:tcPr>
            <w:tcBorders/>
            <w:tcW w:w="2197"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197"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4</w:t>
            </w:r>
            <w:r/>
          </w:p>
        </w:tc>
        <w:tc>
          <w:tcPr>
            <w:tcBorders/>
            <w:tcW w:w="1701" w:type="dxa"/>
            <w:vAlign w:val="center"/>
            <w:textDirection w:val="lrTb"/>
            <w:noWrap w:val="false"/>
          </w:tcPr>
          <w:p>
            <w:pPr>
              <w:pBdr/>
              <w:spacing/>
              <w:ind/>
              <w:jc w:val="center"/>
              <w:rPr/>
            </w:pPr>
            <w:r>
              <w:t xml:space="preserve">Loại đất</w:t>
            </w:r>
            <w:r/>
          </w:p>
        </w:tc>
        <w:tc>
          <w:tcPr>
            <w:tcBorders/>
            <w:tcW w:w="2197" w:type="dxa"/>
            <w:vAlign w:val="center"/>
            <w:textDirection w:val="lrTb"/>
            <w:noWrap w:val="false"/>
          </w:tcPr>
          <w:p>
            <w:pPr>
              <w:pBdr/>
              <w:spacing/>
              <w:ind/>
              <w:jc w:val="center"/>
              <w:rPr/>
            </w:pPr>
            <w:r>
              <w:t xml:space="preserve">Đất ở tại đô thị</w:t>
            </w:r>
            <w:r/>
          </w:p>
        </w:tc>
        <w:tc>
          <w:tcPr>
            <w:tcBorders/>
            <w:tcW w:w="2197" w:type="dxa"/>
            <w:vAlign w:val="center"/>
            <w:textDirection w:val="lrTb"/>
            <w:noWrap w:val="false"/>
          </w:tcPr>
          <w:p>
            <w:pPr>
              <w:pBdr/>
              <w:spacing/>
              <w:ind/>
              <w:jc w:val="center"/>
              <w:rPr/>
            </w:pPr>
            <w:r>
              <w:t xml:space="preserve">Đất ở tại đô thị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color w:val="000000" w:themeColor="text1"/>
              </w:rPr>
            </w:pPr>
            <w:r>
              <w:rPr>
                <w:color w:val="000000" w:themeColor="text1"/>
              </w:rPr>
              <w:t xml:space="preserve">5</w:t>
            </w:r>
            <w:r>
              <w:rPr>
                <w:color w:val="000000" w:themeColor="text1"/>
              </w:rPr>
            </w:r>
          </w:p>
        </w:tc>
        <w:tc>
          <w:tcPr>
            <w:tcBorders/>
            <w:tcW w:w="1701" w:type="dxa"/>
            <w:vAlign w:val="center"/>
            <w:textDirection w:val="lrTb"/>
            <w:noWrap w:val="false"/>
          </w:tcPr>
          <w:p>
            <w:pPr>
              <w:pBdr/>
              <w:spacing/>
              <w:ind/>
              <w:jc w:val="center"/>
              <w:rPr>
                <w:color w:val="000000" w:themeColor="text1"/>
              </w:rPr>
            </w:pPr>
            <w:r>
              <w:rPr>
                <w:color w:val="000000" w:themeColor="text1"/>
              </w:rPr>
              <w:t xml:space="preserve">Thời hạn sử dụng</w:t>
            </w:r>
            <w:r>
              <w:rPr>
                <w:color w:val="000000" w:themeColor="text1"/>
              </w:rPr>
            </w:r>
          </w:p>
        </w:tc>
        <w:tc>
          <w:tcPr>
            <w:tcBorders/>
            <w:tcW w:w="219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p>
        </w:tc>
        <w:tc>
          <w:tcPr>
            <w:tcBorders/>
            <w:tcW w:w="2197" w:type="dxa"/>
            <w:vAlign w:val="center"/>
            <w:textDirection w:val="lrTb"/>
            <w:noWrap w:val="false"/>
          </w:tcPr>
          <w:p>
            <w:pPr>
              <w:pBdr/>
              <w:spacing/>
              <w:ind/>
              <w:jc w:val="center"/>
              <w:rPr>
                <w:color w:val="000000" w:themeColor="text1"/>
              </w:rPr>
            </w:pPr>
            <w:r>
              <w:rPr>
                <w:color w:val="000000" w:themeColor="text1"/>
              </w:rPr>
              <w:t xml:space="preserve">Lâu dài ✔</w:t>
            </w:r>
            <w:r>
              <w:rPr>
                <w:color w:val="000000" w:themeColor="text1"/>
              </w:rPr>
            </w:r>
          </w:p>
        </w:tc>
        <w:tc>
          <w:tcPr>
            <w:tcBorders/>
            <w:tcW w:w="1344"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p>
        </w:tc>
        <w:tc>
          <w:tcPr>
            <w:tcBorders/>
            <w:tcW w:w="1344"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jc w:val="center"/>
        </w:trPr>
        <w:tc>
          <w:tcPr>
            <w:tcBorders/>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6</w:t>
            </w:r>
            <w:r>
              <w:rPr>
                <w:color w:val="000000" w:themeColor="text1"/>
              </w:rPr>
            </w:r>
          </w:p>
        </w:tc>
        <w:tc>
          <w:tcPr>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Vị trí theo Bảng giá đất</w:t>
            </w:r>
            <w:r>
              <w:rPr>
                <w:color w:val="000000" w:themeColor="text1"/>
              </w:rP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VT2 đường Linh Đàm theo quy định tại Nghị quyết số 52/2025/NQ-HĐND ngày 26/11/2025 của Hội đồng nhân dân Thành phố Hà Nội </w:t>
            </w:r>
            <w:r>
              <w:rPr>
                <w:rFonts w:ascii="Times New Roman" w:hAnsi="Times New Roman" w:eastAsia="Times New Roman" w:cs="Times New Roman"/>
                <w:i/>
                <w:color w:val="000000" w:themeColor="text1"/>
                <w:sz w:val="24"/>
              </w:rPr>
              <w:t xml:space="preserve">(Địa chỉ thực tế của tài sản: Ô đất số 4-Dẫy B-TT5, dự án Tây Nam Hồ Linh Đàm, phường Hoàng Liệt, thành phố Hà Nội)</w:t>
            </w:r>
            <w:r>
              <w:rPr>
                <w:color w:val="000000" w:themeColor="text1"/>
              </w:rP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VT2 đường Linh Đàm theo quy định tại Nghị quyết số 52/2025/NQ-HĐND ngày 26/11/2025 của Hội đồng nhân dân Thành phố Hà Nội </w:t>
            </w:r>
            <w:r>
              <w:rPr>
                <w:rFonts w:ascii="Times New Roman" w:hAnsi="Times New Roman" w:eastAsia="Times New Roman" w:cs="Times New Roman"/>
                <w:i/>
                <w:color w:val="000000" w:themeColor="text1"/>
                <w:sz w:val="24"/>
              </w:rPr>
              <w:t xml:space="preserve">(Địa chỉ thực tế của tài sản: Ô đất số 4-Dẫy B-TT5, dự án Tây Nam Hồ Linh Đàm, phường Hoàng Liệt, thành phố Hà Nội)</w:t>
            </w:r>
            <w:r>
              <w:rPr>
                <w:rFonts w:ascii="Times New Roman" w:hAnsi="Times New Roman" w:eastAsia="Times New Roman" w:cs="Times New Roman"/>
                <w:color w:val="000000" w:themeColor="text1"/>
                <w:sz w:val="24"/>
              </w:rPr>
              <w:t xml:space="preserve">✔</w:t>
            </w:r>
            <w:r>
              <w:rPr>
                <w:color w:val="000000" w:themeColor="text1"/>
              </w:rP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Không</w:t>
            </w:r>
            <w:r>
              <w:rPr>
                <w:color w:val="000000" w:themeColor="text1"/>
              </w:rP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p>
        </w:tc>
      </w:tr>
      <w:tr>
        <w:trPr>
          <w:jc w:val="center"/>
        </w:trPr>
        <w:tc>
          <w:tcPr>
            <w:tcBorders/>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7</w:t>
            </w:r>
            <w:r>
              <w:rPr>
                <w:color w:val="000000" w:themeColor="text1"/>
              </w:rPr>
            </w:r>
          </w:p>
        </w:tc>
        <w:tc>
          <w:tcPr>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Vị trí tài sản thực tế</w:t>
            </w:r>
            <w:r>
              <w:rPr>
                <w:color w:val="000000" w:themeColor="text1"/>
              </w:rP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Tài sản tiếp giáp mặt đường nội bộ có mặt cắt đường khoảng 11,5m thuộc dự án Tây Nam Hồ Linh Đàm, phường Hoàng Liệt, thành phố Hà Nội </w:t>
            </w:r>
            <w:r>
              <w:rPr>
                <w:color w:val="000000" w:themeColor="text1"/>
              </w:rP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Tài sản tiếp giáp mặt đường nội bộ có mặt cắt đường khoảng 11,5m thuộc dự án Tây Nam Hồ Linh Đàm, phường Hoàng Liệt, thành phố Hà Nội ✔</w:t>
            </w:r>
            <w:r>
              <w:rPr>
                <w:color w:val="000000" w:themeColor="text1"/>
              </w:rP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Không</w:t>
            </w:r>
            <w:r>
              <w:rPr>
                <w:color w:val="000000" w:themeColor="text1"/>
              </w:rP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p>
        </w:tc>
      </w:tr>
      <w:tr>
        <w:trPr>
          <w:jc w:val="center"/>
        </w:trPr>
        <w:tc>
          <w:tcPr>
            <w:tcBorders/>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8</w:t>
            </w:r>
            <w:r>
              <w:rPr>
                <w:color w:val="000000" w:themeColor="text1"/>
              </w:rPr>
            </w:r>
          </w:p>
        </w:tc>
        <w:tc>
          <w:tcPr>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Diện tích</w:t>
            </w:r>
            <w:r>
              <w:rPr>
                <w:color w:val="000000" w:themeColor="text1"/>
              </w:rP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210,0</w:t>
            </w:r>
            <w:r>
              <w:rPr>
                <w:color w:val="000000" w:themeColor="text1"/>
              </w:rP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210,0 ✔</w:t>
            </w:r>
            <w:r>
              <w:rPr>
                <w:color w:val="000000" w:themeColor="text1"/>
              </w:rP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Không</w:t>
            </w:r>
            <w:r>
              <w:rPr>
                <w:color w:val="000000" w:themeColor="text1"/>
              </w:rP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p>
        </w:tc>
      </w:tr>
      <w:tr>
        <w:trPr>
          <w:jc w:val="center"/>
        </w:trPr>
        <w:tc>
          <w:tcPr>
            <w:tcBorders/>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9</w:t>
            </w:r>
            <w:r>
              <w:rPr>
                <w:color w:val="000000" w:themeColor="text1"/>
              </w:rPr>
            </w:r>
          </w:p>
        </w:tc>
        <w:tc>
          <w:tcPr>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Mặt tiền</w:t>
            </w:r>
            <w:r>
              <w:rPr>
                <w:color w:val="000000" w:themeColor="text1"/>
              </w:rP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10,5</w:t>
            </w:r>
            <w:r>
              <w:rPr>
                <w:color w:val="000000" w:themeColor="text1"/>
              </w:rP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10,5 ✔</w:t>
            </w:r>
            <w:r>
              <w:rPr>
                <w:color w:val="000000" w:themeColor="text1"/>
              </w:rP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Không</w:t>
            </w:r>
            <w:r>
              <w:rPr>
                <w:color w:val="000000" w:themeColor="text1"/>
              </w:rP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p>
        </w:tc>
      </w:tr>
      <w:tr>
        <w:trPr>
          <w:jc w:val="center"/>
        </w:trPr>
        <w:tc>
          <w:tcPr>
            <w:tcBorders/>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Chiều sâu</w:t>
            </w: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20,0</w:t>
            </w: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20,0 ✔</w:t>
            </w: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jc w:val="center"/>
        </w:trPr>
        <w:tc>
          <w:tcPr>
            <w:tcBorders/>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c>
          <w:tcPr>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tiếp giáp</w:t>
            </w: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 ✔</w:t>
            </w: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jc w:val="center"/>
        </w:trPr>
        <w:tc>
          <w:tcPr>
            <w:tcBorders/>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dạng thửa đất</w:t>
            </w: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 ✔</w:t>
            </w: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jc w:val="center"/>
        </w:trPr>
        <w:tc>
          <w:tcPr>
            <w:tcBorders/>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c>
          <w:tcPr>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Hướng</w:t>
            </w: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w:t>
            </w: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w:t>
            </w: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jc w:val="center"/>
        </w:trPr>
        <w:tc>
          <w:tcPr>
            <w:tcBorders/>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w:t>
            </w:r>
            <w:r/>
          </w:p>
        </w:tc>
        <w:tc>
          <w:tcPr>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Cảnh quan</w:t>
            </w: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Nhìn công viên</w:t>
            </w: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Nhìn công viên ✔</w:t>
            </w: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jc w:val="center"/>
        </w:trPr>
        <w:tc>
          <w:tcPr>
            <w:tcBorders/>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Bất lợi thương mại</w:t>
            </w: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đâm</w:t>
            </w:r>
            <w:r/>
          </w:p>
        </w:tc>
        <w:tc>
          <w:tcPr>
            <w:tcBorders/>
            <w:tcW w:w="21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đâm ✔</w:t>
            </w: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cW w:w="13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bl>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Theo GCN số CB 845281, công trình xây dựng gắn liền với đất là Nhà biệt thự, diện tích xây dựng 94m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diện tích sàn 269,2m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được hoàn công năm 2016. Tuy nhiên, theo thông tin khách hàng cung cấp, công trình xây dựng trên đã được cải tạo sửa chữa và xây dựng thêm tầng 4+5 vào năm 2024. Khách hàng không cung cấp hồ sơ pháp lý liên quan tới phần diện tích xây dựng thêm. Do vậy, t</w:t>
      </w:r>
      <w:r>
        <w:rPr>
          <w:rFonts w:ascii="Times New Roman" w:hAnsi="Times New Roman" w:eastAsia="Times New Roman" w:cs="Times New Roman"/>
          <w:color w:val="000000"/>
          <w:sz w:val="24"/>
        </w:rPr>
        <w:t xml:space="preserve">heo đề nghị của Ngân hàng/Khách hàng, Tổ thẩm định chỉ xác giá trị của công trình xây dựng theo diện tích đã được công nhận trên GCN. Kính đề nghị đơn vị sử dụng kết quả lưu ý.</w:t>
      </w:r>
      <w:r/>
    </w:p>
    <w:p>
      <w:pPr>
        <w:pStyle w:val="1035"/>
        <w:numPr>
          <w:ilvl w:val="0"/>
          <w:numId w:val="3"/>
        </w:numPr>
        <w:pBdr/>
        <w:tabs>
          <w:tab w:val="left" w:leader="none" w:pos="993"/>
        </w:tabs>
        <w:spacing w:after="120" w:before="120" w:line="264" w:lineRule="auto"/>
        <w:ind/>
        <w:jc w:val="both"/>
        <w:rPr>
          <w:spacing w:val="-2"/>
          <w:lang w:val="pt-BR"/>
        </w:rPr>
      </w:pPr>
      <w:r>
        <w:rPr>
          <w:rFonts w:ascii="Times New Roman" w:hAnsi="Times New Roman" w:eastAsia="Times New Roman" w:cs="Times New Roman"/>
          <w:color w:val="000000"/>
          <w:spacing w:val="-2"/>
          <w:sz w:val="24"/>
        </w:rPr>
        <w:t xml:space="preserve">Sơ đồ thửa đất tại trang 3 GCN chưa thể hiện đường giao thông/lối vào thửa đất cần thẩm định giá. Do đó tổ thẩm định giả định vị trí, độ rộng đường/ngõ theo thực tế khảo sát hoàn toàn phù hợp với Trích lục thửa đất do cơ quan có thẩm quyền cấp (do tổ thẩm </w:t>
      </w:r>
      <w:r>
        <w:rPr>
          <w:rFonts w:ascii="Times New Roman" w:hAnsi="Times New Roman" w:eastAsia="Times New Roman" w:cs="Times New Roman"/>
          <w:color w:val="000000"/>
          <w:spacing w:val="-2"/>
          <w:sz w:val="24"/>
        </w:rPr>
        <w:t xml:space="preserve">định không được cung cấp Sơ đồ/Trích lục thể hiện đường giao thông tại thời điểm khảo sát để đối chiếu với thực tế)</w:t>
      </w:r>
      <w:r>
        <w:rPr>
          <w:spacing w:val="-2"/>
          <w:highlight w:val="none"/>
          <w:lang w:val="pt-BR" w:bidi="pt-BR"/>
        </w:rPr>
        <w:t xml:space="preserve">.</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5"/>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843"/>
        <w:gridCol w:w="1736"/>
        <w:gridCol w:w="1736"/>
        <w:gridCol w:w="1736"/>
        <w:gridCol w:w="1736"/>
      </w:tblGrid>
      <w:tr>
        <w:trPr>
          <w:trHeight w:val="300"/>
          <w:tblHeader/>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2484"/>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Ô đất số 4-Dẫy B-TT5, dự án Tây Nam Hồ Linh Đàm, phường Hoàng Liệt, quận Hoàng Mai, thành phố Hà Nội (Nay là phường Hoàng Liệt, Thành phố Hà Nội)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Dự án Tây Nam Hồ Linh Đàm, phường Hoàng Liệt, quận Hoàng Mai, thành phố Hà Nội</w:t>
            </w:r>
            <w:r>
              <w:rPr>
                <w:rFonts w:ascii="Times New Roman" w:hAnsi="Times New Roman" w:eastAsia="Times New Roman" w:cs="Times New Roman"/>
                <w:i/>
                <w:color w:val="000000"/>
                <w:sz w:val="22"/>
              </w:rPr>
              <w:t xml:space="preserve"> (Nay là phường Hoàng Liệt, Thành phố Hà Nội)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Dự án Tây Nam Hồ Linh Đàm, phường Hoàng Liệt, quận Hoàng Mai, thành phố Hà Nội </w:t>
            </w:r>
            <w:r>
              <w:rPr>
                <w:rFonts w:ascii="Times New Roman" w:hAnsi="Times New Roman" w:eastAsia="Times New Roman" w:cs="Times New Roman"/>
                <w:i/>
                <w:color w:val="000000"/>
                <w:sz w:val="22"/>
              </w:rPr>
              <w:t xml:space="preserve">(Nay là phường Hoàng Liệt, Thành phố Hà Nội)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Dự án Tây Nam Hồ Linh Đàm, phường Hoàng Liệt, quận Hoàng Mai, thành phố Hà Nội </w:t>
            </w:r>
            <w:r>
              <w:rPr>
                <w:rFonts w:ascii="Times New Roman" w:hAnsi="Times New Roman" w:eastAsia="Times New Roman" w:cs="Times New Roman"/>
                <w:i/>
                <w:color w:val="000000"/>
                <w:sz w:val="22"/>
              </w:rPr>
              <w:t xml:space="preserve">(Nay là phường Hoàng Liệt, Thành phố Hà Nội)</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09736.78796 </w:t>
              <w:br/>
              <w:t xml:space="preserve">(Sale: Vũ Nguyên)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0961.5009.99</w:t>
              <w:br/>
              <w:t xml:space="preserve">(Sale: Nguyễn Dũng)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0849.856666  </w:t>
              <w:br/>
              <w:t xml:space="preserve">(Sale: Nguyễn Cường)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3/2026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3/2026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3/2026 </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hạn sử dụng đất</w:t>
            </w:r>
            <w:r/>
          </w:p>
        </w:tc>
        <w:tc>
          <w:tcPr>
            <w:tcBorders>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193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ô đất số 4-Dẫy B-TT5, mặt đường nội bộ dự án Tây Nam Hồ Linh Đàm, phường Hoàng Liệt, Thành phố Hà Nội</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nội bộ dự án Tây Nam Hồ Linh Đàm, phường Hoàng Liệt, Thành phố Hà Nội</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nội bộ dự án Tây Nam Hồ Linh Đàm, phường Hoàng Liệt, Thành phố Hà Nội</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nội bộ dự án Tây Nam Hồ Linh Đàm, phường Hoàng Liệt, Thành phố Hà Nội</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11,5m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11,5m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15,5m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11,5m</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10,50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519"/>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Kinh doanh 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Kinh doanh 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Kinh doanh rất tốt (đối diện chung cư)</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Kinh doanh tốt</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76" w:lineRule="auto"/>
              <w:ind w:right="0" w:firstLine="0" w:left="142"/>
              <w:rPr/>
            </w:pPr>
            <w:r>
              <w:rPr>
                <w:rFonts w:ascii="Times New Roman" w:hAnsi="Times New Roman" w:eastAsia="Times New Roman" w:cs="Times New Roman"/>
                <w:color w:val="000000"/>
                <w:sz w:val="22"/>
              </w:rPr>
              <w:t xml:space="preserve">Yếu tố phong thủy/tâm linh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đâm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đâm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76" w:lineRule="auto"/>
              <w:ind w:right="0" w:firstLine="0" w:left="142"/>
              <w:rPr/>
            </w:pPr>
            <w:r>
              <w:rPr>
                <w:rFonts w:ascii="Times New Roman" w:hAnsi="Times New Roman" w:eastAsia="Times New Roman" w:cs="Times New Roman"/>
                <w:color w:val="000000"/>
                <w:sz w:val="22"/>
              </w:rPr>
              <w:t xml:space="preserve">Điều kiện cơ sở hạ tầng kỹ thuật và các yếu tố khác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Nhìn vườn hoa</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Nhìn vườn hoa</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biệt thự</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biệt thự</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biệt thự</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sàn sử dụng (m²)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270,0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270,0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270,0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53.000.000.000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75.500.000.000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84.000.000.000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50.350.000.000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64.175.000.000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71.400.000.000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1.992.188.520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2.390.626.224</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2.390.626.224</w:t>
            </w:r>
            <w:r/>
          </w:p>
        </w:tc>
      </w:tr>
      <w:tr>
        <w:trPr>
          <w:trHeight w:val="129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Đơn giá xây dựng theo Quyết định số 816/QĐ-BXD ngày 22/8/2024 của Bộ Xây Dựng (đồng/m²)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9.837.968</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9.837.968</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9.837.968</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 Tỷ lệ % CLCL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đất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48.357.811.480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61.784.373.776</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69.009.373.776</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268.654.508</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343.246.521</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345.046.869</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w: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tcBorders>
              <w:bottom w:val="single" w:color="000000" w:sz="6" w:space="0"/>
              <w:right w:val="single" w:color="000000" w:sz="6" w:space="0"/>
            </w:tcBorders>
            <w:tcMar>
              <w:left w:w="0" w:type="dxa"/>
              <w:top w:w="0" w:type="dxa"/>
              <w:right w:w="0" w:type="dxa"/>
              <w:bottom w:w="0" w:type="dxa"/>
            </w:tcMar>
            <w:tcW w:w="1843" w:type="dxa"/>
            <w:vAlign w:val="center"/>
            <w:vMerge w:val="restart"/>
            <w:textDirection w:val="lrTb"/>
            <w:noWrap w:val="false"/>
          </w:tcPr>
          <w:p>
            <w:pPr>
              <w:pBdr/>
              <w:spacing w:after="0" w:before="0" w:line="240" w:lineRule="auto"/>
              <w:ind w:right="0" w:firstLine="0" w:left="142"/>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Lợi thế kinh doanh</w: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tcBorders>
              <w:bottom w:val="single" w:color="000000" w:sz="6" w:space="0"/>
              <w:right w:val="single" w:color="000000" w:sz="6" w:space="0"/>
            </w:tcBorders>
            <w:tcMar>
              <w:left w:w="0" w:type="dxa"/>
              <w:top w:w="0" w:type="dxa"/>
              <w:right w:w="0" w:type="dxa"/>
              <w:bottom w:w="0" w:type="dxa"/>
            </w:tcMar>
            <w:tcW w:w="1736"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tcBorders>
              <w:bottom w:val="single" w:color="000000" w:sz="6" w:space="0"/>
              <w:right w:val="single" w:color="000000" w:sz="6" w:space="0"/>
            </w:tcBorders>
            <w:tcMar>
              <w:left w:w="0" w:type="dxa"/>
              <w:top w:w="0" w:type="dxa"/>
              <w:right w:w="0" w:type="dxa"/>
              <w:bottom w:w="0" w:type="dxa"/>
            </w:tcMar>
            <w:tcW w:w="1736"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Yếu tố phong thủy/tâm linh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cơ sở hạ tầng kỹ thuật và các yếu tố khác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0"/>
        <w:gridCol w:w="1686"/>
        <w:gridCol w:w="850"/>
        <w:gridCol w:w="1595"/>
        <w:gridCol w:w="1595"/>
        <w:gridCol w:w="1595"/>
        <w:gridCol w:w="1595"/>
      </w:tblGrid>
      <w:tr>
        <w:trPr>
          <w:trHeight w:val="630"/>
          <w:tblHeader/>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48.357.811.480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61.784.373.776</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69.009.373.776</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268.654.508</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343.246.521</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345.046.869</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268.654.508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343.246.521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345.046.869 </w:t>
            </w:r>
            <w:r/>
          </w:p>
        </w:tc>
      </w:tr>
      <w:tr>
        <w:trPr>
          <w:trHeight w:val="1624"/>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ô đất số 4-Dẫy B-TT5, mặt đường nội bộ dự án Tây Nam Hồ Linh Đàm, phường Hoàng Liệt,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mặt đường nội bộ dự án Tây Nam Hồ Linh Đàm, phường Hoàng Liệt,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mặt đường nội bộ dự án Tây Nam Hồ Linh Đàm, phường Hoàng Liệt,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mặt đường nội bộ dự án Tây Nam Hồ Linh Đàm, phường Hoàng Liệt, Thành phố Hà Nội</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268.654.508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343.246.521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345.046.869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11,5m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11,5m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15,5m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11,5m</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-34.324.652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268.654.508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308.921.869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345.046.869 </w:t>
            </w:r>
            <w:r/>
          </w:p>
        </w:tc>
      </w:tr>
      <w:tr>
        <w:trPr>
          <w:trHeight w:val="424"/>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Diện tích đất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t xml:space="preserve">(m²)</w:t>
            </w:r>
            <w:r>
              <w:rPr>
                <w:rFonts w:ascii="Times New Roman" w:hAnsi="Times New Roman" w:eastAsia="Times New Roman" w:cs="Times New Roman"/>
                <w:b/>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210,0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180,0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180,0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-5.373.090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-6.864.930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263.281.418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302.056.938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345.046.869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Mặt tiền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10,5</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263.281.418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302.056.938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345.046.869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263.281.418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302.056.938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345.046.869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263.281.418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302.056.938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345.046.869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Kinh doanh 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Kinh doanh 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Kinh doanh rất tốt (đối diện chung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Kinh doanh tốt</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-68.649.304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263.281.418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233.407.634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345.046.869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Yếu tố phong thủy/tâm linh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đâm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đâm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Không lỗi phong thủy</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-40.298.176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-51.757.030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222.983.242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233.407.634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293.289.839 </w:t>
            </w:r>
            <w:r/>
          </w:p>
        </w:tc>
      </w:tr>
      <w:tr>
        <w:trPr>
          <w:trHeight w:val="82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Điều kiện cơ sở hạ tầng kỹ thuật và các yếu tố khác</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 Nhìn vườn hoa</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 Nhìn vườn hoa</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26.865.451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34.324.652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249.848.693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267.732.286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293.289.839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249.848.693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267.732.286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293.289.839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gridSpan w:val="2"/>
            <w:shd w:val="clear" w:color="ffffff" w:fill="ffffff"/>
            <w:tcBorders>
              <w:bottom w:val="single" w:color="000000" w:sz="6" w:space="0"/>
              <w:right w:val="single" w:color="000000" w:sz="6" w:space="0"/>
            </w:tcBorders>
            <w:tcMar>
              <w:left w:w="0" w:type="dxa"/>
              <w:top w:w="0" w:type="dxa"/>
              <w:right w:w="0" w:type="dxa"/>
              <w:bottom w:w="0" w:type="dxa"/>
            </w:tcMar>
            <w:tcW w:w="31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2"/>
            <w:shd w:val="clear" w:color="ffffff" w:fill="ffffff"/>
            <w:tcBorders>
              <w:bottom w:val="single" w:color="000000" w:sz="6" w:space="0"/>
              <w:right w:val="single" w:color="000000" w:sz="6" w:space="0"/>
            </w:tcBorders>
            <w:tcMar>
              <w:left w:w="0" w:type="dxa"/>
              <w:top w:w="0" w:type="dxa"/>
              <w:right w:w="0" w:type="dxa"/>
              <w:bottom w:w="0" w:type="dxa"/>
            </w:tcMar>
            <w:tcW w:w="318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270.290.273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-7,56%</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-0,95%</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8,51%</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72.536.717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144.163.539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51.757.030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 - 15%</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 - 20%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- 15%</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18.805.816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75.514.235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51.757.030 </w:t>
            </w: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-7,56</w:t>
      </w:r>
      <w:r>
        <w:t xml:space="preserve">% </w:t>
      </w:r>
      <w:r>
        <w:t xml:space="preserve">đến</w:t>
      </w:r>
      <w:r>
        <w:t xml:space="preserve"> </w:t>
      </w:r>
      <w:r>
        <w:t xml:space="preserve">8,51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249.848.693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83.299.554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267.732.287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89.235.171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293.289.839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97.753.503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270.288.228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270.000.000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270.000.000</w:t>
      </w:r>
      <w:r>
        <w:rPr>
          <w:b/>
          <w:bCs/>
          <w:color w:val="000000" w:themeColor="text1"/>
        </w:rPr>
        <w:t xml:space="preserve"> </w:t>
      </w:r>
      <w:r>
        <w:rPr>
          <w:b/>
          <w:bCs/>
        </w:rPr>
        <w:t xml:space="preserve">đồng</w:t>
      </w:r>
      <w:r>
        <w:rPr>
          <w:b/>
          <w:bCs/>
        </w:rPr>
        <w:t xml:space="preserve">/m².</w:t>
      </w:r>
      <w:r>
        <w:rPr>
          <w:b/>
          <w:bCs/>
        </w:rPr>
      </w:r>
      <w:r>
        <w:rPr>
          <w:b/>
          <w:bCs/>
        </w:rPr>
      </w:r>
    </w:p>
    <w:p>
      <w:pPr>
        <w:pStyle w:val="1035"/>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xây mới của công trình xây dựng trên đất:</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Qua tham khảo thị trường về đơn giá xây dựng mới đối với công trình Nhà 3,5 tầng, cân nhắc và xem xét với mức độ hoàn thiện của công trình xây dựng hiện có, Tổ thẩm định nhận thấy đơn giá vận dụng theo Quyết định số 409/QĐ-BXD ngày 11/4/2025 của Bộ Xây dựn</w:t>
      </w:r>
      <w:r>
        <w:rPr>
          <w:rFonts w:ascii="Times New Roman" w:hAnsi="Times New Roman" w:eastAsia="Times New Roman" w:cs="Times New Roman"/>
          <w:color w:val="000000"/>
          <w:sz w:val="24"/>
        </w:rPr>
        <w:t xml:space="preserve">g về việc Công bố suất vốn đầu tư xây dựng công trình và giá xây dựng tổng hợp bộ phận kết cấu công trình năm 2024 là khá phù hợp với thị trường, theo đó</w:t>
      </w:r>
      <w:r>
        <w:rPr>
          <w:rFonts w:ascii="Times New Roman" w:hAnsi="Times New Roman" w:eastAsia="Times New Roman" w:cs="Times New Roman"/>
          <w:color w:val="000000"/>
          <w:spacing w:val="-4"/>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“Suất vốn đầu tư Nhà kiểu biệt thự từ 2 đến 3 tầng, kết cấu khung chịu lực BTCT; tường bao xây gạch; sàn, mái BTCT đổ tại chỗ không có tầng hầm có đơn giá là </w:t>
      </w:r>
      <w:r>
        <w:rPr>
          <w:rFonts w:ascii="Times New Roman" w:hAnsi="Times New Roman" w:eastAsia="Times New Roman" w:cs="Times New Roman"/>
          <w:b/>
          <w:bCs/>
          <w:i/>
          <w:color w:val="000000"/>
          <w:spacing w:val="3"/>
          <w:sz w:val="24"/>
          <w:highlight w:val="white"/>
        </w:rPr>
        <w:t xml:space="preserve">10.</w:t>
      </w:r>
      <w:r>
        <w:rPr>
          <w:rFonts w:ascii="Times New Roman" w:hAnsi="Times New Roman" w:eastAsia="Times New Roman" w:cs="Times New Roman"/>
          <w:b/>
          <w:bCs/>
          <w:i/>
          <w:color w:val="000000"/>
          <w:spacing w:val="3"/>
          <w:sz w:val="24"/>
          <w:highlight w:val="none"/>
        </w:rPr>
        <w:t xml:space="preserve">344</w:t>
      </w:r>
      <w:r>
        <w:rPr>
          <w:rFonts w:ascii="Times New Roman" w:hAnsi="Times New Roman" w:eastAsia="Times New Roman" w:cs="Times New Roman"/>
          <w:b/>
          <w:bCs/>
          <w:i/>
          <w:color w:val="000000"/>
          <w:sz w:val="24"/>
        </w:rPr>
        <w:t xml:space="preserve">.000</w:t>
      </w:r>
      <w:r>
        <w:rPr>
          <w:rFonts w:ascii="Times New Roman" w:hAnsi="Times New Roman" w:eastAsia="Times New Roman" w:cs="Times New Roman"/>
          <w:b/>
          <w:bCs/>
          <w:i/>
          <w:color w:val="000000"/>
          <w:spacing w:val="3"/>
          <w:sz w:val="24"/>
          <w:highlight w:val="none"/>
        </w:rPr>
        <w:t xml:space="preserve"> </w:t>
      </w:r>
      <w:r>
        <w:rPr>
          <w:rFonts w:ascii="Times New Roman" w:hAnsi="Times New Roman" w:eastAsia="Times New Roman" w:cs="Times New Roman"/>
          <w:b/>
          <w:bCs/>
          <w:i/>
          <w:color w:val="000000"/>
          <w:spacing w:val="3"/>
          <w:sz w:val="24"/>
          <w:highlight w:val="white"/>
        </w:rPr>
        <w:t xml:space="preserve">đồng/m² sàn</w:t>
      </w:r>
      <w:r>
        <w:rPr>
          <w:rFonts w:ascii="Times New Roman" w:hAnsi="Times New Roman" w:eastAsia="Times New Roman" w:cs="Times New Roman"/>
          <w:i/>
          <w:color w:val="000000"/>
          <w:spacing w:val="3"/>
          <w:sz w:val="24"/>
          <w:highlight w:val="white"/>
        </w:rPr>
        <w:t xml:space="preserve">.</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Suất vốn đầu tư: Thành phố Hà Nội thuộc vùng 7 có hệ số điều chỉnh là 0,952.”</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sz w:val="24"/>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vốn đầu tư) x (Hệ số vùng) = </w:t>
      </w:r>
      <w:r>
        <w:rPr>
          <w:rFonts w:ascii="Times New Roman" w:hAnsi="Times New Roman" w:eastAsia="Times New Roman" w:cs="Times New Roman"/>
          <w:b/>
          <w:i/>
          <w:color w:val="000000"/>
          <w:sz w:val="24"/>
        </w:rPr>
        <w:t xml:space="preserve">10.334.000</w:t>
      </w:r>
      <w:r>
        <w:rPr>
          <w:rFonts w:ascii="Times New Roman" w:hAnsi="Times New Roman" w:eastAsia="Times New Roman" w:cs="Times New Roman"/>
          <w:b/>
          <w:bCs/>
          <w:i/>
          <w:color w:val="000000"/>
          <w:sz w:val="24"/>
        </w:rPr>
        <w:t xml:space="preserve"> </w:t>
      </w:r>
      <w:r>
        <w:rPr>
          <w:rFonts w:ascii="Times New Roman" w:hAnsi="Times New Roman" w:eastAsia="Times New Roman" w:cs="Times New Roman"/>
          <w:b/>
          <w:bCs/>
          <w:i/>
          <w:color w:val="000000"/>
          <w:spacing w:val="3"/>
          <w:sz w:val="24"/>
          <w:highlight w:val="white"/>
        </w:rPr>
        <w:t xml:space="preserve">x 0,952</w:t>
      </w:r>
      <w:r>
        <w:rPr>
          <w:rFonts w:ascii="Times New Roman" w:hAnsi="Times New Roman" w:eastAsia="Times New Roman" w:cs="Times New Roman"/>
          <w:i/>
          <w:color w:val="000000"/>
          <w:spacing w:val="3"/>
          <w:sz w:val="24"/>
          <w:highlight w:val="white"/>
        </w:rPr>
        <w:t xml:space="preserve"> =</w:t>
      </w:r>
      <w:r>
        <w:rPr>
          <w:rFonts w:ascii="Times New Roman" w:hAnsi="Times New Roman" w:eastAsia="Times New Roman" w:cs="Times New Roman"/>
          <w:b/>
          <w:i/>
          <w:color w:val="000000"/>
          <w:spacing w:val="3"/>
          <w:sz w:val="24"/>
          <w:highlight w:val="white"/>
        </w:rPr>
        <w:t xml:space="preserve"> 9.837.968 đồng/m² sàn.</w:t>
      </w:r>
      <w:r>
        <w:rPr>
          <w:rFonts w:ascii="Times New Roman" w:hAnsi="Times New Roman" w:eastAsia="Times New Roman" w:cs="Times New Roman"/>
          <w:sz w:val="24"/>
        </w:rPr>
      </w:r>
      <w:r>
        <w:rPr>
          <w:rFonts w:ascii="Times New Roman" w:hAnsi="Times New Roman" w:eastAsia="Times New Roman" w:cs="Times New Roman"/>
          <w:sz w:val="24"/>
        </w:rP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Theo thông tin khách hàng cung cấp, công trình được hoàn công năm 2016, đến năm 2024 có cải tạo, sửa chữa lớn, do vậy, Tổ thẩm định ước tính tuổi đời hiệu quả của công trình được rút ngắn, còn khoảng 6 năm.</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ước tính là 50 năm.</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729"/>
        <w:gridCol w:w="1843"/>
        <w:gridCol w:w="1559"/>
        <w:gridCol w:w="1417"/>
        <w:gridCol w:w="1559"/>
        <w:gridCol w:w="1418"/>
      </w:tblGrid>
      <w:tr>
        <w:trPr>
          <w:trHeight w:val="624"/>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72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Tên tài sản</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Năm xây dựng hoàn thành</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Thời điểm thẩm định</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Tuổi đời kinh tế (năm)</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Tuổi đời hiệu quả (năm)</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Tỉ lệ hao mòn (%)</w:t>
            </w:r>
            <w:r>
              <w:rPr>
                <w:color w:val="000000" w:themeColor="text1"/>
              </w:rPr>
            </w:r>
            <w:r>
              <w:rPr>
                <w:color w:val="000000" w:themeColor="text1"/>
              </w:rPr>
            </w:r>
          </w:p>
        </w:tc>
      </w:tr>
      <w:tr>
        <w:trPr>
          <w:trHeight w:val="936"/>
        </w:trPr>
        <w:tc>
          <w:tcPr>
            <w:tcBorders>
              <w:left w:val="single" w:color="000000" w:sz="6" w:space="0"/>
              <w:bottom w:val="single" w:color="000000" w:sz="6" w:space="0"/>
              <w:right w:val="single" w:color="000000" w:sz="6" w:space="0"/>
            </w:tcBorders>
            <w:tcMar>
              <w:left w:w="0" w:type="dxa"/>
              <w:top w:w="0" w:type="dxa"/>
              <w:right w:w="0" w:type="dxa"/>
              <w:bottom w:w="0" w:type="dxa"/>
            </w:tcMar>
            <w:tcW w:w="172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Nhà biệt thự</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hoàn công năm 2016, sửa chữa lớn năm 2024</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2026</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6</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color w:val="000000"/>
          <w:sz w:val="24"/>
        </w:rPr>
        <w:t xml:space="preserve">12%</w:t>
      </w:r>
      <w:r>
        <w:rPr>
          <w:rFonts w:ascii="Times New Roman" w:hAnsi="Times New Roman" w:eastAsia="Times New Roman" w:cs="Times New Roman"/>
          <w:color w:val="000000"/>
          <w:sz w:val="24"/>
        </w:rPr>
        <w:t xml:space="preserve">, tương đương tỷ lệ chất lượng còn lại của tài sản là: </w:t>
      </w:r>
      <w:r>
        <w:rPr>
          <w:rFonts w:ascii="Times New Roman" w:hAnsi="Times New Roman" w:eastAsia="Times New Roman" w:cs="Times New Roman"/>
          <w:b/>
          <w:color w:val="000000"/>
          <w:sz w:val="24"/>
        </w:rPr>
        <w:t xml:space="preserve">88%.</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39"/>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977"/>
        <w:gridCol w:w="351"/>
        <w:gridCol w:w="4528"/>
        <w:gridCol w:w="319"/>
        <w:gridCol w:w="2311"/>
      </w:tblGrid>
      <w:tr>
        <w:trPr>
          <w:trHeight w:val="794"/>
        </w:trPr>
        <w:tc>
          <w:tcPr>
            <w:tcBorders/>
            <w:tcMar>
              <w:left w:w="108" w:type="dxa"/>
              <w:top w:w="0" w:type="dxa"/>
              <w:right w:w="108"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45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before="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162"/>
        <w:gridCol w:w="992"/>
        <w:gridCol w:w="1276"/>
        <w:gridCol w:w="1701"/>
        <w:gridCol w:w="992"/>
        <w:gridCol w:w="1417"/>
        <w:gridCol w:w="1985"/>
      </w:tblGrid>
      <w:tr>
        <w:trPr>
          <w:trHeight w:val="936"/>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Diện tích sàn (m²</w:t>
            </w:r>
            <w:r>
              <w:rPr>
                <w:rFonts w:ascii="Times New Roman" w:hAnsi="Times New Roman" w:eastAsia="Times New Roman" w:cs="Times New Roman"/>
                <w:b/>
                <w:color w:val="000000" w:themeColor="text1"/>
                <w:sz w:val="28"/>
              </w:rPr>
              <w:t xml:space="preserve">)</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Đơn giá xây dựng mới (đồng/m²)</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Chi phí thay thế (đồng)</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Tỉ lệ hao mòn (%)</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hao mòn (đồng)</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thẩm định tại thời điểm thẩm định giá (đồng)</w:t>
            </w:r>
            <w:r>
              <w:rPr>
                <w:color w:val="000000" w:themeColor="text1"/>
              </w:rPr>
            </w:r>
            <w:r>
              <w:rPr>
                <w:color w:val="000000" w:themeColor="text1"/>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 = (2) * (3)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(6)=(4)*(5)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 = (4) - (6)</w:t>
            </w:r>
            <w:r>
              <w:rPr>
                <w:color w:val="000000" w:themeColor="text1"/>
              </w:rPr>
            </w:r>
            <w:r>
              <w:rPr>
                <w:color w:val="000000" w:themeColor="text1"/>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Nhà biệt thự</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269,2</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9.837.968</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2.648.380.986</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317.805.718</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2.330.575.267</w:t>
            </w:r>
            <w:r>
              <w:rPr>
                <w:color w:val="000000" w:themeColor="text1"/>
              </w:rPr>
            </w:r>
            <w:r>
              <w:rPr>
                <w:color w:val="000000" w:themeColor="text1"/>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116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Cộng: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269,2</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276" w:type="dxa"/>
            <w:vAlign w:val="bottom"/>
            <w:textDirection w:val="lrTb"/>
            <w:noWrap/>
          </w:tcPr>
          <w:p>
            <w:pPr>
              <w:pBdr/>
              <w:spacing w:after="0" w:before="0" w:line="240" w:lineRule="auto"/>
              <w:ind/>
              <w:rPr>
                <w:color w:val="000000" w:themeColor="text1"/>
              </w:rPr>
            </w:pPr>
            <w:r>
              <w:rPr>
                <w:rFonts w:ascii="Calibri" w:hAnsi="Calibri" w:eastAsia="Calibri" w:cs="Calibri"/>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01" w:type="dxa"/>
            <w:vAlign w:val="bottom"/>
            <w:textDirection w:val="lrTb"/>
            <w:noWrap/>
          </w:tcPr>
          <w:p>
            <w:pPr>
              <w:pBdr/>
              <w:spacing w:after="0" w:before="0" w:line="240" w:lineRule="auto"/>
              <w:ind/>
              <w:rPr>
                <w:color w:val="000000" w:themeColor="text1"/>
              </w:rPr>
            </w:pPr>
            <w:r>
              <w:rPr>
                <w:rFonts w:ascii="Calibri" w:hAnsi="Calibri" w:eastAsia="Calibri" w:cs="Calibri"/>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992" w:type="dxa"/>
            <w:vAlign w:val="bottom"/>
            <w:textDirection w:val="lrTb"/>
            <w:noWrap/>
          </w:tcPr>
          <w:p>
            <w:pPr>
              <w:pBdr/>
              <w:spacing w:after="0" w:before="0" w:line="240" w:lineRule="auto"/>
              <w:ind/>
              <w:rPr>
                <w:color w:val="000000" w:themeColor="text1"/>
              </w:rPr>
            </w:pPr>
            <w:r>
              <w:rPr>
                <w:rFonts w:ascii="Calibri" w:hAnsi="Calibri" w:eastAsia="Calibri" w:cs="Calibri"/>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98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2.330.575.267</w:t>
            </w:r>
            <w:r>
              <w:rPr>
                <w:color w:val="000000" w:themeColor="text1"/>
              </w:rPr>
            </w:r>
            <w:r>
              <w:rPr>
                <w:color w:val="000000" w:themeColor="text1"/>
              </w:rPr>
            </w:r>
          </w:p>
        </w:tc>
      </w:tr>
    </w:tbl>
    <w:p>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976"/>
        <w:gridCol w:w="1276"/>
        <w:gridCol w:w="1559"/>
        <w:gridCol w:w="1134"/>
        <w:gridCol w:w="1843"/>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27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CLCL </w:t>
              <w:b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Thành tiền (đồng)</w:t>
            </w:r>
            <w:r/>
          </w:p>
        </w:tc>
      </w:tr>
      <w:tr>
        <w:trPr>
          <w:trHeight w:val="283"/>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945" w:type="dxa"/>
            <w:vAlign w:val="center"/>
            <w:textDirection w:val="lrTb"/>
            <w:noWrap w:val="false"/>
          </w:tcPr>
          <w:p>
            <w:pPr>
              <w:pBdr/>
              <w:spacing w:after="0" w:before="0" w:line="288" w:lineRule="auto"/>
              <w:ind w:right="142" w:firstLine="0" w:left="142"/>
              <w:jc w:val="both"/>
              <w:rPr/>
            </w:pPr>
            <w:r>
              <w:rPr>
                <w:rFonts w:ascii="Times New Roman" w:hAnsi="Times New Roman" w:eastAsia="Times New Roman" w:cs="Times New Roman"/>
                <w:b/>
                <w:color w:val="000000"/>
                <w:sz w:val="24"/>
              </w:rPr>
              <w:t xml:space="preserve">Giá trị Quyền sử dụng đất và tài sản gắn liền với đất tại thửa đất có địa chỉ: Ô đất số 4-Dẫy B-TT5, dự án Tây Nam Hồ Linh Đàm, phường Hoàng Liệt, quận Hoàng Mai, thành phố Hà Nội </w:t>
            </w:r>
            <w:r>
              <w:rPr>
                <w:rFonts w:ascii="Times New Roman" w:hAnsi="Times New Roman" w:eastAsia="Times New Roman" w:cs="Times New Roman"/>
                <w:b/>
                <w:i/>
                <w:iCs/>
                <w:color w:val="000000"/>
                <w:sz w:val="24"/>
              </w:rPr>
              <w:t xml:space="preserve">(Nay là phường Hoàng Liệt, Thành phố Hà Nội)</w:t>
            </w:r>
            <w:r>
              <w:rPr>
                <w:rFonts w:ascii="Times New Roman" w:hAnsi="Times New Roman" w:eastAsia="Times New Roman" w:cs="Times New Roman"/>
                <w:b/>
                <w:color w:val="000000"/>
                <w:sz w:val="24"/>
              </w:rPr>
              <w:t xml:space="preserve"> theo Giấy chứng nhận quyền sử d</w:t>
            </w:r>
            <w:r>
              <w:rPr>
                <w:rFonts w:ascii="Times New Roman" w:hAnsi="Times New Roman" w:eastAsia="Times New Roman" w:cs="Times New Roman"/>
                <w:b/>
                <w:color w:val="000000"/>
                <w:sz w:val="24"/>
              </w:rPr>
              <w:t xml:space="preserve">ụng đất quyền sở hữu nhà ở và tài sản khác gắn liền với đất số: CB 845281, số vào sổ cấp GCN: CS 00783 do Sở Tài nguyên và Môi trường Thành phố Hà Nội cấp ngày 14/01/2016; Chủ sử dụng đất là Ông Lê Phúc Vũ và Bà Hoàng Thị Huệ.</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right="0" w:firstLine="0" w:left="142"/>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276" w:type="dxa"/>
            <w:vAlign w:val="center"/>
            <w:textDirection w:val="lrTb"/>
            <w:noWrap/>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210,0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270.000.000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right="142" w:firstLine="0" w:left="0"/>
              <w:jc w:val="right"/>
              <w:rPr/>
            </w:pPr>
            <w:r>
              <w:rPr>
                <w:rFonts w:ascii="Times New Roman" w:hAnsi="Times New Roman" w:eastAsia="Times New Roman" w:cs="Times New Roman"/>
                <w:color w:val="000000"/>
                <w:sz w:val="24"/>
              </w:rPr>
              <w:t xml:space="preserve">56.700.000.000</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right="0" w:firstLine="0" w:left="142"/>
              <w:rPr>
                <w:bCs/>
                <w:i/>
              </w:rPr>
            </w:pPr>
            <w:r>
              <w:rPr>
                <w:rFonts w:ascii="Times New Roman" w:hAnsi="Times New Roman" w:eastAsia="Times New Roman" w:cs="Times New Roman"/>
                <w:color w:val="000000"/>
                <w:sz w:val="24"/>
              </w:rPr>
              <w:t xml:space="preserve">Tài sản gắn liền với đất </w:t>
            </w:r>
            <w:r>
              <w:rPr>
                <w:rFonts w:ascii="Times New Roman" w:hAnsi="Times New Roman" w:eastAsia="Times New Roman" w:cs="Times New Roman"/>
                <w:i/>
                <w:iCs/>
                <w:color w:val="000000"/>
                <w:sz w:val="24"/>
              </w:rPr>
              <w:t xml:space="preserve">(Nhà biệt thự)</w:t>
            </w:r>
            <w:r>
              <w:rPr>
                <w:bCs/>
                <w:i/>
              </w:rPr>
            </w:r>
            <w:r>
              <w:rPr>
                <w:bCs/>
                <w:i/>
              </w:rPr>
            </w:r>
          </w:p>
        </w:tc>
        <w:tc>
          <w:tcPr>
            <w:tcBorders>
              <w:bottom w:val="single" w:color="000000" w:sz="6" w:space="0"/>
              <w:right w:val="single" w:color="000000" w:sz="6" w:space="0"/>
            </w:tcBorders>
            <w:tcMar>
              <w:left w:w="0" w:type="dxa"/>
              <w:top w:w="0" w:type="dxa"/>
              <w:right w:w="0" w:type="dxa"/>
              <w:bottom w:w="0" w:type="dxa"/>
            </w:tcMar>
            <w:tcW w:w="1276" w:type="dxa"/>
            <w:vAlign w:val="center"/>
            <w:textDirection w:val="lrTb"/>
            <w:noWrap/>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269,2</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9.837.968</w:t>
            </w:r>
            <w:r/>
          </w:p>
        </w:tc>
        <w:tc>
          <w:tcPr>
            <w:shd w:val="clear" w:color="ffffff" w:fill="ffffff"/>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88%</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right="142" w:firstLine="0" w:left="0"/>
              <w:jc w:val="right"/>
              <w:rPr/>
            </w:pPr>
            <w:r>
              <w:rPr>
                <w:rFonts w:ascii="Times New Roman" w:hAnsi="Times New Roman" w:eastAsia="Times New Roman" w:cs="Times New Roman"/>
                <w:color w:val="000000"/>
                <w:sz w:val="24"/>
              </w:rPr>
              <w:t xml:space="preserve">2.330.575.267</w:t>
            </w:r>
            <w:r/>
          </w:p>
        </w:tc>
      </w:tr>
      <w:tr>
        <w:trPr>
          <w:trHeight w:val="312"/>
        </w:trPr>
        <w:tc>
          <w:tcPr>
            <w:gridSpan w:val="5"/>
            <w:tcBorders>
              <w:top w:val="single" w:color="000000" w:sz="6" w:space="0"/>
              <w:left w:val="single" w:color="000000" w:sz="6" w:space="0"/>
              <w:bottom w:val="single" w:color="000000" w:sz="6" w:space="0"/>
              <w:right w:val="single" w:color="000000" w:sz="4" w:space="0"/>
            </w:tcBorders>
            <w:tcMar>
              <w:left w:w="0" w:type="dxa"/>
              <w:top w:w="0" w:type="dxa"/>
              <w:right w:w="0" w:type="dxa"/>
              <w:bottom w:w="0" w:type="dxa"/>
            </w:tcMar>
            <w:tcW w:w="7682"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88" w:lineRule="auto"/>
              <w:ind w:right="142" w:firstLine="0" w:left="0"/>
              <w:jc w:val="right"/>
              <w:rPr/>
            </w:pPr>
            <w:r>
              <w:rPr>
                <w:rFonts w:ascii="Times New Roman" w:hAnsi="Times New Roman" w:eastAsia="Times New Roman" w:cs="Times New Roman"/>
                <w:b/>
                <w:color w:val="000000"/>
                <w:sz w:val="24"/>
              </w:rPr>
              <w:t xml:space="preserve">59.030.575.267</w:t>
            </w:r>
            <w:r/>
          </w:p>
        </w:tc>
      </w:tr>
      <w:tr>
        <w:trPr>
          <w:trHeight w:val="312"/>
        </w:trPr>
        <w:tc>
          <w:tcPr>
            <w:gridSpan w:val="5"/>
            <w:tcBorders>
              <w:top w:val="single" w:color="000000" w:sz="6" w:space="0"/>
              <w:left w:val="single" w:color="000000" w:sz="6" w:space="0"/>
              <w:bottom w:val="single" w:color="000000" w:sz="6" w:space="0"/>
              <w:right w:val="single" w:color="000000" w:sz="4" w:space="0"/>
            </w:tcBorders>
            <w:tcMar>
              <w:left w:w="0" w:type="dxa"/>
              <w:top w:w="0" w:type="dxa"/>
              <w:right w:w="0" w:type="dxa"/>
              <w:bottom w:w="0" w:type="dxa"/>
            </w:tcMar>
            <w:tcW w:w="7682"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88" w:lineRule="auto"/>
              <w:ind w:right="142" w:firstLine="0" w:left="0"/>
              <w:jc w:val="right"/>
              <w:rPr/>
            </w:pPr>
            <w:r>
              <w:rPr>
                <w:rFonts w:ascii="Times New Roman" w:hAnsi="Times New Roman" w:eastAsia="Times New Roman" w:cs="Times New Roman"/>
                <w:b/>
                <w:color w:val="000000"/>
                <w:sz w:val="24"/>
              </w:rPr>
              <w:t xml:space="preserve">59.031.000.000</w:t>
            </w:r>
            <w:r/>
          </w:p>
        </w:tc>
      </w:tr>
      <w:tr>
        <w:trPr>
          <w:trHeight w:val="309"/>
        </w:trPr>
        <w:tc>
          <w:tcPr>
            <w:gridSpan w:val="6"/>
            <w:tcBorders>
              <w:top w:val="single" w:color="000000" w:sz="6" w:space="0"/>
              <w:left w:val="single" w:color="000000" w:sz="6" w:space="0"/>
              <w:bottom w:val="single" w:color="000000" w:sz="6" w:space="0"/>
              <w:right w:val="single" w:color="000000" w:sz="4" w:space="0"/>
            </w:tcBorders>
            <w:tcMar>
              <w:left w:w="0" w:type="dxa"/>
              <w:top w:w="0" w:type="dxa"/>
              <w:right w:w="0" w:type="dxa"/>
              <w:bottom w:w="0" w:type="dxa"/>
            </w:tcMar>
            <w:tcW w:w="9524" w:type="dxa"/>
            <w:vAlign w:val="center"/>
            <w:textDirection w:val="lrTb"/>
            <w:noWrap w:val="false"/>
          </w:tcPr>
          <w:p>
            <w:pPr>
              <w:pBdr/>
              <w:spacing w:after="0" w:before="0" w:line="288" w:lineRule="auto"/>
              <w:ind/>
              <w:jc w:val="center"/>
              <w:rPr/>
            </w:pPr>
            <w:r>
              <w:rPr>
                <w:rFonts w:ascii="Times New Roman" w:hAnsi="Times New Roman" w:eastAsia="Times New Roman" w:cs="Times New Roman"/>
                <w:b/>
                <w:i/>
                <w:color w:val="000000"/>
                <w:sz w:val="24"/>
              </w:rPr>
              <w:t xml:space="preserve">(Bằng chữ: Năm mươi chín tỷ, không trăm ba mươi mốt triệu đồng chẵn./.)</w:t>
            </w:r>
            <w:r/>
          </w:p>
        </w:tc>
      </w:tr>
    </w:tbl>
    <w:p>
      <w:pPr>
        <w:pStyle w:val="1035"/>
        <w:pBdr/>
        <w:tabs>
          <w:tab w:val="left" w:leader="none" w:pos="993"/>
        </w:tabs>
        <w:spacing w:after="120" w:before="120" w:line="360"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360"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5"/>
        <w:pBdr/>
        <w:tabs>
          <w:tab w:val="left" w:leader="none" w:pos="993"/>
        </w:tabs>
        <w:spacing w:after="120" w:before="120" w:line="360"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360"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5"/>
        <w:numPr>
          <w:ilvl w:val="0"/>
          <w:numId w:val="5"/>
        </w:numPr>
        <w:pBdr/>
        <w:tabs>
          <w:tab w:val="left" w:leader="none" w:pos="993"/>
        </w:tabs>
        <w:spacing w:after="120" w:before="120" w:line="360"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5"/>
        <w:numPr>
          <w:ilvl w:val="0"/>
          <w:numId w:val="5"/>
        </w:numPr>
        <w:pBdr/>
        <w:tabs>
          <w:tab w:val="left" w:leader="none" w:pos="993"/>
        </w:tabs>
        <w:spacing w:after="120" w:before="120" w:line="360"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5"/>
        </w:numPr>
        <w:pBdr/>
        <w:tabs>
          <w:tab w:val="left" w:leader="none" w:pos="993"/>
        </w:tabs>
        <w:spacing w:after="120" w:before="120" w:line="360"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5"/>
        <w:numPr>
          <w:ilvl w:val="0"/>
          <w:numId w:val="10"/>
        </w:numPr>
        <w:pBdr/>
        <w:spacing w:after="120" w:before="120" w:line="360"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360"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360"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5"/>
        <w:pBdr/>
        <w:tabs>
          <w:tab w:val="left" w:leader="none" w:pos="993"/>
        </w:tabs>
        <w:spacing w:after="120" w:before="120" w:line="360"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360"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5"/>
        <w:numPr>
          <w:ilvl w:val="0"/>
          <w:numId w:val="5"/>
        </w:numPr>
        <w:pBdr/>
        <w:tabs>
          <w:tab w:val="left" w:leader="none" w:pos="993"/>
        </w:tabs>
        <w:spacing w:after="120" w:before="120" w:line="360"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5"/>
        </w:numPr>
        <w:pBdr/>
        <w:tabs>
          <w:tab w:val="left" w:leader="none" w:pos="993"/>
        </w:tabs>
        <w:spacing w:after="120" w:before="120" w:line="360"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5"/>
        <w:numPr>
          <w:ilvl w:val="0"/>
          <w:numId w:val="5"/>
        </w:numPr>
        <w:pBdr/>
        <w:tabs>
          <w:tab w:val="left" w:leader="none" w:pos="993"/>
        </w:tabs>
        <w:spacing w:after="120" w:before="120" w:line="360"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5"/>
        <w:numPr>
          <w:ilvl w:val="0"/>
          <w:numId w:val="5"/>
        </w:numPr>
        <w:pBdr/>
        <w:tabs>
          <w:tab w:val="left" w:leader="none" w:pos="993"/>
        </w:tabs>
        <w:spacing w:after="120" w:before="120" w:line="360"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5"/>
        <w:numPr>
          <w:ilvl w:val="0"/>
          <w:numId w:val="5"/>
        </w:numPr>
        <w:pBdr/>
        <w:tabs>
          <w:tab w:val="left" w:leader="none" w:pos="993"/>
        </w:tabs>
        <w:spacing w:after="120" w:before="120" w:line="360"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5"/>
        <w:numPr>
          <w:ilvl w:val="0"/>
          <w:numId w:val="5"/>
        </w:numPr>
        <w:pBdr/>
        <w:spacing w:after="120" w:before="120" w:line="360"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360"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5"/>
        <w:numPr>
          <w:ilvl w:val="0"/>
          <w:numId w:val="5"/>
        </w:numPr>
        <w:pBdr/>
        <w:tabs>
          <w:tab w:val="left" w:leader="none" w:pos="993"/>
        </w:tabs>
        <w:spacing w:after="120" w:before="120" w:line="360" w:lineRule="auto"/>
        <w:ind/>
        <w:jc w:val="both"/>
        <w:rPr>
          <w:spacing w:val="-2"/>
          <w:lang w:val="pt-BR"/>
          <w14:ligatures w14:val="none"/>
        </w:rPr>
      </w:pPr>
      <w:r>
        <w:rPr>
          <w:spacing w:val="-2"/>
          <w:lang w:val="pt-BR"/>
        </w:rPr>
        <w:t xml:space="preserve">Chúng tôi giả định rằng tà</w:t>
      </w:r>
      <w:r>
        <w:rPr>
          <w:spacing w:val="-2"/>
          <w:lang w:val="pt-BR"/>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spacing w:val="-2"/>
          <w:lang w:val="pt-BR"/>
        </w:rPr>
        <w:t xml:space="preserve">sinh, liên đới (nếu có) trong trường hợp này.</w:t>
      </w:r>
      <w:r>
        <w:rPr>
          <w:spacing w:val="-2"/>
          <w:lang w:val="pt-BR"/>
          <w14:ligatures w14:val="none"/>
        </w:rPr>
      </w:r>
      <w:r>
        <w:rPr>
          <w:spacing w:val="-2"/>
          <w:lang w:val="pt-BR"/>
          <w14:ligatures w14:val="none"/>
        </w:rPr>
      </w:r>
    </w:p>
    <w:p>
      <w:pPr>
        <w:pStyle w:val="1035"/>
        <w:numPr>
          <w:ilvl w:val="0"/>
          <w:numId w:val="5"/>
        </w:numPr>
        <w:pBdr>
          <w:top w:val="none" w:color="000000" w:sz="4" w:space="0"/>
          <w:left w:val="none" w:color="000000" w:sz="4" w:space="0"/>
          <w:bottom w:val="none" w:color="000000" w:sz="4" w:space="0"/>
          <w:right w:val="none" w:color="000000" w:sz="4" w:space="0"/>
        </w:pBdr>
        <w:tabs>
          <w:tab w:val="left" w:leader="none" w:pos="993"/>
        </w:tabs>
        <w:spacing w:after="120" w:before="120" w:line="360" w:lineRule="auto"/>
        <w:ind/>
        <w:jc w:val="both"/>
        <w:rPr>
          <w:spacing w:val="-2"/>
          <w:lang w:val="pt-BR"/>
          <w14:ligatures w14:val="none"/>
        </w:rPr>
      </w:pPr>
      <w:r>
        <w:rPr>
          <w:spacing w:val="-2"/>
          <w:lang w:val="pt-BR"/>
        </w:rPr>
        <w:t xml:space="preserve">Theo GCN số CB 845281, công trình xây dựng gắn liền với đất là Nhà biệt thự, diện tích xây dựng 94m</w:t>
      </w:r>
      <w:r>
        <w:rPr>
          <w:spacing w:val="-2"/>
          <w:vertAlign w:val="superscript"/>
          <w:lang w:val="pt-BR"/>
        </w:rPr>
        <w:t xml:space="preserve">2</w:t>
      </w:r>
      <w:r>
        <w:rPr>
          <w:spacing w:val="-2"/>
          <w:lang w:val="pt-BR"/>
        </w:rPr>
        <w:t xml:space="preserve">, diện tích sàn 269,2m</w:t>
      </w:r>
      <w:r>
        <w:rPr>
          <w:spacing w:val="-2"/>
          <w:vertAlign w:val="superscript"/>
          <w:lang w:val="pt-BR"/>
        </w:rPr>
        <w:t xml:space="preserve">2</w:t>
      </w:r>
      <w:r>
        <w:rPr>
          <w:spacing w:val="-2"/>
          <w:lang w:val="pt-BR"/>
        </w:rPr>
        <w:t xml:space="preserve"> được hoàn công năm 2016. Tuy nhiên, theo thông tin khách hàng cung cấp, công trình xây dựng trên đã được cải tạo sửa chữa và xây dựng thêm tầng 4+5 vào năm 2024. Khách hàng không cung cấp hồ sơ pháp lý liên quan tới phần diện tích xây dựng thêm. Do vậy, t</w:t>
      </w:r>
      <w:r>
        <w:rPr>
          <w:spacing w:val="-2"/>
          <w:lang w:val="pt-BR"/>
        </w:rPr>
        <w:t xml:space="preserve">heo đề nghị của Ngân hàng/Khách hàng, Tổ thẩm định chỉ xác giá trị của công trình xây dựng theo diện tích đã được công nhận trên GCN. Kính đề nghị đơn vị sử dụng kết quả lưu ý.</w:t>
      </w:r>
      <w:r>
        <w:rPr>
          <w:spacing w:val="-2"/>
          <w:lang w:val="pt-BR"/>
          <w14:ligatures w14:val="none"/>
        </w:rPr>
      </w:r>
      <w:r>
        <w:rPr>
          <w:spacing w:val="-2"/>
          <w:lang w:val="pt-BR"/>
          <w14:ligatures w14:val="none"/>
        </w:rPr>
      </w:r>
    </w:p>
    <w:p>
      <w:pPr>
        <w:pStyle w:val="1035"/>
        <w:numPr>
          <w:ilvl w:val="0"/>
          <w:numId w:val="5"/>
        </w:numPr>
        <w:pBdr/>
        <w:tabs>
          <w:tab w:val="left" w:leader="none" w:pos="993"/>
        </w:tabs>
        <w:spacing w:after="120" w:before="120" w:line="360" w:lineRule="auto"/>
        <w:ind/>
        <w:jc w:val="both"/>
        <w:rPr>
          <w:spacing w:val="-2"/>
          <w:lang w:val="pt-BR"/>
          <w14:ligatures w14:val="none"/>
        </w:rPr>
      </w:pPr>
      <w:r>
        <w:rPr>
          <w:spacing w:val="-2"/>
          <w:lang w:val="pt-BR"/>
        </w:rPr>
        <w:t xml:space="preserve">Sơ đồ thửa đất tại trang 3 GCN chưa thể hiện đường giao thông/lối vào thửa đất cần thẩm định giá. Do đó tổ thẩm định giả định vị trí, độ rộng đường/ngõ theo thực tế khảo sát hoàn toàn phù hợp với Trích lục thửa đất do cơ quan có thẩm quyền cấp (do tổ thẩm </w:t>
      </w:r>
      <w:r>
        <w:rPr>
          <w:spacing w:val="-2"/>
          <w:lang w:val="pt-BR"/>
        </w:rPr>
        <w:t xml:space="preserve">định không được cung cấp Sơ đồ/Trích lục thể hiện đường giao thông tại thời điểm khảo sát để đối chiếu với thực tế)</w:t>
      </w:r>
      <w:r>
        <w:rPr>
          <w:spacing w:val="-2"/>
          <w:lang w:val="pt-BR" w:bidi="pt-BR"/>
        </w:rPr>
        <w:t xml:space="preserve">.</w:t>
      </w:r>
      <w:r>
        <w:rPr>
          <w:spacing w:val="-2"/>
          <w:lang w:val="pt-BR"/>
          <w14:ligatures w14:val="none"/>
        </w:rPr>
      </w:r>
      <w:r>
        <w:rPr>
          <w:spacing w:val="-2"/>
          <w:lang w:val="pt-BR"/>
          <w14:ligatures w14:val="none"/>
        </w:rPr>
      </w:r>
    </w:p>
    <w:p>
      <w:pPr>
        <w:pStyle w:val="1035"/>
        <w:numPr>
          <w:ilvl w:val="0"/>
          <w:numId w:val="5"/>
        </w:numPr>
        <w:pBdr/>
        <w:tabs>
          <w:tab w:val="left" w:leader="none" w:pos="993"/>
        </w:tabs>
        <w:spacing w:after="120" w:before="120" w:line="360"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35"/>
        <w:numPr>
          <w:ilvl w:val="0"/>
          <w:numId w:val="3"/>
        </w:numPr>
        <w:pBdr/>
        <w:tabs>
          <w:tab w:val="left" w:leader="none" w:pos="993"/>
        </w:tabs>
        <w:spacing w:after="120" w:before="120" w:line="360"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360"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5"/>
        </w:numPr>
        <w:pBdr/>
        <w:tabs>
          <w:tab w:val="left" w:leader="none" w:pos="993"/>
        </w:tabs>
        <w:spacing w:after="120" w:before="120" w:line="360"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360"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360"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5"/>
        <w:pBdr/>
        <w:tabs>
          <w:tab w:val="left" w:leader="none" w:pos="993"/>
        </w:tabs>
        <w:spacing w:after="120" w:before="120" w:line="360"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 </w:t>
      </w:r>
      <w:r>
        <w:rPr>
          <w:bCs/>
          <w:lang w:val="pt-BR"/>
        </w:rPr>
        <w:t xml:space="preserve">+ Pháp lý + BBKS</w:t>
      </w:r>
      <w:r>
        <w:rPr>
          <w:lang w:val="pt-BR"/>
        </w:rPr>
        <w:t xml:space="preserve">.</w:t>
      </w:r>
      <w:r>
        <w:rPr>
          <w:lang w:val="pt-BR"/>
        </w:rPr>
      </w:r>
      <w:r>
        <w:rPr>
          <w:lang w:val="pt-BR"/>
        </w:rPr>
      </w:r>
    </w:p>
    <w:p>
      <w:pPr>
        <w:pBdr/>
        <w:shd w:val="nil" w:color="auto"/>
        <w:spacing/>
        <w:ind/>
        <w:rPr>
          <w:lang w:val="pt-BR"/>
        </w:rPr>
      </w:pPr>
      <w:r>
        <w:rPr>
          <w:highlight w:val="none"/>
          <w:lang w:val="vi-VN"/>
        </w:rPr>
        <w:br w:type="page" w:clear="all"/>
      </w:r>
      <w:r>
        <w:rPr>
          <w:lang w:val="pt-BR"/>
        </w:rPr>
      </w:r>
      <w:r>
        <w:rPr>
          <w:lang w:val="pt-BR"/>
        </w:rPr>
      </w:r>
    </w:p>
    <w:p>
      <w:pPr>
        <w:pStyle w:val="103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275/2026/0466/VFI-CT.21.A</w:t>
      </w:r>
      <w:r>
        <w:rPr>
          <w:color w:val="ff0000"/>
          <w:lang w:val="vi-VN"/>
        </w:rPr>
        <w:t xml:space="preserve"> </w:t>
      </w:r>
      <w:r>
        <w:rPr>
          <w:color w:val="000000" w:themeColor="text1"/>
        </w:rPr>
        <w:t xml:space="preserve">ngày 25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5074" w:type="pct"/>
        <w:tblBorders/>
        <w:tblLayout w:type="fixed"/>
        <w:tblLook w:val="01E0" w:firstRow="1" w:lastRow="1" w:firstColumn="1" w:lastColumn="1" w:noHBand="0" w:noVBand="0"/>
      </w:tblPr>
      <w:tblGrid>
        <w:gridCol w:w="4422"/>
        <w:gridCol w:w="5244"/>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44"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244"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244"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275/2026/0466/VFI-BC.21.A</w:t>
      </w:r>
      <w:r>
        <w:rPr>
          <w:i/>
        </w:rPr>
        <w:t xml:space="preserve"> </w:t>
      </w:r>
      <w:r>
        <w:rPr>
          <w:i/>
        </w:rPr>
        <w:t xml:space="preserve">ngày</w:t>
      </w:r>
      <w:r>
        <w:rPr>
          <w:i/>
          <w:lang w:val="pt-BR"/>
        </w:rPr>
        <w:t xml:space="preserve"> </w:t>
      </w:r>
      <w:r>
        <w:rPr>
          <w:i/>
          <w:lang w:val="pt-BR"/>
        </w:rPr>
        <w:t xml:space="preserve">25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 + Người hướng dẫn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726585" name=""/>
                              <pic:cNvPicPr>
                                <a:picLocks noChangeAspect="1"/>
                              </pic:cNvPicPr>
                              <pic:nvPr/>
                            </pic:nvPicPr>
                            <pic:blipFill rotWithShape="1">
                              <a:blip r:embed="rId18"/>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6.77pt;height:170.08pt;mso-wrap-distance-left:0.00pt;mso-wrap-distance-top:0.00pt;mso-wrap-distance-right:0.00pt;mso-wrap-distance-bottom:0.00pt;rotation:0;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39821" name=""/>
                              <pic:cNvPicPr>
                                <a:picLocks noChangeAspect="1"/>
                              </pic:cNvPicPr>
                              <pic:nvPr/>
                            </pic:nvPicPr>
                            <pic:blipFill rotWithShape="1">
                              <a:blip r:embed="rId19"/>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77pt;height:170.08pt;mso-wrap-distance-left:0.00pt;mso-wrap-distance-top:0.00pt;mso-wrap-distance-right:0.00pt;mso-wrap-distance-bottom:0.00pt;rotation:0;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803995" name=""/>
                              <pic:cNvPicPr>
                                <a:picLocks noChangeAspect="1"/>
                              </pic:cNvPicPr>
                              <pic:nvPr/>
                            </pic:nvPicPr>
                            <pic:blipFill rotWithShape="1">
                              <a:blip r:embed="rId20"/>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70.08pt;mso-wrap-distance-left:0.00pt;mso-wrap-distance-top:0.00pt;mso-wrap-distance-right:0.00pt;mso-wrap-distance-bottom:0.00pt;rotation:0;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49296" name=""/>
                              <pic:cNvPicPr>
                                <a:picLocks noChangeAspect="1"/>
                              </pic:cNvPicPr>
                              <pic:nvPr/>
                            </pic:nvPicPr>
                            <pic:blipFill rotWithShape="1">
                              <a:blip r:embed="rId21"/>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27.56pt;height:170.08pt;mso-wrap-distance-left:0.00pt;mso-wrap-distance-top:0.00pt;mso-wrap-distance-right:0.00pt;mso-wrap-distance-bottom:0.00pt;rotation:0;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459362" name=""/>
                              <pic:cNvPicPr>
                                <a:picLocks noChangeAspect="1"/>
                              </pic:cNvPicPr>
                              <pic:nvPr/>
                            </pic:nvPicPr>
                            <pic:blipFill rotWithShape="1">
                              <a:blip r:embed="rId22"/>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27.56pt;height:170.08pt;mso-wrap-distance-left:0.00pt;mso-wrap-distance-top:0.00pt;mso-wrap-distance-right:0.00pt;mso-wrap-distance-bottom:0.00pt;rotation:0;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207254" name=""/>
                              <pic:cNvPicPr>
                                <a:picLocks noChangeAspect="1"/>
                              </pic:cNvPicPr>
                              <pic:nvPr/>
                            </pic:nvPicPr>
                            <pic:blipFill rotWithShape="1">
                              <a:blip r:embed="rId23"/>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27.56pt;height:170.08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275/2026/0466/VFI-BC.21.A</w:t>
      </w:r>
      <w:r>
        <w:rPr>
          <w:i/>
        </w:rPr>
        <w:t xml:space="preserve"> </w:t>
      </w:r>
      <w:r>
        <w:rPr>
          <w:i/>
        </w:rPr>
        <w:t xml:space="preserve">ngày</w:t>
      </w:r>
      <w:r>
        <w:rPr>
          <w:i/>
          <w:lang w:val="pt-BR"/>
        </w:rPr>
        <w:t xml:space="preserve"> </w:t>
      </w:r>
      <w:r>
        <w:rPr>
          <w:i/>
          <w:lang w:val="pt-BR"/>
        </w:rPr>
        <w:t xml:space="preserve">25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5037886" cy="655943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51408" name=""/>
                        <pic:cNvPicPr>
                          <a:picLocks noChangeAspect="1"/>
                        </pic:cNvPicPr>
                        <pic:nvPr/>
                      </pic:nvPicPr>
                      <pic:blipFill rotWithShape="1">
                        <a:blip r:embed="rId24"/>
                        <a:stretch/>
                      </pic:blipFill>
                      <pic:spPr bwMode="auto">
                        <a:xfrm flipH="0" flipV="0">
                          <a:off x="0" y="0"/>
                          <a:ext cx="5037885" cy="65594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96.68pt;height:516.49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mc:AlternateContent>
                <mc:Choice Requires="wpg">
                  <w:drawing>
                    <wp:inline xmlns:wp="http://schemas.openxmlformats.org/drawingml/2006/wordprocessingDrawing" distT="0" distB="0" distL="0" distR="0">
                      <wp:extent cx="1772942" cy="124528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567254" name=""/>
                              <pic:cNvPicPr>
                                <a:picLocks noChangeAspect="1"/>
                              </pic:cNvPicPr>
                              <pic:nvPr/>
                            </pic:nvPicPr>
                            <pic:blipFill rotWithShape="1">
                              <a:blip r:embed="rId25"/>
                              <a:stretch/>
                            </pic:blipFill>
                            <pic:spPr bwMode="auto">
                              <a:xfrm flipH="0" flipV="0">
                                <a:off x="0" y="0"/>
                                <a:ext cx="1772942" cy="1245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39.60pt;height:98.05pt;mso-wrap-distance-left:0.00pt;mso-wrap-distance-top:0.00pt;mso-wrap-distance-right:0.00pt;mso-wrap-distance-bottom:0.00pt;z-index:1;" stroked="false">
                      <v:imagedata r:id="rId25" o:title=""/>
                      <o:lock v:ext="edit" rotation="t"/>
                    </v:shape>
                  </w:pict>
                </mc:Fallback>
              </mc:AlternateContent>
            </w:r>
            <w:r/>
          </w:p>
          <w:p>
            <w:pPr>
              <w:pBdr/>
              <w:spacing/>
              <w:ind/>
              <w:jc w:val="center"/>
              <w:rPr>
                <w:b/>
                <w:bCs/>
              </w:rPr>
            </w:pPr>
            <w:r>
              <w:rPr>
                <w:b/>
                <w:bCs/>
              </w:rPr>
              <w:t xml:space="preserve">Trương Thị Diệp</w:t>
            </w:r>
            <w:r>
              <w:rPr>
                <w:b/>
                <w:bCs/>
              </w:rPr>
            </w:r>
            <w:r>
              <w:rPr>
                <w:b/>
                <w:bCs/>
              </w:rPr>
            </w:r>
          </w:p>
        </w:tc>
      </w:tr>
    </w:tbl>
    <w:p>
      <w:pPr>
        <w:pBdr/>
        <w:spacing/>
        <w:ind/>
        <w:rPr/>
      </w:pPr>
      <w:r>
        <w:br w:type="page" w:clear="all"/>
      </w:r>
      <w:r/>
    </w:p>
    <w:p>
      <w:pPr>
        <w:pBdr/>
        <w:spacing w:after="200" w:line="276" w:lineRule="auto"/>
        <w:ind/>
        <w:jc w:val="center"/>
        <w:rPr>
          <w:i/>
          <w:lang w:val="pt-BR"/>
        </w:rPr>
      </w:pPr>
      <w:r>
        <w:rPr>
          <w:i/>
          <w:lang w:val="pt-BR"/>
        </w:rPr>
      </w:r>
      <w:r>
        <mc:AlternateContent>
          <mc:Choice Requires="wpg">
            <w:drawing>
              <wp:inline xmlns:wp="http://schemas.openxmlformats.org/drawingml/2006/wordprocessingDrawing" distT="0" distB="0" distL="0" distR="0">
                <wp:extent cx="5467690" cy="742896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36818" name=""/>
                        <pic:cNvPicPr>
                          <a:picLocks noChangeAspect="1"/>
                        </pic:cNvPicPr>
                        <pic:nvPr/>
                      </pic:nvPicPr>
                      <pic:blipFill rotWithShape="1">
                        <a:blip r:embed="rId26"/>
                        <a:stretch/>
                      </pic:blipFill>
                      <pic:spPr bwMode="auto">
                        <a:xfrm flipH="0" flipV="0">
                          <a:off x="0" y="0"/>
                          <a:ext cx="5467689" cy="74289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30.53pt;height:584.96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mc:AlternateContent>
                <mc:Choice Requires="wpg">
                  <w:drawing>
                    <wp:inline xmlns:wp="http://schemas.openxmlformats.org/drawingml/2006/wordprocessingDrawing" distT="0" distB="0" distL="0" distR="0">
                      <wp:extent cx="1772943" cy="1245281"/>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11618" name=""/>
                              <pic:cNvPicPr>
                                <a:picLocks noChangeAspect="1"/>
                              </pic:cNvPicPr>
                              <pic:nvPr/>
                            </pic:nvPicPr>
                            <pic:blipFill rotWithShape="1">
                              <a:blip r:embed="rId25"/>
                              <a:stretch/>
                            </pic:blipFill>
                            <pic:spPr bwMode="auto">
                              <a:xfrm rot="0" flipH="0" flipV="0">
                                <a:off x="0" y="0"/>
                                <a:ext cx="1772941" cy="12452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39.60pt;height:98.05pt;mso-wrap-distance-left:0.00pt;mso-wrap-distance-top:0.00pt;mso-wrap-distance-right:0.00pt;mso-wrap-distance-bottom:0.00pt;rotation:0;z-index:1;" stroked="false">
                      <v:imagedata r:id="rId25" o:title=""/>
                      <o:lock v:ext="edit" rotation="t"/>
                    </v:shape>
                  </w:pict>
                </mc:Fallback>
              </mc:AlternateContent>
            </w:r>
            <w:r/>
          </w:p>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381593" cy="751468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707155" name=""/>
                        <pic:cNvPicPr>
                          <a:picLocks noChangeAspect="1"/>
                        </pic:cNvPicPr>
                        <pic:nvPr/>
                      </pic:nvPicPr>
                      <pic:blipFill rotWithShape="1">
                        <a:blip r:embed="rId27"/>
                        <a:stretch/>
                      </pic:blipFill>
                      <pic:spPr bwMode="auto">
                        <a:xfrm flipH="0" flipV="0">
                          <a:off x="0" y="0"/>
                          <a:ext cx="5381592" cy="75146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3.75pt;height:591.71pt;mso-wrap-distance-left:0.00pt;mso-wrap-distance-top:0.00pt;mso-wrap-distance-right:0.00pt;mso-wrap-distance-bottom:0.00pt;z-index:1;" stroked="false">
                <v:imagedata r:id="rId27"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mc:AlternateContent>
                <mc:Choice Requires="wpg">
                  <w:drawing>
                    <wp:inline xmlns:wp="http://schemas.openxmlformats.org/drawingml/2006/wordprocessingDrawing" distT="0" distB="0" distL="0" distR="0">
                      <wp:extent cx="1653256" cy="116121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86590" name=""/>
                              <pic:cNvPicPr>
                                <a:picLocks noChangeAspect="1"/>
                              </pic:cNvPicPr>
                              <pic:nvPr/>
                            </pic:nvPicPr>
                            <pic:blipFill rotWithShape="1">
                              <a:blip r:embed="rId25"/>
                              <a:stretch/>
                            </pic:blipFill>
                            <pic:spPr bwMode="auto">
                              <a:xfrm rot="0" flipH="0" flipV="0">
                                <a:off x="0" y="0"/>
                                <a:ext cx="1653256" cy="11612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30.18pt;height:91.43pt;mso-wrap-distance-left:0.00pt;mso-wrap-distance-top:0.00pt;mso-wrap-distance-right:0.00pt;mso-wrap-distance-bottom:0.00pt;rotation:0;z-index:1;" stroked="false">
                      <v:imagedata r:id="rId25" o:title=""/>
                      <o:lock v:ext="edit" rotation="t"/>
                    </v:shape>
                  </w:pict>
                </mc:Fallback>
              </mc:AlternateContent>
            </w:r>
            <w:r/>
          </w:p>
          <w:p>
            <w:pPr>
              <w:pBdr/>
              <w:spacing/>
              <w:ind/>
              <w:jc w:val="center"/>
              <w:rPr>
                <w:b/>
                <w:bCs/>
              </w:rPr>
            </w:pPr>
            <w:r>
              <w:rPr>
                <w:b/>
                <w:bCs/>
              </w:rPr>
              <w:t xml:space="preserve">Trương Thị Diệp</w:t>
            </w:r>
            <w:r>
              <w:rPr>
                <w:b/>
                <w:bCs/>
              </w:rPr>
            </w:r>
            <w:r>
              <w:rPr>
                <w:b/>
                <w:bCs/>
              </w:rPr>
            </w:r>
          </w:p>
        </w:tc>
      </w:tr>
    </w:tbl>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5760000" cy="79740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58593" name=""/>
                        <pic:cNvPicPr>
                          <a:picLocks noChangeAspect="1"/>
                        </pic:cNvPicPr>
                        <pic:nvPr/>
                      </pic:nvPicPr>
                      <pic:blipFill rotWithShape="1">
                        <a:blip r:embed="rId28"/>
                        <a:stretch/>
                      </pic:blipFill>
                      <pic:spPr bwMode="auto">
                        <a:xfrm rot="0" flipH="0" flipV="0">
                          <a:off x="0" y="0"/>
                          <a:ext cx="5760000" cy="7974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53.54pt;height:627.87pt;mso-wrap-distance-left:0.00pt;mso-wrap-distance-top:0.00pt;mso-wrap-distance-right:0.00pt;mso-wrap-distance-bottom:0.00pt;rotation:0;z-index:1;" stroked="false">
                <v:imagedata r:id="rId28" o:title=""/>
                <o:lock v:ext="edit" rotation="t"/>
              </v:shape>
            </w:pict>
          </mc:Fallback>
        </mc:AlternateConten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760000" cy="80784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944597" name=""/>
                        <pic:cNvPicPr>
                          <a:picLocks noChangeAspect="1"/>
                        </pic:cNvPicPr>
                        <pic:nvPr/>
                      </pic:nvPicPr>
                      <pic:blipFill rotWithShape="1">
                        <a:blip r:embed="rId29"/>
                        <a:stretch/>
                      </pic:blipFill>
                      <pic:spPr bwMode="auto">
                        <a:xfrm rot="0" flipH="0" flipV="0">
                          <a:off x="0" y="0"/>
                          <a:ext cx="5760000" cy="8078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53.54pt;height:636.09pt;mso-wrap-distance-left:0.00pt;mso-wrap-distance-top:0.00pt;mso-wrap-distance-right:0.00pt;mso-wrap-distance-bottom:0.00pt;rotation:0;z-index:1;" stroked="false">
                <v:imagedata r:id="rId29" o:title=""/>
                <o:lock v:ext="edit" rotation="t"/>
              </v:shape>
            </w:pict>
          </mc:Fallback>
        </mc:AlternateContent>
      </w:r>
      <w:r>
        <w:rPr>
          <w:highlight w:val="none"/>
          <w:lang w:val="pt-BR" w:bidi="pt-BR"/>
        </w:rPr>
      </w:r>
      <w:r>
        <w:rPr>
          <w:highlight w:val="none"/>
          <w:lang w:val="pt-BR" w:bidi="pt-BR"/>
        </w:rPr>
      </w:r>
    </w:p>
    <w:p>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760000" cy="71820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942791" name=""/>
                        <pic:cNvPicPr>
                          <a:picLocks noChangeAspect="1"/>
                        </pic:cNvPicPr>
                        <pic:nvPr/>
                      </pic:nvPicPr>
                      <pic:blipFill rotWithShape="1">
                        <a:blip r:embed="rId30"/>
                        <a:stretch/>
                      </pic:blipFill>
                      <pic:spPr bwMode="auto">
                        <a:xfrm rot="0" flipH="0" flipV="0">
                          <a:off x="0" y="0"/>
                          <a:ext cx="5760000" cy="7182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53.54pt;height:565.51pt;mso-wrap-distance-left:0.00pt;mso-wrap-distance-top:0.00pt;mso-wrap-distance-right:0.00pt;mso-wrap-distance-bottom:0.00pt;rotation:0;z-index:1;" stroked="false">
                <v:imagedata r:id="rId30" o:title=""/>
                <o:lock v:ext="edit" rotation="t"/>
              </v:shape>
            </w:pict>
          </mc:Fallback>
        </mc:AlternateContent>
      </w:r>
      <w:r>
        <w:rPr>
          <w:highlight w:val="none"/>
          <w:lang w:val="pt-BR" w:bidi="pt-BR"/>
        </w:rPr>
      </w:r>
      <w:r>
        <w:rPr>
          <w:highlight w:val="none"/>
          <w:lang w:val="pt-BR" w:bidi="pt-BR"/>
        </w:rPr>
      </w:r>
    </w:p>
    <w:p>
      <w:pPr>
        <w:pBdr/>
        <w:spacing w:after="200" w:line="276" w:lineRule="auto"/>
        <w:ind/>
        <w:jc w:val="center"/>
        <w:rPr>
          <w:highlight w:val="none"/>
          <w:lang w:val="pt-BR" w:bidi="pt-BR"/>
        </w:rPr>
      </w:pPr>
      <w:r>
        <w:rPr>
          <w:highlight w:val="none"/>
          <w:lang w:val="pt-BR" w:bidi="pt-BR"/>
        </w:rPr>
      </w:r>
      <w:r>
        <w:rPr>
          <w:highlight w:val="none"/>
          <w:lang w:val="pt-BR" w:bidi="pt-BR"/>
        </w:rPr>
      </w:r>
      <w:r>
        <w:rPr>
          <w:highlight w:val="none"/>
          <w:lang w:val="pt-BR" w:bidi="pt-BR"/>
        </w:rPr>
      </w:r>
    </w:p>
    <w:p>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760000" cy="79704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62665" name=""/>
                        <pic:cNvPicPr>
                          <a:picLocks noChangeAspect="1"/>
                        </pic:cNvPicPr>
                        <pic:nvPr/>
                      </pic:nvPicPr>
                      <pic:blipFill rotWithShape="1">
                        <a:blip r:embed="rId31"/>
                        <a:stretch/>
                      </pic:blipFill>
                      <pic:spPr bwMode="auto">
                        <a:xfrm rot="0" flipH="0" flipV="0">
                          <a:off x="0" y="0"/>
                          <a:ext cx="5760000" cy="7970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53.54pt;height:627.59pt;mso-wrap-distance-left:0.00pt;mso-wrap-distance-top:0.00pt;mso-wrap-distance-right:0.00pt;mso-wrap-distance-bottom:0.00pt;rotation:0;z-index:1;" stroked="false">
                <v:imagedata r:id="rId31" o:title=""/>
                <o:lock v:ext="edit" rotation="t"/>
              </v:shape>
            </w:pict>
          </mc:Fallback>
        </mc:AlternateContent>
      </w:r>
      <w:r>
        <w:rPr>
          <w:highlight w:val="none"/>
          <w:lang w:val="pt-BR" w:bidi="pt-BR"/>
        </w:rPr>
      </w:r>
      <w:r>
        <w:rPr>
          <w:highlight w:val="none"/>
          <w:lang w:val="pt-BR" w:bidi="pt-BR"/>
        </w:rPr>
      </w:r>
    </w:p>
    <w:p>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760000" cy="80784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33238" name=""/>
                        <pic:cNvPicPr>
                          <a:picLocks noChangeAspect="1"/>
                        </pic:cNvPicPr>
                        <pic:nvPr/>
                      </pic:nvPicPr>
                      <pic:blipFill rotWithShape="1">
                        <a:blip r:embed="rId32"/>
                        <a:stretch/>
                      </pic:blipFill>
                      <pic:spPr bwMode="auto">
                        <a:xfrm rot="0" flipH="0" flipV="0">
                          <a:off x="0" y="0"/>
                          <a:ext cx="5760000" cy="8078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53.54pt;height:636.09pt;mso-wrap-distance-left:0.00pt;mso-wrap-distance-top:0.00pt;mso-wrap-distance-right:0.00pt;mso-wrap-distance-bottom:0.00pt;rotation:0;z-index:1;" stroked="false">
                <v:imagedata r:id="rId32" o:title=""/>
                <o:lock v:ext="edit" rotation="t"/>
              </v:shape>
            </w:pict>
          </mc:Fallback>
        </mc:AlternateContent>
      </w:r>
      <w:r>
        <w:rPr>
          <w:highlight w:val="none"/>
          <w:lang w:val="pt-BR" w:bidi="pt-BR"/>
        </w:rPr>
      </w:r>
      <w:r>
        <w:rPr>
          <w:highlight w:val="none"/>
          <w:lang w:val="pt-BR" w:bidi="pt-BR"/>
        </w:rPr>
      </w:r>
    </w:p>
    <w:p>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760000" cy="79092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4789" name=""/>
                        <pic:cNvPicPr>
                          <a:picLocks noChangeAspect="1"/>
                        </pic:cNvPicPr>
                        <pic:nvPr/>
                      </pic:nvPicPr>
                      <pic:blipFill rotWithShape="1">
                        <a:blip r:embed="rId33"/>
                        <a:stretch/>
                      </pic:blipFill>
                      <pic:spPr bwMode="auto">
                        <a:xfrm rot="0" flipH="0" flipV="0">
                          <a:off x="0" y="0"/>
                          <a:ext cx="5760000" cy="7909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53.54pt;height:622.77pt;mso-wrap-distance-left:0.00pt;mso-wrap-distance-top:0.00pt;mso-wrap-distance-right:0.00pt;mso-wrap-distance-bottom:0.00pt;rotation:0;z-index:1;" stroked="false">
                <v:imagedata r:id="rId33" o:title=""/>
                <o:lock v:ext="edit" rotation="t"/>
              </v:shape>
            </w:pict>
          </mc:Fallback>
        </mc:AlternateContent>
      </w:r>
      <w:r>
        <w:rPr>
          <w:highlight w:val="none"/>
          <w:lang w:val="pt-BR" w:bidi="pt-BR"/>
        </w:rPr>
      </w:r>
      <w:r>
        <w:rPr>
          <w:highlight w:val="none"/>
          <w:lang w:val="pt-BR" w:bidi="pt-BR"/>
        </w:rPr>
      </w:r>
    </w:p>
    <w:p>
      <w:pPr>
        <w:pBdr/>
        <w:spacing w:after="200" w:line="276" w:lineRule="auto"/>
        <w:ind/>
        <w:jc w:val="left"/>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400000" cy="7200000"/>
                <wp:effectExtent l="180000" t="239397" r="180000" b="239397"/>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824982" name=""/>
                        <pic:cNvPicPr>
                          <a:picLocks noChangeAspect="1"/>
                        </pic:cNvPicPr>
                        <pic:nvPr/>
                      </pic:nvPicPr>
                      <pic:blipFill rotWithShape="1">
                        <a:blip r:embed="rId34"/>
                        <a:stretch/>
                      </pic:blipFill>
                      <pic:spPr bwMode="auto">
                        <a:xfrm rot="0" flipH="0" flipV="0">
                          <a:off x="0" y="0"/>
                          <a:ext cx="5400000" cy="720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25.20pt;height:566.93pt;mso-wrap-distance-left:0.00pt;mso-wrap-distance-top:0.00pt;mso-wrap-distance-right:0.00pt;mso-wrap-distance-bottom:0.00pt;rotation:0;z-index:1;" stroked="false">
                <v:imagedata r:id="rId34"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rPr>
      </w:pPr>
      <w:r>
        <w:rPr>
          <w:iCs/>
          <w:highlight w:val="none"/>
          <w:lang w:val="pt-BR" w:bidi="pt-BR"/>
        </w:rPr>
      </w:r>
      <w:r>
        <w:rPr>
          <w:highlight w:val="none"/>
          <w:lang w:val="pt-BR"/>
        </w:rPr>
      </w:r>
      <w:r>
        <w:rPr>
          <w:highlight w:val="none"/>
          <w:lang w:val="pt-BR"/>
        </w:rPr>
      </w:r>
    </w:p>
    <w:p>
      <w:pPr>
        <w:pBdr/>
        <w:spacing w:after="200" w:line="276" w:lineRule="auto"/>
        <w:ind/>
        <w:rPr>
          <w:lang w:val="pt-BR"/>
        </w:rPr>
      </w:pPr>
      <w:r>
        <w:rPr>
          <w:iCs/>
          <w:highlight w:val="none"/>
          <w:lang w:val="pt-BR" w:bidi="pt-BR"/>
        </w:rPr>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9D683C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28B6800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5A18A126"/>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59D683C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Trương Thị Diệp</cp:lastModifiedBy>
  <cp:revision>511</cp:revision>
  <dcterms:created xsi:type="dcterms:W3CDTF">2025-09-15T02:01:00Z</dcterms:created>
  <dcterms:modified xsi:type="dcterms:W3CDTF">2026-03-27T02:59:57Z</dcterms:modified>
</cp:coreProperties>
</file>