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both"/>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9162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162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Hoàng Văn Doanh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237, tờ bản đồ số: 20, có địa chỉ: Thôn Gia Vĩnh, xã Tam Hưng, thành phố Hà Nội theo Giấy chứng </w:t>
                            </w:r>
                            <w:r>
                              <w:rPr>
                                <w:color w:val="000000"/>
                              </w:rPr>
                              <w:t xml:space="preserve">nhận quyền sử dụng đất, quyền sở hữu tài sản gắn liền với đất số: AA 04486033, Số vào sổ cấp GCN: CN 00432 do Chi nhánh Văn phòng đăng ký đất đai Hà Nội - Huyện Thanh Oai cấp ngày 27/11/2025; Chủ sử dụng đất là Ông Hoàng Văn Doanh và Bà Nguyễn Thị Ngọc Nga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1.31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Hoàng Văn Doanh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237, tờ bản đồ số: 20, có địa chỉ: Thôn Gia Vĩnh, xã Tam Hưng, thành phố Hà Nội theo Giấy chứng </w:t>
                      </w:r>
                      <w:r>
                        <w:rPr>
                          <w:color w:val="000000"/>
                        </w:rPr>
                        <w:t xml:space="preserve">nhận quyền sử dụng đất, quyền sở hữu tài sản gắn liền với đất số: AA 04486033, Số vào sổ cấp GCN: CN 00432 do Chi nhánh Văn phòng đăng ký đất đai Hà Nội - Huyện Thanh Oai cấp ngày 27/11/2025; Chủ sử dụng đất là Ông Hoàng Văn Doanh và Bà Nguyễn Thị Ngọc Nga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r>
        <w:trPr/>
        <w:tc>
          <w:tcPr>
            <w:tcBorders/>
            <w:tcMar>
              <w:left w:w="108" w:type="dxa"/>
              <w:right w:w="108" w:type="dxa"/>
            </w:tcMar>
            <w:tcW w:w="7280" w:type="dxa"/>
            <w:vAlign w:val="center"/>
            <w:textDirection w:val="lrTb"/>
            <w:noWrap w:val="false"/>
          </w:tcPr>
          <w:p>
            <w:pPr>
              <w:pStyle w:val="104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24-28</w:t>
            </w:r>
            <w:r>
              <w:rPr>
                <w:b/>
                <w:bCs/>
              </w:rPr>
            </w:r>
            <w:r>
              <w:rPr>
                <w:b/>
                <w:bCs/>
              </w:rPr>
            </w:r>
          </w:p>
        </w:tc>
      </w:tr>
    </w:tbl>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5"/>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5"/>
              <w:pBdr/>
              <w:spacing w:after="60"/>
              <w:ind/>
              <w:rPr>
                <w:color w:val="000000" w:themeColor="text1"/>
                <w:sz w:val="24"/>
                <w:szCs w:val="24"/>
              </w:rPr>
            </w:pPr>
            <w:r>
              <w:rPr>
                <w:rStyle w:val="1044"/>
                <w:rFonts w:ascii="Times New Roman" w:hAnsi="Times New Roman"/>
                <w:color w:val="000000" w:themeColor="text1"/>
                <w:lang w:val="pt-BR"/>
              </w:rPr>
              <w:t xml:space="preserve">Số</w:t>
            </w:r>
            <w:r>
              <w:rPr>
                <w:rStyle w:val="1044"/>
                <w:rFonts w:ascii="Times New Roman" w:hAnsi="Times New Roman"/>
                <w:color w:val="000000" w:themeColor="text1"/>
                <w:lang w:val="pt-BR"/>
              </w:rPr>
              <w:t xml:space="preserve">: </w:t>
            </w:r>
            <w:r>
              <w:rPr>
                <w:rStyle w:val="1044"/>
                <w:rFonts w:ascii="Times New Roman" w:hAnsi="Times New Roman"/>
                <w:color w:val="000000" w:themeColor="text1"/>
                <w:lang w:val="pt-BR"/>
              </w:rPr>
              <w:t xml:space="preserve">275/2026/0468/VFI-CT.44.A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45"/>
              <w:pBdr/>
              <w:spacing w:after="60"/>
              <w:ind w:right="-56"/>
              <w:jc w:val="right"/>
              <w:rPr>
                <w:color w:val="000000" w:themeColor="text1"/>
                <w:sz w:val="24"/>
                <w:szCs w:val="24"/>
                <w:lang w:val="vi-VN"/>
              </w:rPr>
            </w:pPr>
            <w:r>
              <w:rPr>
                <w:rStyle w:val="1044"/>
                <w:rFonts w:ascii="Times New Roman" w:hAnsi="Times New Roman"/>
                <w:i/>
                <w:color w:val="auto"/>
              </w:rPr>
              <w:t xml:space="preserve">TP. </w:t>
            </w:r>
            <w:r>
              <w:rPr>
                <w:rStyle w:val="1044"/>
                <w:rFonts w:ascii="Times New Roman" w:hAnsi="Times New Roman"/>
                <w:i/>
                <w:color w:val="auto"/>
              </w:rPr>
              <w:t xml:space="preserve">Hà</w:t>
            </w:r>
            <w:r>
              <w:rPr>
                <w:rStyle w:val="1044"/>
                <w:rFonts w:ascii="Times New Roman" w:hAnsi="Times New Roman"/>
                <w:i/>
                <w:color w:val="auto"/>
              </w:rPr>
              <w:t xml:space="preserve"> </w:t>
            </w:r>
            <w:r>
              <w:rPr>
                <w:rStyle w:val="1044"/>
                <w:rFonts w:ascii="Times New Roman" w:hAnsi="Times New Roman"/>
                <w:i/>
                <w:color w:val="auto"/>
              </w:rPr>
              <w:t xml:space="preserve">Nội</w:t>
            </w:r>
            <w:r>
              <w:rPr>
                <w:rStyle w:val="1044"/>
                <w:rFonts w:ascii="Times New Roman" w:hAnsi="Times New Roman"/>
                <w:i/>
                <w:color w:val="auto"/>
                <w:lang w:val="vi-VN"/>
              </w:rPr>
              <w:t xml:space="preserve">, </w:t>
            </w:r>
            <w:r>
              <w:rPr>
                <w:rStyle w:val="1044"/>
                <w:rFonts w:ascii="Times New Roman" w:hAnsi="Times New Roman"/>
                <w:i/>
                <w:color w:val="000000" w:themeColor="text1"/>
                <w:lang w:val="vi-VN"/>
              </w:rPr>
              <w:t xml:space="preserve">ngày 23 tháng 3 năm 2026</w:t>
            </w:r>
            <w:r>
              <w:rPr>
                <w:color w:val="000000" w:themeColor="text1"/>
                <w:sz w:val="24"/>
                <w:szCs w:val="24"/>
                <w:lang w:val="vi-VN"/>
              </w:rPr>
            </w:r>
            <w:r>
              <w:rPr>
                <w:color w:val="000000" w:themeColor="text1"/>
                <w:sz w:val="24"/>
                <w:szCs w:val="24"/>
                <w:lang w:val="vi-VN"/>
              </w:rPr>
            </w:r>
          </w:p>
        </w:tc>
      </w:tr>
    </w:tbl>
    <w:p>
      <w:pPr>
        <w:pStyle w:val="1045"/>
        <w:pBdr/>
        <w:spacing w:after="120" w:before="200" w:line="288" w:lineRule="auto"/>
        <w:ind/>
        <w:jc w:val="center"/>
        <w:rPr>
          <w:rStyle w:val="1044"/>
          <w:rFonts w:ascii="Times New Roman" w:hAnsi="Times New Roman"/>
          <w:b/>
          <w:bCs/>
          <w:color w:val="auto"/>
          <w:sz w:val="30"/>
          <w:szCs w:val="30"/>
          <w:lang w:val="vi-VN"/>
        </w:rPr>
      </w:pPr>
      <w:r>
        <w:rPr>
          <w:rStyle w:val="1044"/>
          <w:rFonts w:ascii="Times New Roman" w:hAnsi="Times New Roman"/>
          <w:b/>
          <w:bCs/>
          <w:color w:val="auto"/>
          <w:sz w:val="30"/>
          <w:szCs w:val="30"/>
          <w:lang w:val="vi-VN"/>
        </w:rPr>
        <w:t xml:space="preserve">CHỨNG THƯ THẨM ĐỊNH GIÁ</w:t>
      </w:r>
      <w:r>
        <w:rPr>
          <w:rStyle w:val="1044"/>
          <w:rFonts w:ascii="Times New Roman" w:hAnsi="Times New Roman"/>
          <w:b/>
          <w:bCs/>
          <w:color w:val="auto"/>
          <w:sz w:val="30"/>
          <w:szCs w:val="30"/>
          <w:lang w:val="vi-VN"/>
        </w:rPr>
      </w:r>
      <w:r>
        <w:rPr>
          <w:rStyle w:val="104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Văn Doanh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275/2026/0468/VFI-HĐTĐ.44.A</w:t>
      </w:r>
      <w:r>
        <w:rPr>
          <w:spacing w:val="-4"/>
          <w:lang w:val="vi-VN"/>
        </w:rPr>
        <w:t xml:space="preserve"> ký ngày </w:t>
      </w:r>
      <w:r>
        <w:rPr>
          <w:color w:val="000000" w:themeColor="text1"/>
          <w:spacing w:val="-4"/>
        </w:rPr>
        <w:t xml:space="preserve">20 tháng 3 năm 2026</w:t>
      </w:r>
      <w:r>
        <w:rPr>
          <w:spacing w:val="-4"/>
          <w:lang w:val="vi-VN"/>
        </w:rPr>
        <w:t xml:space="preserve"> </w:t>
      </w:r>
      <w:r>
        <w:rPr>
          <w:spacing w:val="-4"/>
          <w:lang w:val="vi-VN"/>
        </w:rPr>
        <w:t xml:space="preserve">giữa </w:t>
      </w:r>
      <w:r>
        <w:rPr>
          <w:color w:val="000000" w:themeColor="text1"/>
          <w:spacing w:val="-4"/>
        </w:rPr>
        <w:t xml:space="preserve">Ông Hoàng Văn Doanh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275/2026/0468/VFI-BC.44.A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HOÀNG VĂN DOANH</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highlight w:val="yellow"/>
              </w:rPr>
            </w:pPr>
            <w:r>
              <w:rPr>
                <w:color w:val="000000" w:themeColor="text1"/>
                <w:highlight w:val="none"/>
                <w:lang w:val="vi-VN"/>
              </w:rPr>
              <w:t xml:space="preserve">001087054300</w:t>
            </w:r>
            <w:r>
              <w:rPr>
                <w:color w:val="ff0000"/>
                <w:highlight w:val="yellow"/>
                <w:lang w:val="pt-BR"/>
              </w:rPr>
            </w:r>
            <w:r>
              <w:rPr>
                <w:color w:val="ff0000"/>
                <w:highlight w:val="yellow"/>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 tại thửa đất số: 237, tờ bản đồ số: 20, có địa chỉ: Thôn Gia Vĩnh, xã Tam Hưng, thành phố Hà Nội theo Giấy chứng </w:t>
      </w:r>
      <w:r>
        <w:rPr>
          <w:color w:val="000000"/>
        </w:rPr>
        <w:t xml:space="preserve">nhận quyền sử dụng đất, quyền sở hữu tài sản gắn liền với đất số: AA 04486033, Số vào sổ cấp GCN: CN 00432 do Chi nhánh Văn phòng đăng ký đất đai Hà Nội - Huyện Thanh Oai cấp ngày 27/11/2025; Chủ sử dụng đất là Ông Hoàng Văn Doanh và Bà Nguyễn Thị Ngọc Nga</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0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226"/>
        <w:gridCol w:w="1802"/>
        <w:gridCol w:w="1883"/>
        <w:gridCol w:w="1667"/>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22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83"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667"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11"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237, tờ bản đồ số: 20, có địa chỉ: Thôn Gia Vĩnh, xã Tam Hưng, thành phố Hà Nội theo Giấy chứng </w:t>
            </w:r>
            <w:r>
              <w:rPr>
                <w:b/>
                <w:bCs/>
                <w:color w:val="000000"/>
              </w:rPr>
              <w:t xml:space="preserve">nhận quyền sử dụng đất, quyền sở hữu tài sản gắn liền với đất số: AA 04486033, Số vào sổ cấp GCN: CN 00432 do Chi nhánh Văn phòng đăng ký đất đai Hà Nội - Huyện Thanh Oai cấp ngày 27/11/2025; Chủ sử dụng đất là Ông Hoàng Văn Doanh và Bà Nguyễn Thị Ngọc Nga</w:t>
            </w:r>
            <w:r>
              <w:rPr>
                <w:b/>
                <w:bCs/>
              </w:rPr>
              <w:t xml:space="preserve">.</w:t>
            </w:r>
            <w:r>
              <w:rPr>
                <w:b/>
                <w:bCs/>
              </w:rPr>
            </w:r>
            <w:r>
              <w:rPr>
                <w:b/>
                <w:bCs/>
              </w:rPr>
            </w:r>
          </w:p>
        </w:tc>
        <w:tc>
          <w:tcPr>
            <w:shd w:val="clear" w:color="000000" w:fill="ffffff"/>
            <w:tcBorders/>
            <w:tcW w:w="166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3226" w:type="dxa"/>
            <w:vAlign w:val="center"/>
            <w:textDirection w:val="lrTb"/>
            <w:noWrap w:val="false"/>
          </w:tcPr>
          <w:p>
            <w:pPr>
              <w:pBdr/>
              <w:spacing w:after="40" w:before="40" w:line="288" w:lineRule="auto"/>
              <w:ind/>
              <w:rPr>
                <w:b w:val="0"/>
                <w:bCs w:val="0"/>
              </w:rPr>
            </w:pPr>
            <w:r>
              <w:rPr>
                <w:b w:val="0"/>
                <w:bCs w:val="0"/>
              </w:rPr>
              <w:t xml:space="preserve">Đất ONT (nằm ngoài HLGT).</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45,0</w:t>
            </w:r>
            <w:r>
              <w:rPr>
                <w:color w:val="000000"/>
              </w:rPr>
            </w:r>
            <w:r>
              <w:rPr>
                <w:color w:val="000000"/>
              </w:rPr>
            </w:r>
          </w:p>
        </w:tc>
        <w:tc>
          <w:tcPr>
            <w:shd w:val="clear" w:color="000000" w:fill="ffffff"/>
            <w:tcBorders/>
            <w:tcW w:w="1883" w:type="dxa"/>
            <w:vAlign w:val="center"/>
            <w:textDirection w:val="lrTb"/>
            <w:noWrap w:val="false"/>
          </w:tcPr>
          <w:p>
            <w:pPr>
              <w:pBdr/>
              <w:spacing w:after="40" w:before="40" w:line="288" w:lineRule="auto"/>
              <w:ind/>
              <w:jc w:val="center"/>
              <w:rPr/>
            </w:pPr>
            <w:r>
              <w:rPr>
                <w:color w:val="000000" w:themeColor="text1"/>
              </w:rPr>
              <w:t xml:space="preserve">170.000.000</w:t>
            </w:r>
            <w:r/>
          </w:p>
        </w:tc>
        <w:tc>
          <w:tcPr>
            <w:shd w:val="clear" w:color="000000" w:fill="ffffff"/>
            <w:tcBorders/>
            <w:tcW w:w="1667" w:type="dxa"/>
            <w:vAlign w:val="center"/>
            <w:textDirection w:val="lrTb"/>
            <w:noWrap w:val="false"/>
          </w:tcPr>
          <w:p>
            <w:pPr>
              <w:pBdr/>
              <w:spacing w:after="40" w:before="40" w:line="288" w:lineRule="auto"/>
              <w:ind/>
              <w:jc w:val="center"/>
              <w:rPr/>
            </w:pPr>
            <w:r>
              <w:rPr>
                <w:color w:val="000000" w:themeColor="text1"/>
              </w:rPr>
              <w:t xml:space="preserve">7.650.000.000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3226" w:type="dxa"/>
            <w:vAlign w:val="center"/>
            <w:vMerge w:val="restart"/>
            <w:textDirection w:val="lrTb"/>
            <w:noWrap w:val="false"/>
          </w:tcPr>
          <w:p>
            <w:pPr>
              <w:pBdr/>
              <w:spacing w:after="40" w:before="40" w:line="288" w:lineRule="auto"/>
              <w:ind/>
              <w:rPr>
                <w:b w:val="0"/>
                <w:bCs w:val="0"/>
              </w:rPr>
            </w:pPr>
            <w:r>
              <w:rPr>
                <w:b w:val="0"/>
                <w:bCs w:val="0"/>
              </w:rPr>
              <w:t xml:space="preserve">Đất ONT (nằm trong HLGT).</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95,6</w:t>
            </w:r>
            <w:r>
              <w:rPr>
                <w:color w:val="000000" w:themeColor="text1"/>
              </w:rPr>
            </w:r>
            <w:r>
              <w:rPr>
                <w:color w:val="000000" w:themeColor="text1"/>
              </w:rPr>
            </w:r>
          </w:p>
        </w:tc>
        <w:tc>
          <w:tcPr>
            <w:shd w:val="clear" w:color="000000" w:fill="ffffff"/>
            <w:tcBorders/>
            <w:tcW w:w="1883"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23.354.000</w:t>
            </w:r>
            <w:r>
              <w:rPr>
                <w:color w:val="000000" w:themeColor="text1"/>
              </w:rPr>
            </w:r>
            <w:r>
              <w:rPr>
                <w:color w:val="000000" w:themeColor="text1"/>
              </w:rPr>
            </w:r>
          </w:p>
        </w:tc>
        <w:tc>
          <w:tcPr>
            <w:shd w:val="clear" w:color="000000" w:fill="ffffff"/>
            <w:tcBorders/>
            <w:tcW w:w="166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2.232.642.200</w:t>
            </w:r>
            <w:r>
              <w:rPr>
                <w:color w:val="000000" w:themeColor="text1"/>
              </w:rPr>
            </w:r>
            <w:r>
              <w:rPr>
                <w:color w:val="000000" w:themeColor="text1"/>
              </w:rPr>
            </w:r>
          </w:p>
        </w:tc>
      </w:tr>
      <w:tr>
        <w:trPr>
          <w:trHeight w:val="20"/>
        </w:trPr>
        <w:tc>
          <w:tcPr>
            <w:gridSpan w:val="4"/>
            <w:tcBorders/>
            <w:tcW w:w="786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667" w:type="dxa"/>
            <w:vAlign w:val="center"/>
            <w:textDirection w:val="lrTb"/>
            <w:noWrap/>
          </w:tcPr>
          <w:p>
            <w:pPr>
              <w:pBdr/>
              <w:spacing w:after="40" w:before="40" w:line="288" w:lineRule="auto"/>
              <w:ind/>
              <w:jc w:val="center"/>
              <w:rPr>
                <w:b/>
                <w:bCs/>
                <w:color w:val="000000"/>
              </w:rPr>
            </w:pPr>
            <w:r>
              <w:rPr>
                <w:b/>
                <w:bCs/>
              </w:rPr>
              <w:t xml:space="preserve">9.882.642.400</w:t>
            </w:r>
            <w:r>
              <w:rPr>
                <w:b/>
                <w:bCs/>
                <w:color w:val="000000"/>
              </w:rPr>
            </w:r>
            <w:r>
              <w:rPr>
                <w:b/>
                <w:bCs/>
                <w:color w:val="000000"/>
              </w:rPr>
            </w:r>
          </w:p>
        </w:tc>
      </w:tr>
      <w:tr>
        <w:trPr>
          <w:trHeight w:val="20"/>
        </w:trPr>
        <w:tc>
          <w:tcPr>
            <w:gridSpan w:val="4"/>
            <w:tcBorders/>
            <w:tcW w:w="786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667" w:type="dxa"/>
            <w:vAlign w:val="center"/>
            <w:textDirection w:val="lrTb"/>
            <w:noWrap/>
          </w:tcPr>
          <w:p>
            <w:pPr>
              <w:pBdr/>
              <w:spacing w:after="40" w:before="40" w:line="288" w:lineRule="auto"/>
              <w:ind/>
              <w:jc w:val="center"/>
              <w:rPr>
                <w:b/>
                <w:bCs/>
                <w:color w:val="000000"/>
              </w:rPr>
            </w:pPr>
            <w:r>
              <w:rPr>
                <w:b/>
                <w:bCs/>
                <w:color w:val="000000"/>
              </w:rPr>
              <w:t xml:space="preserve">9.883.000.000</w:t>
            </w:r>
            <w:r>
              <w:rPr>
                <w:b/>
                <w:bCs/>
                <w:color w:val="000000"/>
              </w:rPr>
            </w:r>
            <w:r>
              <w:rPr>
                <w:b/>
                <w:bCs/>
                <w:color w:val="000000"/>
              </w:rPr>
            </w:r>
          </w:p>
        </w:tc>
      </w:tr>
      <w:tr>
        <w:trPr>
          <w:trHeight w:val="20"/>
        </w:trPr>
        <w:tc>
          <w:tcPr>
            <w:gridSpan w:val="5"/>
            <w:tcBorders/>
            <w:tcW w:w="9531"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tám trăm tám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3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5"/>
              <w:pBdr/>
              <w:spacing w:after="60"/>
              <w:ind/>
              <w:rPr>
                <w:color w:val="000000" w:themeColor="text1"/>
                <w:sz w:val="24"/>
                <w:szCs w:val="24"/>
              </w:rPr>
            </w:pPr>
            <w:r>
              <w:rPr>
                <w:rStyle w:val="1044"/>
                <w:rFonts w:ascii="Times New Roman" w:hAnsi="Times New Roman"/>
                <w:color w:val="000000" w:themeColor="text1"/>
                <w:lang w:val="pt-BR"/>
              </w:rPr>
              <w:t xml:space="preserve">Số</w:t>
            </w:r>
            <w:r>
              <w:rPr>
                <w:rStyle w:val="1044"/>
                <w:rFonts w:ascii="Times New Roman" w:hAnsi="Times New Roman"/>
                <w:color w:val="000000" w:themeColor="text1"/>
                <w:lang w:val="pt-BR"/>
              </w:rPr>
              <w:t xml:space="preserve">: </w:t>
            </w:r>
            <w:r>
              <w:rPr>
                <w:rStyle w:val="1044"/>
                <w:rFonts w:ascii="Times New Roman" w:hAnsi="Times New Roman"/>
                <w:color w:val="000000" w:themeColor="text1"/>
                <w:lang w:val="pt-BR"/>
              </w:rPr>
              <w:t xml:space="preserve">275/2026/0468/VFI-BC.44.A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45"/>
              <w:pBdr/>
              <w:spacing w:after="60"/>
              <w:ind w:right="-56"/>
              <w:jc w:val="right"/>
              <w:rPr>
                <w:color w:val="000000" w:themeColor="text1"/>
                <w:sz w:val="24"/>
                <w:szCs w:val="24"/>
                <w:lang w:val="vi-VN"/>
              </w:rPr>
            </w:pPr>
            <w:r>
              <w:rPr>
                <w:rStyle w:val="1044"/>
                <w:rFonts w:ascii="Times New Roman" w:hAnsi="Times New Roman"/>
                <w:i/>
                <w:color w:val="auto"/>
              </w:rPr>
              <w:t xml:space="preserve">TP. </w:t>
            </w:r>
            <w:r>
              <w:rPr>
                <w:rStyle w:val="1044"/>
                <w:rFonts w:ascii="Times New Roman" w:hAnsi="Times New Roman"/>
                <w:i/>
                <w:color w:val="auto"/>
              </w:rPr>
              <w:t xml:space="preserve">Hà</w:t>
            </w:r>
            <w:r>
              <w:rPr>
                <w:rStyle w:val="1044"/>
                <w:rFonts w:ascii="Times New Roman" w:hAnsi="Times New Roman"/>
                <w:i/>
                <w:color w:val="auto"/>
              </w:rPr>
              <w:t xml:space="preserve"> </w:t>
            </w:r>
            <w:r>
              <w:rPr>
                <w:rStyle w:val="1044"/>
                <w:rFonts w:ascii="Times New Roman" w:hAnsi="Times New Roman"/>
                <w:i/>
                <w:color w:val="auto"/>
              </w:rPr>
              <w:t xml:space="preserve">Nội</w:t>
            </w:r>
            <w:r>
              <w:rPr>
                <w:rStyle w:val="1044"/>
                <w:rFonts w:ascii="Times New Roman" w:hAnsi="Times New Roman"/>
                <w:i/>
                <w:color w:val="auto"/>
                <w:lang w:val="vi-VN"/>
              </w:rPr>
              <w:t xml:space="preserve">, </w:t>
            </w:r>
            <w:r>
              <w:rPr>
                <w:rStyle w:val="1044"/>
                <w:rFonts w:ascii="Times New Roman" w:hAnsi="Times New Roman"/>
                <w:i/>
                <w:color w:val="000000" w:themeColor="text1"/>
                <w:lang w:val="vi-VN"/>
              </w:rPr>
              <w:t xml:space="preserve">ngày 23 tháng 3 năm 2026</w:t>
            </w:r>
            <w:r>
              <w:rPr>
                <w:color w:val="000000" w:themeColor="text1"/>
                <w:sz w:val="24"/>
                <w:szCs w:val="24"/>
                <w:lang w:val="vi-VN"/>
              </w:rPr>
            </w:r>
            <w:r>
              <w:rPr>
                <w:color w:val="000000" w:themeColor="text1"/>
                <w:sz w:val="24"/>
                <w:szCs w:val="24"/>
                <w:lang w:val="vi-VN"/>
              </w:rPr>
            </w:r>
          </w:p>
        </w:tc>
      </w:tr>
    </w:tbl>
    <w:p>
      <w:pPr>
        <w:pStyle w:val="104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275/2026/0468/VFI-CT.44.A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4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HOÀNG VĂN DOANH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MST/CMTND/CCCD:</w:t>
            </w:r>
            <w:r>
              <w:rPr>
                <w:bCs/>
                <w:color w:val="000000" w:themeColor="text1"/>
                <w:highlight w:val="white"/>
                <w:lang w:val="pt-BR"/>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001087054300</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237, tờ bản đồ số: 20, có địa chỉ: Thôn Gia Vĩnh, xã Tam Hưng, thành phố Hà Nội theo Giấy chứng </w:t>
            </w:r>
            <w:r>
              <w:rPr>
                <w:color w:val="000000"/>
              </w:rPr>
              <w:t xml:space="preserve">nhận quyền sử dụng đất, quyền sở hữu tài sản gắn liền với đất số: AA 04486033, Số vào sổ cấp GCN: CN 00432 do Chi nhánh Văn phòng đăng ký đất đai Hà Nội - Huyện Thanh Oai cấp ngày 27/11/2025; Chủ sử dụng đất là Ông Hoàng Văn Doanh và Bà Nguyễn Thị Ngọc Nga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Gia Vĩnh, xã Tam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20.869305555556, 105.80680555556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4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4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4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4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4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4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4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4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4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4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w:t>
      </w:r>
      <w:r>
        <w:rPr>
          <w:color w:val="000000"/>
        </w:rPr>
        <w:t xml:space="preserve">nhận quyền sử dụng đất, quyền sở hữu tài sản gắn liền với đất số: AA 04486033, Số vào sổ cấp GCN: CN 00432 do Chi nhánh Văn phòng đăng ký đất đai Hà Nội - Huyện Thanh Oai cấp ngày 27/11/2025; Chủ sử dụng đất là Ông Hoàng Văn Doanh và Bà Nguyễn Thị Ngọc Nga</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4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275/2026/0468/VFI-HĐTĐ.44.A ngày 20/3/2026 giữa Ông Hoàng Văn Doanh với Công ty Cổ phần Thẩm định và Đầu tư Tài chính Hoa Sen;</w:t>
      </w:r>
      <w:r>
        <w:rPr>
          <w:b/>
          <w:lang w:val="pt-BR"/>
        </w:rPr>
      </w:r>
      <w:r>
        <w:rPr>
          <w:b/>
          <w:lang w:val="pt-BR"/>
        </w:rPr>
      </w:r>
    </w:p>
    <w:p>
      <w:pPr>
        <w:pStyle w:val="104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136" w:lineRule="atLeast"/>
        <w:ind w:right="0" w:firstLine="283" w:left="0"/>
        <w:jc w:val="both"/>
        <w:rPr>
          <w:rFonts w:ascii="Times New Roman" w:hAnsi="Times New Roman" w:eastAsia="Times New Roman" w:cs="Times New Roman"/>
          <w:color w:val="0a0a0a"/>
          <w:sz w:val="24"/>
          <w:szCs w:val="24"/>
          <w:highlight w:val="none"/>
        </w:rPr>
      </w:pPr>
      <w:r>
        <w:rPr>
          <w:rFonts w:ascii="Times New Roman" w:hAnsi="Times New Roman" w:eastAsia="Times New Roman" w:cs="Times New Roman"/>
          <w:color w:val="0a0a0a"/>
          <w:sz w:val="24"/>
        </w:rPr>
        <w:t xml:space="preserve">Bất động sản Thanh Oai (Hà Nội) đang phát triển mạnh nhờ vị trí giáp quận Hà Đông, kết nối tốt qua trục Cienco5 và quốc lộ 21B. Khu vực này nổi bật với đất nền, nhà dân, đặc biệt tại các xã Bích Hòa, Cự Khê, Mỹ Hưng, giá từ 2-4 tỷ cho các diện tích vừa phả</w:t>
      </w:r>
      <w:r>
        <w:rPr>
          <w:rFonts w:ascii="Times New Roman" w:hAnsi="Times New Roman" w:eastAsia="Times New Roman" w:cs="Times New Roman"/>
          <w:color w:val="0a0a0a"/>
          <w:sz w:val="24"/>
        </w:rPr>
        <w:t xml:space="preserve">i. Đây là vùng ven tiềm năng cho đầu tư dài hạn. </w:t>
      </w:r>
      <w:r>
        <w:rPr>
          <w:rFonts w:ascii="Times New Roman" w:hAnsi="Times New Roman" w:cs="Times New Roman"/>
        </w:rPr>
      </w:r>
      <w:r>
        <w:rPr>
          <w:rFonts w:ascii="Times New Roman" w:hAnsi="Times New Roman" w:eastAsia="Times New Roman" w:cs="Times New Roman"/>
          <w:color w:val="0a0a0a"/>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before="0" w:line="136" w:lineRule="atLeast"/>
        <w:ind w:right="0" w:firstLine="283" w:left="0"/>
        <w:jc w:val="both"/>
        <w:rPr>
          <w:rFonts w:ascii="Times New Roman" w:hAnsi="Times New Roman" w:cs="Times New Roman"/>
          <w:sz w:val="12"/>
          <w:szCs w:val="12"/>
        </w:rPr>
      </w:pPr>
      <w:r>
        <w:rPr>
          <w:rFonts w:ascii="Times New Roman" w:hAnsi="Times New Roman" w:eastAsia="Times New Roman" w:cs="Times New Roman"/>
          <w:color w:val="0a0a0a"/>
          <w:sz w:val="12"/>
          <w:szCs w:val="12"/>
          <w:highlight w:val="none"/>
        </w:rPr>
      </w:r>
      <w:r>
        <w:rPr>
          <w:rFonts w:ascii="Times New Roman" w:hAnsi="Times New Roman" w:cs="Times New Roman"/>
          <w:sz w:val="12"/>
          <w:szCs w:val="12"/>
        </w:rPr>
      </w:r>
      <w:r>
        <w:rPr>
          <w:rFonts w:ascii="Times New Roman" w:hAnsi="Times New Roman" w:cs="Times New Roman"/>
          <w:sz w:val="12"/>
          <w:szCs w:val="12"/>
        </w:rPr>
      </w:r>
    </w:p>
    <w:p>
      <w:pPr>
        <w:pBdr>
          <w:top w:val="none" w:color="000000" w:sz="4" w:space="0"/>
          <w:left w:val="none" w:color="000000" w:sz="4" w:space="0"/>
          <w:bottom w:val="none" w:color="000000" w:sz="4" w:space="0"/>
          <w:right w:val="none" w:color="000000" w:sz="4" w:space="0"/>
        </w:pBdr>
        <w:shd w:val="clear" w:color="ffffff" w:fill="ffffff"/>
        <w:spacing w:line="136" w:lineRule="atLeast"/>
        <w:ind w:right="0" w:firstLine="283" w:left="0"/>
        <w:rPr>
          <w:rFonts w:ascii="Times New Roman" w:hAnsi="Times New Roman" w:cs="Times New Roman"/>
        </w:rPr>
      </w:pPr>
      <w:r>
        <w:rPr>
          <w:rFonts w:ascii="Times New Roman" w:hAnsi="Times New Roman" w:eastAsia="Times New Roman" w:cs="Times New Roman"/>
          <w:b/>
          <w:color w:val="0a0a0a"/>
          <w:sz w:val="24"/>
        </w:rPr>
        <w:t xml:space="preserve">Tổng quan thị trường BĐS Thanh Oai (cập nhật 2026):</w:t>
      </w:r>
      <w:r>
        <w:rPr>
          <w:rFonts w:ascii="Times New Roman" w:hAnsi="Times New Roman" w:eastAsia="Times New Roman" w:cs="Times New Roman"/>
        </w:rPr>
      </w:r>
      <w:r>
        <w:rPr>
          <w:rFonts w:ascii="Times New Roman" w:hAnsi="Times New Roman" w:cs="Times New Roman"/>
        </w:rPr>
      </w:r>
    </w:p>
    <w:p>
      <w:pPr>
        <w:pStyle w:val="104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136" w:lineRule="atLeast"/>
        <w:ind w:right="0"/>
        <w:jc w:val="both"/>
        <w:rPr>
          <w:rFonts w:ascii="Times New Roman" w:hAnsi="Times New Roman" w:cs="Times New Roman"/>
        </w:rPr>
      </w:pPr>
      <w:r>
        <w:rPr>
          <w:rFonts w:ascii="Times New Roman" w:hAnsi="Times New Roman" w:eastAsia="Times New Roman" w:cs="Times New Roman"/>
          <w:b/>
          <w:color w:val="0a0a0a"/>
          <w:sz w:val="24"/>
        </w:rPr>
        <w:t xml:space="preserve">Vị trí địa lý:</w:t>
      </w:r>
      <w:r>
        <w:rPr>
          <w:rFonts w:ascii="Times New Roman" w:hAnsi="Times New Roman" w:eastAsia="Times New Roman" w:cs="Times New Roman"/>
          <w:color w:val="0a0a0a"/>
          <w:sz w:val="24"/>
        </w:rPr>
        <w:t xml:space="preserve"> Nằm phía Nam Hà Nội, cách trung tâm 15-20km, tiếp giáp Hà Đông, Chương Mỹ, Ứng Hòa, Phú Xuyên, Thường Tín.</w:t>
      </w:r>
      <w:r>
        <w:rPr>
          <w:rFonts w:ascii="Times New Roman" w:hAnsi="Times New Roman" w:eastAsia="Times New Roman" w:cs="Times New Roman"/>
        </w:rPr>
      </w:r>
      <w:r>
        <w:rPr>
          <w:rFonts w:ascii="Times New Roman" w:hAnsi="Times New Roman" w:cs="Times New Roman"/>
        </w:rPr>
      </w:r>
    </w:p>
    <w:p>
      <w:pPr>
        <w:pStyle w:val="104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b/>
          <w:color w:val="0a0a0a"/>
          <w:sz w:val="24"/>
        </w:rPr>
        <w:t xml:space="preserve">Loại hình chủ đạo:</w:t>
      </w:r>
      <w:r>
        <w:rPr>
          <w:rFonts w:ascii="Times New Roman" w:hAnsi="Times New Roman" w:eastAsia="Times New Roman" w:cs="Times New Roman"/>
          <w:color w:val="0a0a0a"/>
          <w:sz w:val="24"/>
        </w:rPr>
        <w:t xml:space="preserve"> Đất nền thổ cư, đất phân lô, nhà dân, và các dự án đô thị/nhà ở xã hội (đặc biệt tại khu vực gần trục Cienco5).</w:t>
      </w:r>
      <w:r>
        <w:rPr>
          <w:rFonts w:ascii="Times New Roman" w:hAnsi="Times New Roman" w:eastAsia="Times New Roman" w:cs="Times New Roman"/>
        </w:rPr>
      </w:r>
      <w:r>
        <w:rPr>
          <w:rFonts w:ascii="Times New Roman" w:hAnsi="Times New Roman" w:cs="Times New Roman"/>
        </w:rPr>
      </w:r>
    </w:p>
    <w:p>
      <w:pPr>
        <w:pStyle w:val="104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b/>
          <w:color w:val="0a0a0a"/>
          <w:sz w:val="24"/>
        </w:rPr>
        <w:t xml:space="preserve">Các khu vực nóng:</w:t>
      </w:r>
      <w:r>
        <w:rPr>
          <w:rFonts w:ascii="Times New Roman" w:hAnsi="Times New Roman" w:eastAsia="Times New Roman" w:cs="Times New Roman"/>
        </w:rPr>
      </w:r>
      <w:r>
        <w:rPr>
          <w:rFonts w:ascii="Times New Roman" w:hAnsi="Times New Roman" w:cs="Times New Roman"/>
        </w:rPr>
      </w:r>
    </w:p>
    <w:p>
      <w:pPr>
        <w:pStyle w:val="104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b/>
          <w:color w:val="0a0a0a"/>
          <w:sz w:val="24"/>
        </w:rPr>
        <w:t xml:space="preserve">Xã Cự Khê, Bích Hòa, Mỹ Hưng:</w:t>
      </w:r>
      <w:r>
        <w:rPr>
          <w:rFonts w:ascii="Times New Roman" w:hAnsi="Times New Roman" w:eastAsia="Times New Roman" w:cs="Times New Roman"/>
          <w:color w:val="0a0a0a"/>
          <w:sz w:val="24"/>
        </w:rPr>
        <w:t xml:space="preserve"> Sát Hà Đông, hưởng lợi trực tiếp từ hạ tầng giao thông và khu đô thị Thanh Hà.</w:t>
      </w:r>
      <w:r>
        <w:rPr>
          <w:rFonts w:ascii="Times New Roman" w:hAnsi="Times New Roman" w:eastAsia="Times New Roman" w:cs="Times New Roman"/>
        </w:rPr>
      </w:r>
      <w:r>
        <w:rPr>
          <w:rFonts w:ascii="Times New Roman" w:hAnsi="Times New Roman" w:cs="Times New Roman"/>
        </w:rPr>
      </w:r>
    </w:p>
    <w:p>
      <w:pPr>
        <w:pStyle w:val="104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b/>
          <w:color w:val="0a0a0a"/>
          <w:sz w:val="24"/>
        </w:rPr>
        <w:t xml:space="preserve">Thị trấn Kim Bài:</w:t>
      </w:r>
      <w:r>
        <w:rPr>
          <w:rFonts w:ascii="Times New Roman" w:hAnsi="Times New Roman" w:eastAsia="Times New Roman" w:cs="Times New Roman"/>
          <w:color w:val="0a0a0a"/>
          <w:sz w:val="24"/>
        </w:rPr>
        <w:t xml:space="preserve"> Trung tâm huyện lỵ.</w:t>
      </w:r>
      <w:r>
        <w:rPr>
          <w:rFonts w:ascii="Times New Roman" w:hAnsi="Times New Roman" w:eastAsia="Times New Roman" w:cs="Times New Roman"/>
        </w:rPr>
      </w:r>
      <w:r>
        <w:rPr>
          <w:rFonts w:ascii="Times New Roman" w:hAnsi="Times New Roman" w:cs="Times New Roman"/>
        </w:rPr>
      </w:r>
    </w:p>
    <w:p>
      <w:pPr>
        <w:pStyle w:val="104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b/>
          <w:color w:val="0a0a0a"/>
          <w:sz w:val="24"/>
        </w:rPr>
        <w:t xml:space="preserve">Xã Cao Dương, Dân Hòa:</w:t>
      </w:r>
      <w:r>
        <w:rPr>
          <w:rFonts w:ascii="Times New Roman" w:hAnsi="Times New Roman" w:eastAsia="Times New Roman" w:cs="Times New Roman"/>
          <w:color w:val="0a0a0a"/>
          <w:sz w:val="24"/>
        </w:rPr>
        <w:t xml:space="preserve"> Khu vực dân cư hiện hữu.</w:t>
      </w:r>
      <w:r>
        <w:rPr>
          <w:rFonts w:ascii="Times New Roman" w:hAnsi="Times New Roman" w:eastAsia="Times New Roman" w:cs="Times New Roman"/>
        </w:rPr>
      </w:r>
      <w:r>
        <w:rPr>
          <w:rFonts w:ascii="Times New Roman" w:hAnsi="Times New Roman" w:cs="Times New Roman"/>
        </w:rPr>
      </w:r>
    </w:p>
    <w:p>
      <w:pPr>
        <w:pStyle w:val="104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b/>
          <w:color w:val="0a0a0a"/>
          <w:sz w:val="24"/>
        </w:rPr>
        <w:t xml:space="preserve">Mức giá phổ biến (theo các tin rao):</w:t>
      </w:r>
      <w:r>
        <w:rPr>
          <w:rFonts w:ascii="Times New Roman" w:hAnsi="Times New Roman" w:eastAsia="Times New Roman" w:cs="Times New Roman"/>
        </w:rPr>
      </w:r>
      <w:r>
        <w:rPr>
          <w:rFonts w:ascii="Times New Roman" w:hAnsi="Times New Roman" w:cs="Times New Roman"/>
        </w:rPr>
      </w:r>
    </w:p>
    <w:p>
      <w:pPr>
        <w:pStyle w:val="104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color w:val="0a0a0a"/>
          <w:sz w:val="24"/>
        </w:rPr>
        <w:t xml:space="preserve">Đất dân/đất thổ cư: Phổ biến từ 30-50 triệu đồng/m², tùy vị trí.</w:t>
      </w:r>
      <w:r>
        <w:rPr>
          <w:rFonts w:ascii="Times New Roman" w:hAnsi="Times New Roman" w:eastAsia="Times New Roman" w:cs="Times New Roman"/>
        </w:rPr>
      </w:r>
      <w:r>
        <w:rPr>
          <w:rFonts w:ascii="Times New Roman" w:hAnsi="Times New Roman" w:cs="Times New Roman"/>
        </w:rPr>
      </w:r>
    </w:p>
    <w:p>
      <w:pPr>
        <w:pStyle w:val="104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color w:val="0a0a0a"/>
          <w:sz w:val="24"/>
        </w:rPr>
        <w:t xml:space="preserve">Đất phân lô/trong ngõ: Thường có giá dao động từ 2 tỷ đến hơn 4 tỷ đồng cho một nền, tùy thuộc vào diện tích và khoảng cách đến trục đường lớn.</w:t>
      </w:r>
      <w:r>
        <w:rPr>
          <w:rFonts w:ascii="Times New Roman" w:hAnsi="Times New Roman" w:eastAsia="Times New Roman" w:cs="Times New Roman"/>
        </w:rPr>
      </w:r>
      <w:r>
        <w:rPr>
          <w:rFonts w:ascii="Times New Roman" w:hAnsi="Times New Roman" w:cs="Times New Roman"/>
        </w:rPr>
      </w:r>
    </w:p>
    <w:p>
      <w:pPr>
        <w:pStyle w:val="104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b/>
          <w:color w:val="0a0a0a"/>
          <w:sz w:val="24"/>
        </w:rPr>
        <w:t xml:space="preserve">Tiềm năng &amp; Hạ tầng:</w:t>
      </w:r>
      <w:r>
        <w:rPr>
          <w:rFonts w:ascii="Times New Roman" w:hAnsi="Times New Roman" w:eastAsia="Times New Roman" w:cs="Times New Roman"/>
        </w:rPr>
      </w:r>
      <w:r>
        <w:rPr>
          <w:rFonts w:ascii="Times New Roman" w:hAnsi="Times New Roman" w:cs="Times New Roman"/>
        </w:rPr>
      </w:r>
    </w:p>
    <w:p>
      <w:pPr>
        <w:pStyle w:val="104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color w:val="0a0a0a"/>
          <w:sz w:val="24"/>
        </w:rPr>
        <w:t xml:space="preserve">Kết nối thông suốt: Quốc lộ 21B, trục phía Nam Hà Nội (Cienco5).</w:t>
      </w:r>
      <w:r>
        <w:rPr>
          <w:rFonts w:ascii="Times New Roman" w:hAnsi="Times New Roman" w:eastAsia="Times New Roman" w:cs="Times New Roman"/>
        </w:rPr>
      </w:r>
      <w:r>
        <w:rPr>
          <w:rFonts w:ascii="Times New Roman" w:hAnsi="Times New Roman" w:cs="Times New Roman"/>
        </w:rPr>
      </w:r>
    </w:p>
    <w:p>
      <w:pPr>
        <w:pStyle w:val="104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color w:val="0a0a0a"/>
          <w:sz w:val="24"/>
        </w:rPr>
        <w:t xml:space="preserve">Sát các khu đô thị lớn: Thuận tiện kết nối với các tiện ích của quận Hà Đông.</w:t>
      </w:r>
      <w:r>
        <w:rPr>
          <w:rFonts w:ascii="Times New Roman" w:hAnsi="Times New Roman" w:eastAsia="Times New Roman" w:cs="Times New Roman"/>
        </w:rPr>
      </w:r>
      <w:r>
        <w:rPr>
          <w:rFonts w:ascii="Times New Roman" w:hAnsi="Times New Roman" w:cs="Times New Roman"/>
        </w:rPr>
      </w:r>
    </w:p>
    <w:p>
      <w:pPr>
        <w:pStyle w:val="104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85" w:lineRule="atLeast"/>
        <w:ind w:right="0"/>
        <w:jc w:val="both"/>
        <w:rPr>
          <w:rFonts w:ascii="Times New Roman" w:hAnsi="Times New Roman" w:cs="Times New Roman"/>
        </w:rPr>
      </w:pPr>
      <w:r>
        <w:rPr>
          <w:rFonts w:ascii="Times New Roman" w:hAnsi="Times New Roman" w:eastAsia="Times New Roman" w:cs="Times New Roman"/>
          <w:color w:val="0a0a0a"/>
          <w:sz w:val="24"/>
        </w:rPr>
        <w:t xml:space="preserve">Hạ tầng đang được nâng cấp, quy hoạch phát triển vùng</w:t>
      </w:r>
      <w:r>
        <w:rPr>
          <w:rFonts w:ascii="Times New Roman" w:hAnsi="Times New Roman" w:eastAsia="Times New Roman" w:cs="Times New Roman"/>
        </w:rPr>
        <w:t xml:space="preserve">.</w:t>
      </w:r>
      <w:r>
        <w:rPr>
          <w:rFonts w:ascii="Times New Roman" w:hAnsi="Times New Roman" w:eastAsia="Times New Roman" w:cs="Times New Roman"/>
          <w:sz w:val="24"/>
        </w:rPr>
      </w:r>
      <w:r>
        <w:rPr>
          <w:rFonts w:ascii="Times New Roman" w:hAnsi="Times New Roman" w:cs="Times New Roman"/>
        </w:rPr>
      </w:r>
    </w:p>
    <w:p>
      <w:pPr>
        <w:pStyle w:val="104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5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2221"/>
        <w:gridCol w:w="1955"/>
        <w:gridCol w:w="2259"/>
        <w:gridCol w:w="2692"/>
      </w:tblGrid>
      <w:tr>
        <w:trPr>
          <w:trHeight w:val="14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Tên tài sản</w:t>
            </w:r>
            <w:r>
              <w:rPr>
                <w:b/>
                <w:bCs/>
              </w:rPr>
            </w:r>
            <w:r>
              <w:rPr>
                <w:b/>
                <w:bCs/>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both"/>
              <w:rPr>
                <w:b/>
                <w:bCs/>
              </w:rPr>
            </w:pPr>
            <w:r>
              <w:rPr>
                <w:b/>
                <w:bCs/>
                <w:color w:val="000000"/>
              </w:rPr>
              <w:t xml:space="preserve">Quyền sử dụng đất tại thửa đất số: 237, tờ bản đồ số: 20, có địa chỉ: Thôn Gia Vĩnh, xã Tam Hưng, thành phố Hà Nội theo Giấy chứng </w:t>
            </w:r>
            <w:r>
              <w:rPr>
                <w:b/>
                <w:bCs/>
                <w:color w:val="000000"/>
              </w:rPr>
              <w:t xml:space="preserve">nhận quyền sử dụng đất, quyền sở hữu tài sản gắn liền với đất số: AA 04486033, Số vào sổ cấp GCN: CN 00432 do Chi nhánh Văn phòng đăng ký đất đai Hà Nội - Huyện Thanh Oai cấp ngày 27/11/2025; Chủ sử dụng đất là Ông Hoàng Văn Doanh và Bà Nguyễn Thị Ngọc Nga</w:t>
            </w:r>
            <w:r>
              <w:rPr>
                <w:b/>
                <w:bCs/>
                <w:i/>
                <w:iCs/>
              </w:rPr>
              <w:t xml:space="preserve">.</w:t>
            </w:r>
            <w:r>
              <w:rPr>
                <w:b/>
                <w:bCs/>
              </w:rPr>
            </w:r>
            <w:r>
              <w:rPr>
                <w:b/>
                <w:bCs/>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237</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20</w:t>
            </w:r>
            <w:r/>
          </w:p>
        </w:tc>
      </w:tr>
      <w:tr>
        <w:trPr>
          <w:trHeight w:val="4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Thôn Gia Vĩnh, xã Tam Hưng,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140,6</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Sử dụng chung của vợ chồng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Lâu dài</w:t>
            </w:r>
            <w:r/>
          </w:p>
        </w:tc>
      </w:tr>
      <w:tr>
        <w:trPr>
          <w:trHeight w:val="42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Ghi chú:</w:t>
            </w:r>
            <w:r/>
          </w:p>
        </w:tc>
      </w:tr>
      <w:tr>
        <w:trPr>
          <w:trHeight w:val="35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bCs/>
                <w:i/>
              </w:rPr>
            </w:pPr>
            <w:r>
              <w:rPr>
                <w:rFonts w:ascii="Times New Roman" w:hAnsi="Times New Roman" w:eastAsia="Times New Roman" w:cs="Times New Roman"/>
                <w:i/>
                <w:iCs/>
                <w:color w:val="000000"/>
                <w:sz w:val="24"/>
              </w:rPr>
              <w:t xml:space="preserve">Số tờ, số thửa xác định theo bản đồ địa chính đo đạc dự án tổng thể.</w:t>
            </w:r>
            <w:r>
              <w:rPr>
                <w:i/>
                <w:iCs/>
              </w:rPr>
            </w:r>
            <w:r>
              <w:rPr>
                <w:bCs/>
                <w:i/>
              </w:rPr>
            </w:r>
          </w:p>
        </w:tc>
      </w:tr>
      <w:tr>
        <w:trPr>
          <w:trHeight w:val="5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bCs/>
                <w:i/>
              </w:rPr>
            </w:pPr>
            <w:r>
              <w:rPr>
                <w:rFonts w:ascii="Times New Roman" w:hAnsi="Times New Roman" w:eastAsia="Times New Roman" w:cs="Times New Roman"/>
                <w:i/>
                <w:iCs/>
                <w:color w:val="000000"/>
                <w:sz w:val="24"/>
              </w:rPr>
              <w:t xml:space="preserve">GCN này được cấp đổi từ GCN số: BK 693388 do UBND huyện Thanh Oai cấp ngày 19/12/2013; theo Hồ sơ số H26.103.25.25-250929-0014.</w:t>
            </w:r>
            <w:r>
              <w:rPr>
                <w:i/>
                <w:iCs/>
              </w:rPr>
            </w:r>
            <w:r>
              <w:rPr>
                <w:bCs/>
                <w:i/>
              </w:rPr>
            </w:r>
          </w:p>
        </w:tc>
      </w:tr>
      <w:tr>
        <w:trPr>
          <w:trHeight w:val="55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bCs/>
                <w:i/>
              </w:rPr>
            </w:pPr>
            <w:r>
              <w:rPr>
                <w:rFonts w:ascii="Times New Roman" w:hAnsi="Times New Roman" w:eastAsia="Times New Roman" w:cs="Times New Roman"/>
                <w:i/>
                <w:iCs/>
                <w:color w:val="000000"/>
                <w:sz w:val="24"/>
              </w:rPr>
              <w:t xml:space="preserve">Theo bản đồ đo đạc năm 1995-1997: Thửa đất số 150, tờ bản đồ số 05 thuộc xã Thanh Thùy. Huyện Thanh Oai (cũ).</w:t>
            </w:r>
            <w:r>
              <w:rPr>
                <w:i/>
                <w:iCs/>
              </w:rPr>
            </w:r>
            <w:r>
              <w:rPr>
                <w:bCs/>
                <w:i/>
              </w:rPr>
            </w:r>
          </w:p>
        </w:tc>
      </w:tr>
      <w:tr>
        <w:trPr>
          <w:trHeight w:val="26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bCs/>
                <w:i/>
              </w:rPr>
            </w:pPr>
            <w:r>
              <w:rPr>
                <w:rFonts w:ascii="Times New Roman" w:hAnsi="Times New Roman" w:eastAsia="Times New Roman" w:cs="Times New Roman"/>
                <w:i/>
                <w:iCs/>
                <w:color w:val="000000"/>
                <w:sz w:val="24"/>
              </w:rPr>
              <w:t xml:space="preserve">Thửa đất có 95,6m</w:t>
            </w:r>
            <w:r>
              <w:rPr>
                <w:rFonts w:ascii="Times New Roman" w:hAnsi="Times New Roman" w:eastAsia="Times New Roman" w:cs="Times New Roman"/>
                <w:i/>
                <w:iCs/>
                <w:color w:val="000000"/>
                <w:sz w:val="24"/>
                <w:vertAlign w:val="superscript"/>
              </w:rPr>
              <w:t xml:space="preserve">2</w:t>
            </w:r>
            <w:r>
              <w:rPr>
                <w:rFonts w:ascii="Times New Roman" w:hAnsi="Times New Roman" w:eastAsia="Times New Roman" w:cs="Times New Roman"/>
                <w:i/>
                <w:iCs/>
                <w:color w:val="000000"/>
                <w:sz w:val="24"/>
              </w:rPr>
              <w:t xml:space="preserve"> đất thuộc hành lang an toàn giao thông đường tỉnh lộ 427.</w:t>
            </w:r>
            <w:r>
              <w:rPr>
                <w:i/>
                <w:iCs/>
              </w:rPr>
            </w:r>
            <w:r>
              <w:rPr>
                <w:bCs/>
                <w:i/>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Tại thời điểm thẩm định, Theo GCN QSDĐ số AA 04486033, thửa đất có 95,6m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thuộc đất hành lang an toàn giao thông đường tỉnh lộ 427.</w:t>
            </w:r>
            <w:r/>
          </w:p>
        </w:tc>
      </w:tr>
      <w:tr>
        <w:trPr>
          <w:trHeight w:val="40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Vị trí; Giao thông:</w:t>
            </w:r>
            <w:r/>
          </w:p>
        </w:tc>
      </w:tr>
      <w:tr>
        <w:trPr>
          <w:trHeight w:val="36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Số 85 thôn Gia Vĩnh, xã Tam Hưng, thanh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Đường DT427B</w:t>
            </w:r>
            <w:r/>
          </w:p>
        </w:tc>
        <w:tc>
          <w:tcPr>
            <w:tcBorders>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01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9m + vỉa hè 2,5m mỗi bên</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9m + vỉa hè 2,5m mỗi bên</w:t>
            </w:r>
            <w:r/>
          </w:p>
        </w:tc>
      </w:tr>
      <w:tr>
        <w:trPr>
          <w:trHeight w:val="626"/>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Tiếp giáp đường DT427B.</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 Hướng Tây Nam: tiếp giáp với đường giao thông;</w:t>
              <w:br/>
              <w:t xml:space="preserve">+ 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 trên bản đồ vệ tin</w:t>
            </w:r>
            <w:r>
              <w:rPr>
                <w:rFonts w:ascii="Times New Roman" w:hAnsi="Times New Roman" w:eastAsia="Times New Roman" w:cs="Times New Roman"/>
                <w:color w:val="000000"/>
                <w:sz w:val="24"/>
                <w:highlight w:val="yellow"/>
              </w:rPr>
              <w:t xml:space="preserve">h: 20.863792, 105.919854</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91375" cy="25846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4746" name=""/>
                              <pic:cNvPicPr>
                                <a:picLocks noChangeAspect="1"/>
                              </pic:cNvPicPr>
                              <pic:nvPr/>
                            </pic:nvPicPr>
                            <pic:blipFill rotWithShape="1">
                              <a:blip r:embed="rId18"/>
                              <a:stretch/>
                            </pic:blipFill>
                            <pic:spPr bwMode="auto">
                              <a:xfrm flipH="0" flipV="0">
                                <a:off x="0" y="0"/>
                                <a:ext cx="5691375" cy="2584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8.14pt;height:203.51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Diện tích; Kích thước; Hình dáng</w:t>
            </w:r>
            <w:r/>
          </w:p>
        </w:tc>
      </w:tr>
      <w:tr>
        <w:trPr>
          <w:trHeight w:val="64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140,6</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w:t>
            </w:r>
            <w:r/>
          </w:p>
        </w:tc>
      </w:tr>
      <w:tr>
        <w:trPr>
          <w:trHeight w:val="46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10,23 (sau QH)</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4,97 (sau QH)</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Tây 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Ổn định</w:t>
            </w:r>
            <w:r/>
          </w:p>
        </w:tc>
      </w:tr>
      <w:tr>
        <w:trPr>
          <w:trHeight w:val="57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69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 Tài sản gắn liền với đất:</w:t>
            </w:r>
            <w:r/>
          </w:p>
        </w:tc>
      </w:tr>
      <w:tr>
        <w:trPr>
          <w:trHeight w:val="866"/>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CTXD Nhà xưởng khung sắt lợp tôn, diện tích xây dựng khoảng 140m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chưa được công nhận trên GCN QSDĐ số: AA 04486033.</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46"/>
        <w:numPr>
          <w:ilvl w:val="0"/>
          <w:numId w:val="3"/>
        </w:numPr>
        <w:pBdr/>
        <w:spacing w:after="0" w:before="0" w:line="240" w:lineRule="auto"/>
        <w:ind w:right="0"/>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CTXD Nhà xưởng khung sắt lợp tôn, diện tích xây dựng khoảng 140m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chưa được công nhận trên GCN QSDĐ số: AA 04486033</w:t>
      </w:r>
      <w:r>
        <w:rPr>
          <w:rFonts w:ascii="Times New Roman" w:hAnsi="Times New Roman" w:eastAsia="Times New Roman" w:cs="Times New Roman"/>
          <w:color w:val="000000"/>
          <w:spacing w:val="2"/>
          <w:sz w:val="24"/>
        </w:rPr>
        <w:t xml:space="preserve">. Đồng thời, tổ thẩm định cũng không nhận được bất kỳ hồ sơ pháp lý nào liên quan tới công trình xây dựng thực tế này. Do vậy, theo đề nghị của Khách hàng/Ngân hàng, tổ thẩm định không xác</w:t>
      </w:r>
      <w:r>
        <w:rPr>
          <w:rFonts w:ascii="Times New Roman" w:hAnsi="Times New Roman" w:eastAsia="Times New Roman" w:cs="Times New Roman"/>
          <w:color w:val="000000"/>
          <w:spacing w:val="2"/>
          <w:sz w:val="24"/>
        </w:rPr>
        <w:t xml:space="preserve"> định giá trị công trình nhưng vẫn coi đó là phần không thể tách rời của tài sản thẩm định</w:t>
      </w:r>
      <w:r>
        <w:rPr>
          <w:spacing w:val="-2"/>
          <w:highlight w:val="none"/>
          <w:lang w:val="pt-BR"/>
        </w:rPr>
        <w:t xml:space="preserve">.</w:t>
      </w:r>
      <w:r/>
    </w:p>
    <w:p>
      <w:pPr>
        <w:pStyle w:val="1046"/>
        <w:numPr>
          <w:ilvl w:val="0"/>
          <w:numId w:val="3"/>
        </w:numPr>
        <w:pBdr/>
        <w:spacing w:after="0" w:before="0" w:line="240" w:lineRule="auto"/>
        <w:ind/>
        <w:jc w:val="both"/>
        <w:rPr/>
      </w:pPr>
      <w:r>
        <w:rPr>
          <w:rFonts w:ascii="Times New Roman" w:hAnsi="Times New Roman" w:eastAsia="Times New Roman" w:cs="Times New Roman"/>
          <w:color w:val="000000"/>
          <w:sz w:val="24"/>
        </w:rPr>
        <w:t xml:space="preserve">Tại thời điểm thẩm định, theo thông tin quy hoạch trên GCN QSDĐ số AA 04486033, thửa đất có 95,6m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đất ở thuộc đất hành lang an toàn giao thông đường tỉnh lộ 427.</w:t>
      </w:r>
      <w:r>
        <w:rPr>
          <w:rFonts w:ascii="Times New Roman" w:hAnsi="Times New Roman" w:eastAsia="Times New Roman" w:cs="Times New Roman"/>
          <w:color w:val="000000"/>
          <w:spacing w:val="2"/>
          <w:sz w:val="24"/>
        </w:rPr>
        <w:t xml:space="preserve"> Theo thông tin khách hàng cung cấp, hiện chưa có thông báo thu hồi đất/quyết định thu hồi đất/phương án giải tỏa bồi thường đối với phần diện tích nằm trong hành lang an toàn. Do vậy,  đối với diện tích nằm ngoài quy hoạch Tổ thẩm định đánh giá theo giá </w:t>
      </w:r>
      <w:r>
        <w:rPr>
          <w:rFonts w:ascii="Times New Roman" w:hAnsi="Times New Roman" w:eastAsia="Times New Roman" w:cs="Times New Roman"/>
          <w:color w:val="000000"/>
          <w:spacing w:val="2"/>
          <w:sz w:val="24"/>
        </w:rPr>
        <w:t xml:space="preserve">trị thị trường, đối với phần nằm trong quy hoạch Tổ thẩm định đánh giá theo giá UBND từng thời kỳ, giá trị đền bù thực tế còn phụ thuộc vào thỏa thuận các bên tại thời điểm Nhà nước giải phóng mặt bằng thực hiện quy hoạch. Đề nghị đơn vị sử dụng kết quả lư</w:t>
      </w:r>
      <w:r>
        <w:rPr>
          <w:rFonts w:ascii="Times New Roman" w:hAnsi="Times New Roman" w:eastAsia="Times New Roman" w:cs="Times New Roman"/>
          <w:color w:val="000000"/>
          <w:spacing w:val="2"/>
          <w:sz w:val="24"/>
        </w:rPr>
        <w:t xml:space="preserve">u ý kiểm tra xác minh thêm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cần được xem xét, </w:t>
      </w:r>
      <w:r>
        <w:rPr>
          <w:rFonts w:ascii="Times New Roman" w:hAnsi="Times New Roman" w:eastAsia="Times New Roman" w:cs="Times New Roman"/>
          <w:color w:val="000000"/>
          <w:spacing w:val="2"/>
          <w:sz w:val="24"/>
        </w:rPr>
        <w:t xml:space="preserve">điều chỉnh phù hợp, chúng tôi bảo lưu quyền xem xét lại kết quả thẩm định giá</w:t>
      </w:r>
      <w:r>
        <w:rPr>
          <w:spacing w:val="-2"/>
          <w:highlight w:val="none"/>
          <w:lang w:val="pt-BR"/>
        </w:rPr>
        <w:t xml:space="preserve">.</w:t>
      </w:r>
      <w:r/>
    </w:p>
    <w:p>
      <w:pPr>
        <w:pStyle w:val="104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4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4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4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nằm ngoài HLGT:</w:t>
      </w:r>
      <w:r>
        <w:rPr>
          <w:b/>
          <w:lang w:val="pt-BR"/>
        </w:rPr>
      </w:r>
      <w:r>
        <w:rPr>
          <w:b/>
          <w:lang w:val="pt-BR"/>
        </w:rPr>
      </w:r>
    </w:p>
    <w:p>
      <w:pPr>
        <w:pStyle w:val="104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4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5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85, thôn Gia Vĩnh, 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Rùa Hạ, 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DT427B, xã Tam Hưng,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https://www.facebook.com/groups/301821837819531/posts/1581353793199656/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https://batdongsan.com.vn/ban-dat-xa-thanh-thuy-1/-mat-duong-dau-canh-ha-cienco-pr44054567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https://batdongsan.com.vn/ban-dat-duong-dt-427b-xa-tam-hung-tp-ha-noi/ban-dau-gia-khu-ao-dau-voi-75m2-mat-tl427b-trung-vin-olympic-pr45032524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0523.993666</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0398.789654</w:t>
            </w:r>
            <w:r>
              <w:rPr>
                <w:sz w:val="22"/>
                <w:szCs w:val="22"/>
              </w:rPr>
              <w:br/>
            </w:r>
            <w:r>
              <w:rPr>
                <w:sz w:val="22"/>
                <w:szCs w:val="22"/>
              </w:rPr>
              <w:t xml:space="preserve">(</w:t>
            </w:r>
            <w:r>
              <w:rPr>
                <w:sz w:val="22"/>
                <w:szCs w:val="22"/>
              </w:rPr>
              <w:t xml:space="preserve">Thanh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0362.542999</w:t>
            </w:r>
            <w:r>
              <w:rPr>
                <w:sz w:val="22"/>
                <w:szCs w:val="22"/>
              </w:rPr>
              <w:br/>
            </w:r>
            <w:r>
              <w:rPr>
                <w:sz w:val="22"/>
                <w:szCs w:val="22"/>
              </w:rPr>
              <w:t xml:space="preserve">(</w:t>
            </w:r>
            <w:r>
              <w:rPr>
                <w:sz w:val="22"/>
                <w:szCs w:val="22"/>
              </w:rPr>
              <w:t xml:space="preserve">Bùi Thanh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Hưng, Thành phố Hà Nội, tiếp giáp đường DT427B</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Tam Hưng, Thành phố Hà Nội</w:t>
            </w:r>
            <w:r>
              <w:rPr>
                <w:color w:val="000000" w:themeColor="text1"/>
                <w:sz w:val="22"/>
                <w:szCs w:val="22"/>
              </w:rPr>
              <w:t xml:space="preserve">,  Cách đường DT427B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Hưng, Thành phố Hà Nội, tiếp giáp đường Rùa Hạ, cách DT427B khoảng 100mm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Hưng, Thành phố Hà Nội, tiếp giáp đường DT427B</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PHQH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trồng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14.400.000.000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12.150.000.000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125.000.000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144.000.000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162.000.000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4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7.600.000.000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12.150.000.000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144.000.000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162.000.000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Hưng, Thành phố Hà Nội, tiếp giáp đường DT427B</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Tam Hưng, Thành phố Hà Nội</w:t>
            </w:r>
            <w:r>
              <w:rPr>
                <w:color w:val="000000" w:themeColor="text1"/>
                <w:sz w:val="22"/>
                <w:szCs w:val="22"/>
              </w:rPr>
              <w:t xml:space="preserve">,  Cách đường DT427B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Hưng, Thành phố Hà Nội, tiếp giáp đường Rùa Hạ, cách DT427B khoảng 100mm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Hưng, Thành phố Hà Nội, tiếp giáp đường DT427B</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173.340.000</w:t>
            </w:r>
            <w:r>
              <w:rPr>
                <w:color w:val="000000"/>
                <w:sz w:val="22"/>
                <w:szCs w:val="22"/>
              </w:rPr>
            </w:r>
            <w:r>
              <w:rPr>
                <w:color w:val="000000"/>
                <w:sz w:val="22"/>
                <w:szCs w:val="22"/>
              </w:rPr>
            </w:r>
          </w:p>
        </w:tc>
      </w:tr>
      <w:tr>
        <w:trPr>
          <w:trHeight w:val="285"/>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178.200.000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153.750.000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178.560.000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178.200.000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170.170.000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53.750.000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34.560.000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32.400.000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28.750.000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34.560.000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16.200.000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-9,65</w:t>
      </w:r>
      <w:r>
        <w:t xml:space="preserve">% </w:t>
      </w:r>
      <w:r>
        <w:t xml:space="preserve">đến</w:t>
      </w:r>
      <w:r>
        <w:t xml:space="preserve"> </w:t>
      </w:r>
      <w:r>
        <w:t xml:space="preserve"> </w:t>
      </w:r>
      <w:r>
        <w:t xml:space="preserve">4,93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153.750.000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51.260.250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178.560.000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59.514.048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178.200.000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59.394.060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170.168.358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170.000.000</w:t>
            </w:r>
            <w:r>
              <w:rPr>
                <w:b/>
                <w:bCs/>
                <w:color w:val="000000"/>
              </w:rPr>
            </w:r>
            <w:r>
              <w:rPr>
                <w:b/>
                <w:bCs/>
                <w:color w:val="000000"/>
              </w:rPr>
            </w:r>
          </w:p>
        </w:tc>
      </w:tr>
    </w:tbl>
    <w:p>
      <w:pPr>
        <w:pBdr/>
        <w:spacing w:after="120" w:before="120" w:line="276" w:lineRule="auto"/>
        <w:ind w:right="0" w:firstLine="283" w:left="0"/>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170.000.000</w:t>
      </w:r>
      <w:r>
        <w:rPr>
          <w:b/>
          <w:bCs/>
          <w:color w:val="000000" w:themeColor="text1"/>
        </w:rPr>
        <w:t xml:space="preserve"> </w:t>
      </w:r>
      <w:r>
        <w:rPr>
          <w:b/>
          <w:bCs/>
        </w:rPr>
        <w:t xml:space="preserve">đồng</w:t>
      </w:r>
      <w:r>
        <w:rPr>
          <w:b/>
          <w:bCs/>
        </w:rPr>
        <w:t xml:space="preserve">/m².</w:t>
      </w:r>
      <w:r>
        <w:rPr>
          <w:b/>
          <w:bCs/>
        </w:rPr>
      </w:r>
      <w:r>
        <w:rPr>
          <w:b/>
          <w:bCs/>
          <w:highlight w:val="none"/>
        </w:rPr>
      </w:r>
    </w:p>
    <w:p>
      <w:pPr>
        <w:pStyle w:val="1046"/>
        <w:numPr>
          <w:ilvl w:val="0"/>
          <w:numId w:val="42"/>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nằm ngoài HLGT:</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283" w:left="0"/>
        <w:jc w:val="both"/>
        <w:rPr/>
      </w:pPr>
      <w:r>
        <w:t xml:space="preserve">Vận dụng </w:t>
      </w:r>
      <w:r>
        <w:t xml:space="preserve">Nghị quyết 52/2025/NQ-HĐND</w:t>
      </w:r>
      <w:r>
        <w:t xml:space="preserve"> của UBND Thành phố Hà Nội </w:t>
      </w:r>
      <w:r>
        <w:t xml:space="preserve">ngày 26 tháng 11 năm 2025 của Hội đồng nhân dân thành phố Hà Nội</w:t>
      </w:r>
      <w:r>
        <w:t xml:space="preserve"> </w:t>
      </w:r>
      <w:r>
        <w:t xml:space="preserve">Quy định về Bảng giá đất lần đầu để công bố và áp dụng từ ngày 01/01/2026 trên địa bàn thàn phố Hà Nội</w:t>
      </w:r>
      <w:r>
        <w:t xml:space="preserve">, đơn giá đất ở - Vị trí 1 - Đường DT427, Đoạn giáp QL21B đên hết địa bàn xã Tam Hưng là</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23.354.000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pPr>
        <w:pStyle w:val="104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6"/>
        <w:pBdr/>
        <w:tabs>
          <w:tab w:val="left" w:leader="none" w:pos="993"/>
        </w:tabs>
        <w:spacing w:after="120" w:before="120" w:line="276" w:lineRule="auto"/>
        <w:ind w:right="0" w:firstLine="283"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tbl>
      <w:tblPr>
        <w:tblW w:w="5003"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3226"/>
        <w:gridCol w:w="1802"/>
        <w:gridCol w:w="1883"/>
        <w:gridCol w:w="1667"/>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22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83"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667"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11"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237, tờ bản đồ số: 20, có địa chỉ: Thôn Gia Vĩnh, xã Tam Hưng, thành phố Hà Nội theo Giấy chứng </w:t>
            </w:r>
            <w:r>
              <w:rPr>
                <w:b/>
                <w:bCs/>
                <w:color w:val="000000"/>
              </w:rPr>
              <w:t xml:space="preserve">nhận quyền sử dụng đất, quyền sở hữu tài sản gắn liền với đất số: AA 04486033, Số vào sổ cấp GCN: CN 00432 do Chi nhánh Văn phòng đăng ký đất đai Hà Nội - Huyện Thanh Oai cấp ngày 27/11/2025; Chủ sử dụng đất là Ông Hoàng Văn Doanh và Bà Nguyễn Thị Ngọc Nga</w:t>
            </w:r>
            <w:r>
              <w:rPr>
                <w:b/>
                <w:bCs/>
              </w:rPr>
              <w:t xml:space="preserve">.</w:t>
            </w:r>
            <w:r>
              <w:rPr>
                <w:b/>
                <w:bCs/>
              </w:rPr>
            </w:r>
            <w:r>
              <w:rPr>
                <w:b/>
                <w:bCs/>
              </w:rPr>
            </w:r>
          </w:p>
        </w:tc>
        <w:tc>
          <w:tcPr>
            <w:shd w:val="clear" w:color="000000" w:fill="ffffff"/>
            <w:tcBorders/>
            <w:tcW w:w="166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3226" w:type="dxa"/>
            <w:vAlign w:val="center"/>
            <w:textDirection w:val="lrTb"/>
            <w:noWrap w:val="false"/>
          </w:tcPr>
          <w:p>
            <w:pPr>
              <w:pBdr/>
              <w:spacing w:after="40" w:before="40" w:line="288" w:lineRule="auto"/>
              <w:ind/>
              <w:rPr>
                <w:b w:val="0"/>
                <w:bCs w:val="0"/>
              </w:rPr>
            </w:pPr>
            <w:r>
              <w:rPr>
                <w:b w:val="0"/>
                <w:bCs w:val="0"/>
              </w:rPr>
              <w:t xml:space="preserve">Đất ONT (nằm ngoài HLGT).</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45,0</w:t>
            </w:r>
            <w:r>
              <w:rPr>
                <w:color w:val="000000"/>
              </w:rPr>
            </w:r>
            <w:r>
              <w:rPr>
                <w:color w:val="000000"/>
              </w:rPr>
            </w:r>
          </w:p>
        </w:tc>
        <w:tc>
          <w:tcPr>
            <w:shd w:val="clear" w:color="000000" w:fill="ffffff"/>
            <w:tcBorders/>
            <w:tcW w:w="1883" w:type="dxa"/>
            <w:vAlign w:val="center"/>
            <w:textDirection w:val="lrTb"/>
            <w:noWrap w:val="false"/>
          </w:tcPr>
          <w:p>
            <w:pPr>
              <w:pBdr/>
              <w:spacing w:after="40" w:before="40" w:line="288" w:lineRule="auto"/>
              <w:ind/>
              <w:jc w:val="center"/>
              <w:rPr/>
            </w:pPr>
            <w:r>
              <w:rPr>
                <w:color w:val="000000" w:themeColor="text1"/>
              </w:rPr>
              <w:t xml:space="preserve">170.000.000</w:t>
            </w:r>
            <w:r/>
          </w:p>
        </w:tc>
        <w:tc>
          <w:tcPr>
            <w:shd w:val="clear" w:color="000000" w:fill="ffffff"/>
            <w:tcBorders/>
            <w:tcW w:w="1667" w:type="dxa"/>
            <w:vAlign w:val="center"/>
            <w:textDirection w:val="lrTb"/>
            <w:noWrap w:val="false"/>
          </w:tcPr>
          <w:p>
            <w:pPr>
              <w:pBdr/>
              <w:spacing w:after="40" w:before="40" w:line="288" w:lineRule="auto"/>
              <w:ind/>
              <w:jc w:val="center"/>
              <w:rPr/>
            </w:pPr>
            <w:r>
              <w:rPr>
                <w:color w:val="000000" w:themeColor="text1"/>
              </w:rPr>
              <w:t xml:space="preserve">7.650.000.000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3226" w:type="dxa"/>
            <w:vAlign w:val="center"/>
            <w:vMerge w:val="restart"/>
            <w:textDirection w:val="lrTb"/>
            <w:noWrap w:val="false"/>
          </w:tcPr>
          <w:p>
            <w:pPr>
              <w:pBdr/>
              <w:spacing w:after="40" w:before="40" w:line="288" w:lineRule="auto"/>
              <w:ind/>
              <w:rPr>
                <w:b w:val="0"/>
                <w:bCs w:val="0"/>
              </w:rPr>
            </w:pPr>
            <w:r>
              <w:rPr>
                <w:b w:val="0"/>
                <w:bCs w:val="0"/>
              </w:rPr>
              <w:t xml:space="preserve">Đất ONT (nằm trong HLGT).</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95,6</w:t>
            </w:r>
            <w:r>
              <w:rPr>
                <w:color w:val="000000" w:themeColor="text1"/>
              </w:rPr>
            </w:r>
            <w:r>
              <w:rPr>
                <w:color w:val="000000" w:themeColor="text1"/>
              </w:rPr>
            </w:r>
          </w:p>
        </w:tc>
        <w:tc>
          <w:tcPr>
            <w:shd w:val="clear" w:color="000000" w:fill="ffffff"/>
            <w:tcBorders/>
            <w:tcW w:w="1883"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23.354.000</w:t>
            </w:r>
            <w:r>
              <w:rPr>
                <w:color w:val="000000" w:themeColor="text1"/>
              </w:rPr>
            </w:r>
            <w:r>
              <w:rPr>
                <w:color w:val="000000" w:themeColor="text1"/>
              </w:rPr>
            </w:r>
          </w:p>
        </w:tc>
        <w:tc>
          <w:tcPr>
            <w:shd w:val="clear" w:color="000000" w:fill="ffffff"/>
            <w:tcBorders/>
            <w:tcW w:w="166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2.232.642.200</w:t>
            </w:r>
            <w:r>
              <w:rPr>
                <w:color w:val="000000" w:themeColor="text1"/>
              </w:rPr>
            </w:r>
            <w:r>
              <w:rPr>
                <w:color w:val="000000" w:themeColor="text1"/>
              </w:rPr>
            </w:r>
          </w:p>
        </w:tc>
      </w:tr>
      <w:tr>
        <w:trPr>
          <w:trHeight w:val="20"/>
        </w:trPr>
        <w:tc>
          <w:tcPr>
            <w:gridSpan w:val="4"/>
            <w:tcBorders/>
            <w:tcW w:w="786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667" w:type="dxa"/>
            <w:vAlign w:val="center"/>
            <w:textDirection w:val="lrTb"/>
            <w:noWrap/>
          </w:tcPr>
          <w:p>
            <w:pPr>
              <w:pBdr/>
              <w:spacing w:after="40" w:before="40" w:line="288" w:lineRule="auto"/>
              <w:ind/>
              <w:jc w:val="center"/>
              <w:rPr>
                <w:b/>
                <w:bCs/>
                <w:color w:val="000000"/>
              </w:rPr>
            </w:pPr>
            <w:r>
              <w:rPr>
                <w:b/>
                <w:bCs/>
              </w:rPr>
              <w:t xml:space="preserve">9.882.642.400</w:t>
            </w:r>
            <w:r>
              <w:rPr>
                <w:b/>
                <w:bCs/>
                <w:color w:val="000000"/>
              </w:rPr>
            </w:r>
            <w:r>
              <w:rPr>
                <w:b/>
                <w:bCs/>
                <w:color w:val="000000"/>
              </w:rPr>
            </w:r>
          </w:p>
        </w:tc>
      </w:tr>
      <w:tr>
        <w:trPr>
          <w:trHeight w:val="20"/>
        </w:trPr>
        <w:tc>
          <w:tcPr>
            <w:gridSpan w:val="4"/>
            <w:tcBorders/>
            <w:tcW w:w="786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667" w:type="dxa"/>
            <w:vAlign w:val="center"/>
            <w:textDirection w:val="lrTb"/>
            <w:noWrap/>
          </w:tcPr>
          <w:p>
            <w:pPr>
              <w:pBdr/>
              <w:spacing w:after="40" w:before="40" w:line="288" w:lineRule="auto"/>
              <w:ind/>
              <w:jc w:val="center"/>
              <w:rPr>
                <w:b/>
                <w:bCs/>
                <w:color w:val="000000"/>
              </w:rPr>
            </w:pPr>
            <w:r>
              <w:rPr>
                <w:b/>
                <w:bCs/>
                <w:color w:val="000000"/>
              </w:rPr>
              <w:t xml:space="preserve">9.883.000.000</w:t>
            </w:r>
            <w:r>
              <w:rPr>
                <w:b/>
                <w:bCs/>
                <w:color w:val="000000"/>
              </w:rPr>
            </w:r>
            <w:r>
              <w:rPr>
                <w:b/>
                <w:bCs/>
                <w:color w:val="000000"/>
              </w:rPr>
            </w:r>
          </w:p>
        </w:tc>
      </w:tr>
      <w:tr>
        <w:trPr>
          <w:trHeight w:val="20"/>
        </w:trPr>
        <w:tc>
          <w:tcPr>
            <w:gridSpan w:val="5"/>
            <w:tcBorders/>
            <w:tcW w:w="9531"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tám trăm tám mươi ba triệu đồng</w:t>
            </w:r>
            <w:r>
              <w:rPr>
                <w:b/>
                <w:bCs/>
                <w:i/>
                <w:iCs/>
                <w:color w:val="000000"/>
              </w:rPr>
              <w:t xml:space="preserve">./.)</w:t>
            </w:r>
            <w:r>
              <w:rPr>
                <w:b/>
                <w:bCs/>
                <w:i/>
                <w:iCs/>
                <w:color w:val="000000"/>
              </w:rPr>
            </w:r>
            <w:r>
              <w:rPr>
                <w:b/>
                <w:bCs/>
                <w:i/>
                <w:iCs/>
                <w:color w:val="000000"/>
              </w:rPr>
            </w:r>
          </w:p>
        </w:tc>
      </w:tr>
    </w:tbl>
    <w:p>
      <w:pPr>
        <w:pStyle w:val="1046"/>
        <w:pBdr/>
        <w:tabs>
          <w:tab w:val="left" w:leader="none" w:pos="993"/>
        </w:tabs>
        <w:spacing w:after="120" w:before="120" w:line="30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6"/>
        <w:numPr>
          <w:ilvl w:val="0"/>
          <w:numId w:val="4"/>
        </w:numPr>
        <w:pBdr/>
        <w:tabs>
          <w:tab w:val="left" w:leader="none" w:pos="993"/>
        </w:tabs>
        <w:spacing w:after="120" w:before="120" w:line="302"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46"/>
        <w:pBdr/>
        <w:tabs>
          <w:tab w:val="left" w:leader="none" w:pos="993"/>
        </w:tabs>
        <w:spacing w:after="120" w:before="120" w:line="30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6"/>
        <w:numPr>
          <w:ilvl w:val="0"/>
          <w:numId w:val="5"/>
        </w:numPr>
        <w:pBdr/>
        <w:tabs>
          <w:tab w:val="left" w:leader="none" w:pos="993"/>
        </w:tabs>
        <w:spacing w:after="120" w:before="120" w:line="302"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46"/>
        <w:numPr>
          <w:ilvl w:val="0"/>
          <w:numId w:val="5"/>
        </w:numPr>
        <w:pBdr/>
        <w:tabs>
          <w:tab w:val="left" w:leader="none" w:pos="993"/>
        </w:tabs>
        <w:spacing w:after="120" w:before="120" w:line="302"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46"/>
        <w:numPr>
          <w:ilvl w:val="0"/>
          <w:numId w:val="5"/>
        </w:numPr>
        <w:pBdr/>
        <w:tabs>
          <w:tab w:val="left" w:leader="none" w:pos="993"/>
        </w:tabs>
        <w:spacing w:after="120" w:before="120" w:line="302"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6"/>
        <w:numPr>
          <w:ilvl w:val="0"/>
          <w:numId w:val="5"/>
        </w:numPr>
        <w:pBdr/>
        <w:tabs>
          <w:tab w:val="left" w:leader="none" w:pos="993"/>
        </w:tabs>
        <w:spacing w:after="120" w:before="120" w:line="302"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46"/>
        <w:numPr>
          <w:ilvl w:val="0"/>
          <w:numId w:val="10"/>
        </w:numPr>
        <w:pBdr/>
        <w:spacing w:after="120" w:before="120" w:line="302"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6"/>
        <w:numPr>
          <w:ilvl w:val="0"/>
          <w:numId w:val="10"/>
        </w:numPr>
        <w:pBdr/>
        <w:spacing w:after="120" w:before="120" w:line="302"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6"/>
        <w:numPr>
          <w:ilvl w:val="0"/>
          <w:numId w:val="10"/>
        </w:numPr>
        <w:pBdr/>
        <w:spacing w:after="120" w:before="120" w:line="302"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46"/>
        <w:pBdr/>
        <w:tabs>
          <w:tab w:val="left" w:leader="none" w:pos="993"/>
        </w:tabs>
        <w:spacing w:after="120" w:before="120" w:line="30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6"/>
        <w:numPr>
          <w:ilvl w:val="0"/>
          <w:numId w:val="5"/>
        </w:numPr>
        <w:pBdr/>
        <w:tabs>
          <w:tab w:val="left" w:leader="none" w:pos="993"/>
        </w:tabs>
        <w:spacing w:after="120" w:before="120" w:line="302"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46"/>
        <w:numPr>
          <w:ilvl w:val="0"/>
          <w:numId w:val="5"/>
        </w:numPr>
        <w:pBdr/>
        <w:tabs>
          <w:tab w:val="left" w:leader="none" w:pos="993"/>
        </w:tabs>
        <w:spacing w:after="120" w:before="120" w:line="30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46"/>
        <w:numPr>
          <w:ilvl w:val="0"/>
          <w:numId w:val="5"/>
        </w:numPr>
        <w:pBdr/>
        <w:tabs>
          <w:tab w:val="left" w:leader="none" w:pos="993"/>
        </w:tabs>
        <w:spacing w:after="120" w:before="120" w:line="30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46"/>
        <w:numPr>
          <w:ilvl w:val="0"/>
          <w:numId w:val="5"/>
        </w:numPr>
        <w:pBdr/>
        <w:tabs>
          <w:tab w:val="left" w:leader="none" w:pos="993"/>
        </w:tabs>
        <w:spacing w:after="120" w:before="120" w:line="302"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46"/>
        <w:numPr>
          <w:ilvl w:val="0"/>
          <w:numId w:val="5"/>
        </w:numPr>
        <w:pBdr/>
        <w:tabs>
          <w:tab w:val="left" w:leader="none" w:pos="993"/>
        </w:tabs>
        <w:spacing w:after="120" w:before="120" w:line="302"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46"/>
        <w:numPr>
          <w:ilvl w:val="0"/>
          <w:numId w:val="5"/>
        </w:numPr>
        <w:pBdr/>
        <w:tabs>
          <w:tab w:val="left" w:leader="none" w:pos="993"/>
        </w:tabs>
        <w:spacing w:after="120" w:before="120" w:line="302"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46"/>
        <w:numPr>
          <w:ilvl w:val="0"/>
          <w:numId w:val="5"/>
        </w:numPr>
        <w:pBdr/>
        <w:spacing w:after="120" w:before="120" w:line="302"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46"/>
        <w:numPr>
          <w:ilvl w:val="0"/>
          <w:numId w:val="5"/>
        </w:numPr>
        <w:pBdr/>
        <w:tabs>
          <w:tab w:val="left" w:leader="none" w:pos="993"/>
        </w:tabs>
        <w:spacing w:after="120" w:before="120" w:line="302"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46"/>
        <w:numPr>
          <w:ilvl w:val="0"/>
          <w:numId w:val="5"/>
        </w:numPr>
        <w:pBdr/>
        <w:spacing w:after="120" w:before="120" w:line="30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6"/>
        <w:numPr>
          <w:ilvl w:val="0"/>
          <w:numId w:val="44"/>
        </w:numPr>
        <w:pBdr/>
        <w:spacing w:after="0" w:before="0" w:line="302" w:lineRule="auto"/>
        <w:ind w:right="0"/>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CTXD Nhà xưởng khung sắt lợp tôn, diện tích xây dựng khoảng 140m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chưa được công nhận trên GCN QSDĐ số: AA 04486033</w:t>
      </w:r>
      <w:r>
        <w:rPr>
          <w:rFonts w:ascii="Times New Roman" w:hAnsi="Times New Roman" w:eastAsia="Times New Roman" w:cs="Times New Roman"/>
          <w:color w:val="000000"/>
          <w:spacing w:val="2"/>
          <w:sz w:val="24"/>
        </w:rPr>
        <w:t xml:space="preserve">. Đồng thời, tổ thẩm định cũng không nhận được bất kỳ hồ sơ pháp lý nào liên quan tới công trình xây dựng thực tế này. Do vậy, theo đề nghị của Khách hàng/Ngân hàng, tổ thẩm định không xác</w:t>
      </w:r>
      <w:r>
        <w:rPr>
          <w:rFonts w:ascii="Times New Roman" w:hAnsi="Times New Roman" w:eastAsia="Times New Roman" w:cs="Times New Roman"/>
          <w:color w:val="000000"/>
          <w:spacing w:val="2"/>
          <w:sz w:val="24"/>
        </w:rPr>
        <w:t xml:space="preserve"> định giá trị công trình nhưng vẫn coi đó là phần không thể tách rời của tài sản thẩm định</w:t>
      </w:r>
      <w:r>
        <w:rPr>
          <w:spacing w:val="-2"/>
          <w:highlight w:val="none"/>
          <w:lang w:val="pt-BR"/>
        </w:rPr>
        <w:t xml:space="preserve">.</w:t>
      </w:r>
      <w:r/>
    </w:p>
    <w:p>
      <w:pPr>
        <w:pStyle w:val="1046"/>
        <w:numPr>
          <w:ilvl w:val="0"/>
          <w:numId w:val="44"/>
        </w:numPr>
        <w:pBdr/>
        <w:spacing w:after="0" w:before="0" w:line="302" w:lineRule="auto"/>
        <w:ind/>
        <w:jc w:val="both"/>
        <w:rPr/>
      </w:pPr>
      <w:r>
        <w:rPr>
          <w:rFonts w:ascii="Times New Roman" w:hAnsi="Times New Roman" w:eastAsia="Times New Roman" w:cs="Times New Roman"/>
          <w:color w:val="000000"/>
          <w:sz w:val="24"/>
        </w:rPr>
        <w:t xml:space="preserve">Tại thời điểm thẩm định, Theo thông tin quy hoạch trên GCN QSDĐ số AA 04486033, thửa đất có 95,6m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thuộc đất hành lang an toàn giao thông đường tỉnh lộ 427.</w:t>
      </w:r>
      <w:r>
        <w:rPr>
          <w:rFonts w:ascii="Times New Roman" w:hAnsi="Times New Roman" w:eastAsia="Times New Roman" w:cs="Times New Roman"/>
          <w:color w:val="000000"/>
          <w:spacing w:val="2"/>
          <w:sz w:val="24"/>
        </w:rPr>
        <w:t xml:space="preserve">Theo thông tin khách hàng cung cấp, hiện chưa có thông báo thu hồi đất/quyết định thu hồi đất/phương án giải tỏa bồi thường đối với phần diện tích nằm trong hành lang an toàn. Do vậy,  đối với diện tích nằm ngoài quy hoạch Tổ thẩm định đánh giá theo giá </w:t>
      </w:r>
      <w:r>
        <w:rPr>
          <w:rFonts w:ascii="Times New Roman" w:hAnsi="Times New Roman" w:eastAsia="Times New Roman" w:cs="Times New Roman"/>
          <w:color w:val="000000"/>
          <w:spacing w:val="2"/>
          <w:sz w:val="24"/>
        </w:rPr>
        <w:t xml:space="preserve">trị thị trường, đối với phần nằm trong quy hoạch Tổ thẩm định đánh giá theo giá UBND từng thời kỳ, giá trị đền bù thực tế còn phụ thuộc vào thỏa thuận các bên tại thời điểm Nhà nước giải phóng mặt bằng thực hiện quy hoạch. Đề nghị đơn vị sử dụng kết quả lư</w:t>
      </w:r>
      <w:r>
        <w:rPr>
          <w:rFonts w:ascii="Times New Roman" w:hAnsi="Times New Roman" w:eastAsia="Times New Roman" w:cs="Times New Roman"/>
          <w:color w:val="000000"/>
          <w:spacing w:val="2"/>
          <w:sz w:val="24"/>
        </w:rPr>
        <w:t xml:space="preserve">u ý kiểm tra xác minh thêm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cần được xem xét, </w:t>
      </w:r>
      <w:r>
        <w:rPr>
          <w:rFonts w:ascii="Times New Roman" w:hAnsi="Times New Roman" w:eastAsia="Times New Roman" w:cs="Times New Roman"/>
          <w:color w:val="000000"/>
          <w:spacing w:val="2"/>
          <w:sz w:val="24"/>
        </w:rPr>
        <w:t xml:space="preserve">điều chỉnh phù hợp, chúng tôi bảo lưu quyền xem xét lại kết quả thẩm định giá</w:t>
      </w:r>
      <w:r>
        <w:rPr>
          <w:spacing w:val="-2"/>
          <w:highlight w:val="none"/>
          <w:lang w:val="pt-BR"/>
        </w:rPr>
        <w:t xml:space="preserve">.</w:t>
      </w:r>
      <w:r>
        <w:rPr>
          <w:bCs/>
          <w:spacing w:val="-2"/>
          <w:lang w:val="pt-BR"/>
        </w:rPr>
      </w:r>
      <w:r/>
    </w:p>
    <w:p>
      <w:pPr>
        <w:pStyle w:val="1046"/>
        <w:numPr>
          <w:ilvl w:val="0"/>
          <w:numId w:val="3"/>
        </w:numPr>
        <w:pBdr/>
        <w:tabs>
          <w:tab w:val="left" w:leader="none" w:pos="993"/>
        </w:tabs>
        <w:spacing w:after="120" w:before="120" w:line="30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6"/>
        <w:numPr>
          <w:ilvl w:val="0"/>
          <w:numId w:val="5"/>
        </w:numPr>
        <w:pBdr/>
        <w:tabs>
          <w:tab w:val="left" w:leader="none" w:pos="993"/>
        </w:tabs>
        <w:spacing w:after="120" w:before="120" w:line="302"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6"/>
        <w:numPr>
          <w:ilvl w:val="0"/>
          <w:numId w:val="5"/>
        </w:numPr>
        <w:pBdr/>
        <w:tabs>
          <w:tab w:val="left" w:leader="none" w:pos="993"/>
        </w:tabs>
        <w:spacing w:after="120" w:before="120" w:line="302"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0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6"/>
        <w:pBdr/>
        <w:tabs>
          <w:tab w:val="left" w:leader="none" w:pos="993"/>
        </w:tabs>
        <w:spacing w:after="120" w:before="120" w:line="302"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46"/>
        <w:pBdr/>
        <w:tabs>
          <w:tab w:val="left" w:leader="none" w:pos="993"/>
        </w:tabs>
        <w:spacing w:after="120" w:before="120" w:line="302"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4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275/2026/0468/VFI-CT.44.A</w:t>
      </w:r>
      <w:r>
        <w:rPr>
          <w:color w:val="ff0000"/>
          <w:lang w:val="vi-VN"/>
        </w:rPr>
        <w:t xml:space="preserve"> </w:t>
      </w:r>
      <w:r>
        <w:rPr>
          <w:color w:val="000000" w:themeColor="text1"/>
        </w:rPr>
        <w:t xml:space="preserve">ngày 23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275/2026/0468/VFI-BC.44.A</w:t>
      </w:r>
      <w:r>
        <w:rPr>
          <w:i/>
          <w:lang w:val="pt-BR"/>
        </w:rPr>
        <w:t xml:space="preserve"> ngày </w:t>
      </w:r>
      <w:r>
        <w:rPr>
          <w:i/>
          <w:lang w:val="pt-BR"/>
        </w:rPr>
        <w:t xml:space="preserve">23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5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38"/>
        <w:gridCol w:w="4787"/>
      </w:tblGrid>
      <w:tr>
        <w:trPr/>
        <w:tc>
          <w:tcPr>
            <w:tcBorders/>
            <w:tcW w:w="473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8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3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36810" cy="52887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13001" name=""/>
                              <pic:cNvPicPr>
                                <a:picLocks noChangeAspect="1"/>
                              </pic:cNvPicPr>
                              <pic:nvPr/>
                            </pic:nvPicPr>
                            <pic:blipFill rotWithShape="1">
                              <a:blip r:embed="rId19"/>
                              <a:stretch/>
                            </pic:blipFill>
                            <pic:spPr bwMode="auto">
                              <a:xfrm flipH="0" flipV="0">
                                <a:off x="0" y="0"/>
                                <a:ext cx="2436810" cy="52887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1.87pt;height:416.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8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136793" name=""/>
                              <pic:cNvPicPr>
                                <a:picLocks noChangeAspect="1"/>
                              </pic:cNvPicPr>
                              <pic:nvPr/>
                            </pic:nvPicPr>
                            <pic:blipFill rotWithShape="1">
                              <a:blip r:embed="rId20"/>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8.12pt;height:178.5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3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8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3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48880" cy="236166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76785" name=""/>
                              <pic:cNvPicPr>
                                <a:picLocks noChangeAspect="1"/>
                              </pic:cNvPicPr>
                              <pic:nvPr/>
                            </pic:nvPicPr>
                            <pic:blipFill rotWithShape="1">
                              <a:blip r:embed="rId21"/>
                              <a:stretch/>
                            </pic:blipFill>
                            <pic:spPr bwMode="auto">
                              <a:xfrm flipH="0" flipV="0">
                                <a:off x="0" y="0"/>
                                <a:ext cx="3148879" cy="2361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7.94pt;height:185.9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8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82405" cy="238680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06971" name=""/>
                              <pic:cNvPicPr>
                                <a:picLocks noChangeAspect="1"/>
                              </pic:cNvPicPr>
                              <pic:nvPr/>
                            </pic:nvPicPr>
                            <pic:blipFill rotWithShape="1">
                              <a:blip r:embed="rId22"/>
                              <a:stretch/>
                            </pic:blipFill>
                            <pic:spPr bwMode="auto">
                              <a:xfrm flipH="0" flipV="0">
                                <a:off x="0" y="0"/>
                                <a:ext cx="3182405" cy="23868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0.58pt;height:187.9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bl>
    <w:p>
      <w:pPr>
        <w:pBdr/>
        <w:spacing w:after="200" w:line="276" w:lineRule="auto"/>
        <w:ind/>
        <w:jc w:val="center"/>
        <w:rPr>
          <w:highlight w:val="none"/>
        </w:rPr>
      </w:pPr>
      <w:r>
        <w:rPr>
          <w:b/>
          <w:highlight w:val="none"/>
        </w:rPr>
      </w:r>
      <w:r>
        <mc:AlternateContent>
          <mc:Choice Requires="wpg">
            <w:drawing>
              <wp:inline xmlns:wp="http://schemas.openxmlformats.org/drawingml/2006/wordprocessingDrawing" distT="0" distB="0" distL="0" distR="0">
                <wp:extent cx="6048375" cy="80645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30169" name=""/>
                        <pic:cNvPicPr>
                          <a:picLocks noChangeAspect="1"/>
                        </pic:cNvPicPr>
                        <pic:nvPr/>
                      </pic:nvPicPr>
                      <pic:blipFill rotWithShape="1">
                        <a:blip r:embed="rId2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635.00pt;mso-wrap-distance-left:0.00pt;mso-wrap-distance-top:0.00pt;mso-wrap-distance-right:0.00pt;mso-wrap-distance-bottom:0.00pt;z-index:1;" stroked="false">
                <v:imagedata r:id="rId23" o:title=""/>
                <o:lock v:ext="edit" rotation="t"/>
              </v:shape>
            </w:pict>
          </mc:Fallback>
        </mc:AlternateContent>
      </w:r>
      <w:r>
        <w:rPr>
          <w:highlight w:val="none"/>
        </w:rPr>
      </w:r>
    </w:p>
    <w:p>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6048375" cy="80645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0001" name=""/>
                        <pic:cNvPicPr>
                          <a:picLocks noChangeAspect="1"/>
                        </pic:cNvPicPr>
                        <pic:nvPr/>
                      </pic:nvPicPr>
                      <pic:blipFill rotWithShape="1">
                        <a:blip r:embed="rId2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635.00pt;mso-wrap-distance-left:0.00pt;mso-wrap-distance-top:0.00pt;mso-wrap-distance-right:0.00pt;mso-wrap-distance-bottom:0.00pt;z-index:1;" stroked="false">
                <v:imagedata r:id="rId24" o:title=""/>
                <o:lock v:ext="edit" rotation="t"/>
              </v:shape>
            </w:pict>
          </mc:Fallback>
        </mc:AlternateContent>
      </w:r>
      <w:r>
        <w:rPr>
          <w:highlight w:val="none"/>
        </w:rPr>
      </w:r>
      <w:r/>
    </w:p>
    <w:p>
      <w:pPr>
        <w:pBdr/>
        <w:shd w:val="nil" w:color="auto"/>
        <w:spacing/>
        <w:ind/>
        <w:rPr>
          <w:b/>
          <w:bCs/>
          <w:highlight w:val="none"/>
        </w:rPr>
      </w:pPr>
      <w:r>
        <w:rPr>
          <w:b/>
          <w:highlight w:val="none"/>
        </w:rPr>
        <w:br w:type="page" w:clear="all"/>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275/2026/0468/VFI-BC.44.A</w:t>
      </w:r>
      <w:r>
        <w:rPr>
          <w:i/>
          <w:lang w:val="pt-BR"/>
        </w:rPr>
        <w:t xml:space="preserve"> </w:t>
      </w:r>
      <w:r>
        <w:rPr>
          <w:i/>
          <w:lang w:val="pt-BR"/>
        </w:rPr>
        <w:t xml:space="preserve">ngày 23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https://www.facebook.com/groups/301821837819531/posts/1581353793199656/</w:t>
            </w:r>
            <w:r>
              <w:rPr>
                <w:color w:val="000000" w:themeColor="text1"/>
                <w:sz w:val="22"/>
                <w:szCs w:val="22"/>
              </w:rPr>
              <w:br/>
              <w:t xml:space="preserve">0523.993666</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(60.8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Hưng, Thành phố Hà Nội, khoảng cách ra đường chính Cách đường DT427B khoảng 100m, độ rộng đường trước mặt tài sản 5m, mặt tiền 4,5m, 20.871487893518026, 105.80535404993523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08616"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9086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86.5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0556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4055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9.4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https://batdongsan.com.vn/ban-dat-xa-thanh-thuy-1/-mat-duong-dau-canh-ha-cienco-pr44054567</w:t>
            </w:r>
            <w:r>
              <w:rPr>
                <w:color w:val="000000" w:themeColor="text1"/>
                <w:sz w:val="22"/>
                <w:szCs w:val="22"/>
              </w:rPr>
              <w:br/>
              <w:t xml:space="preserve">0398.789654</w:t>
            </w:r>
            <w:r>
              <w:rPr>
                <w:sz w:val="22"/>
                <w:szCs w:val="22"/>
              </w:rPr>
              <w:t xml:space="preserve"> </w:t>
            </w:r>
            <w:r>
              <w:rPr>
                <w:sz w:val="22"/>
                <w:szCs w:val="22"/>
              </w:rPr>
              <w:br/>
              <w:t xml:space="preserve">(Thanh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Hưng, Thành phố Hà Nội, khoảng cách ra đường chính Tiếp giáp đường Rùa Hạ, cách DT427B khoảng 100mm, độ rộng đường trước mặt tài sản 8m, mặt tiền 5m, 20.872587446110984, 105.80633080456437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40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64740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4.6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https://batdongsan.com.vn/ban-dat-duong-dt-427b-xa-tam-hung-tp-ha-noi/ban-dau-gia-khu-ao-dau-voi-75m2-mat-tl427b-trung-vin-olympic-pr45032524</w:t>
            </w:r>
            <w:r>
              <w:rPr>
                <w:color w:val="000000" w:themeColor="text1"/>
                <w:sz w:val="22"/>
                <w:szCs w:val="22"/>
              </w:rPr>
              <w:br/>
            </w:r>
            <w:r>
              <w:rPr>
                <w:sz w:val="22"/>
                <w:szCs w:val="22"/>
              </w:rPr>
              <w:t xml:space="preserve">SĐT: </w:t>
            </w:r>
            <w:r>
              <w:rPr>
                <w:color w:val="000000" w:themeColor="text1"/>
                <w:sz w:val="22"/>
                <w:szCs w:val="22"/>
              </w:rPr>
              <w:t xml:space="preserve">0362.542999</w:t>
            </w:r>
            <w:r>
              <w:rPr>
                <w:sz w:val="22"/>
                <w:szCs w:val="22"/>
              </w:rPr>
              <w:t xml:space="preserve"> </w:t>
            </w:r>
            <w:r>
              <w:rPr>
                <w:sz w:val="22"/>
                <w:szCs w:val="22"/>
              </w:rPr>
              <w:br/>
              <w:t xml:space="preserve">(Bùi Thanh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Hưng, Thành phố Hà Nội, khoảng cách ra đường chính Tiếp giáp đường 427B, độ rộng đường trước mặt tài sản 8m, mặt tiền 5m, 20.884496385000293, 105.79023755047501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596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3596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2.0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rPr>
      </w:pPr>
      <w:r>
        <w:rPr>
          <w:b/>
          <w:bCs/>
          <w:iCs/>
          <w:lang w:val="pt-BR"/>
        </w:rPr>
        <w:t xml:space="preserve">BIÊN BẢN KHẢO SÁT</w:t>
      </w:r>
      <w:r>
        <w:rPr>
          <w:b/>
          <w:bCs/>
          <w:iCs/>
          <w:lang w:val="pt-BR"/>
        </w:rPr>
      </w:r>
      <w:r>
        <w:rPr>
          <w:b/>
          <w:bCs/>
          <w:iCs/>
          <w:highlight w:val="none"/>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79135"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00pt;mso-wrap-distance-left:0.00pt;mso-wrap-distance-top:0.00pt;mso-wrap-distance-right:0.00pt;mso-wrap-distance-bottom:0.00pt;z-index:1;" stroked="false">
                <v:imagedata r:id="rId30" o:title=""/>
                <o:lock v:ext="edit" rotation="t"/>
              </v:shape>
            </w:pict>
          </mc:Fallback>
        </mc:AlternateContent>
      </w:r>
      <w:r>
        <w:rPr>
          <w:iCs/>
          <w:highlight w:val="none"/>
          <w:lang w:val="pt-BR"/>
        </w:rPr>
      </w:r>
      <w:r>
        <w:rPr>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0"/>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48044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36622EC"/>
    <w:lvl w:ilvl="0">
      <w:isLgl w:val="false"/>
      <w:lvlJc w:val="left"/>
      <w:lvlText w:val="–"/>
      <w:numFmt w:val="bullet"/>
      <w:pPr>
        <w:pBdr/>
        <w:spacing/>
        <w:ind w:hanging="360" w:left="709"/>
      </w:pPr>
      <w:rPr>
        <w:rFonts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0C143CC"/>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1">
    <w:nsid w:val="6DB68A20"/>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8">
    <w:name w:val="Table Grid Light"/>
    <w:basedOn w:val="103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1"/>
    <w:basedOn w:val="103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2"/>
    <w:basedOn w:val="103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3"/>
    <w:basedOn w:val="10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4"/>
    <w:basedOn w:val="10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5"/>
    <w:basedOn w:val="10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w:basedOn w:val="103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1"/>
    <w:basedOn w:val="103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2"/>
    <w:basedOn w:val="103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3"/>
    <w:basedOn w:val="103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4"/>
    <w:basedOn w:val="103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5"/>
    <w:basedOn w:val="103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6"/>
    <w:basedOn w:val="103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w:basedOn w:val="103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1"/>
    <w:basedOn w:val="103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2"/>
    <w:basedOn w:val="103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3"/>
    <w:basedOn w:val="103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4"/>
    <w:basedOn w:val="103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5"/>
    <w:basedOn w:val="103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6"/>
    <w:basedOn w:val="103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w:basedOn w:val="103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1"/>
    <w:basedOn w:val="103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2"/>
    <w:basedOn w:val="103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3"/>
    <w:basedOn w:val="103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4"/>
    <w:basedOn w:val="103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5"/>
    <w:basedOn w:val="103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6"/>
    <w:basedOn w:val="103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w:basedOn w:val="103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1"/>
    <w:basedOn w:val="103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2"/>
    <w:basedOn w:val="103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3"/>
    <w:basedOn w:val="103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4"/>
    <w:basedOn w:val="103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5"/>
    <w:basedOn w:val="103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6"/>
    <w:basedOn w:val="103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1"/>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2"/>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3"/>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Accent 4"/>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5"/>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6"/>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6 Colorful"/>
    <w:basedOn w:val="103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0">
    <w:name w:val="Grid Table 6 Colorful - Accent 1"/>
    <w:basedOn w:val="103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1">
    <w:name w:val="Grid Table 6 Colorful - Accent 2"/>
    <w:basedOn w:val="103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2">
    <w:name w:val="Grid Table 6 Colorful - Accent 3"/>
    <w:basedOn w:val="103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3">
    <w:name w:val="Grid Table 6 Colorful - Accent 4"/>
    <w:basedOn w:val="103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4">
    <w:name w:val="Grid Table 6 Colorful - Accent 5"/>
    <w:basedOn w:val="103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6 Colorful - Accent 6"/>
    <w:basedOn w:val="103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6">
    <w:name w:val="Grid Table 7 Colorful"/>
    <w:basedOn w:val="103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1"/>
    <w:basedOn w:val="103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2"/>
    <w:basedOn w:val="103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3"/>
    <w:basedOn w:val="103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4"/>
    <w:basedOn w:val="103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5"/>
    <w:basedOn w:val="103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6"/>
    <w:basedOn w:val="103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1"/>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2"/>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3"/>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4"/>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5"/>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6"/>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w:basedOn w:val="103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1"/>
    <w:basedOn w:val="103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2"/>
    <w:basedOn w:val="103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3"/>
    <w:basedOn w:val="103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4"/>
    <w:basedOn w:val="103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5"/>
    <w:basedOn w:val="103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6"/>
    <w:basedOn w:val="103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w:basedOn w:val="103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1"/>
    <w:basedOn w:val="103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2"/>
    <w:basedOn w:val="103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3"/>
    <w:basedOn w:val="103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4"/>
    <w:basedOn w:val="103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5"/>
    <w:basedOn w:val="103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6"/>
    <w:basedOn w:val="103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w:basedOn w:val="103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1"/>
    <w:basedOn w:val="103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2"/>
    <w:basedOn w:val="103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3"/>
    <w:basedOn w:val="103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4"/>
    <w:basedOn w:val="103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5"/>
    <w:basedOn w:val="103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6"/>
    <w:basedOn w:val="103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5 Dark"/>
    <w:basedOn w:val="103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1"/>
    <w:basedOn w:val="103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2"/>
    <w:basedOn w:val="103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3"/>
    <w:basedOn w:val="103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4"/>
    <w:basedOn w:val="103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5"/>
    <w:basedOn w:val="103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6"/>
    <w:basedOn w:val="103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6 Colorful"/>
    <w:basedOn w:val="103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1"/>
    <w:basedOn w:val="103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2"/>
    <w:basedOn w:val="103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3"/>
    <w:basedOn w:val="103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4"/>
    <w:basedOn w:val="103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5"/>
    <w:basedOn w:val="103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6"/>
    <w:basedOn w:val="103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7 Colorful"/>
    <w:basedOn w:val="103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6">
    <w:name w:val="List Table 7 Colorful - Accent 1"/>
    <w:basedOn w:val="103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7">
    <w:name w:val="List Table 7 Colorful - Accent 2"/>
    <w:basedOn w:val="103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8">
    <w:name w:val="List Table 7 Colorful - Accent 3"/>
    <w:basedOn w:val="103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9">
    <w:name w:val="List Table 7 Colorful - Accent 4"/>
    <w:basedOn w:val="103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0">
    <w:name w:val="List Table 7 Colorful - Accent 5"/>
    <w:basedOn w:val="103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1">
    <w:name w:val="List Table 7 Colorful - Accent 6"/>
    <w:basedOn w:val="103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2">
    <w:name w:val="Lined - Accent"/>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1"/>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2"/>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3"/>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4"/>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5"/>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6"/>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w:basedOn w:val="103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1"/>
    <w:basedOn w:val="103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2"/>
    <w:basedOn w:val="103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3"/>
    <w:basedOn w:val="103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4"/>
    <w:basedOn w:val="103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5"/>
    <w:basedOn w:val="103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6"/>
    <w:basedOn w:val="103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w:basedOn w:val="103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1"/>
    <w:basedOn w:val="103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2"/>
    <w:basedOn w:val="103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3"/>
    <w:basedOn w:val="103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4"/>
    <w:basedOn w:val="103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5"/>
    <w:basedOn w:val="103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6"/>
    <w:basedOn w:val="103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3">
    <w:name w:val="Heading 5"/>
    <w:basedOn w:val="1024"/>
    <w:next w:val="1024"/>
    <w:link w:val="98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4">
    <w:name w:val="Heading 6"/>
    <w:basedOn w:val="1024"/>
    <w:next w:val="1024"/>
    <w:link w:val="98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5">
    <w:name w:val="Heading 7"/>
    <w:basedOn w:val="1024"/>
    <w:next w:val="1024"/>
    <w:link w:val="99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6">
    <w:name w:val="Heading 8"/>
    <w:basedOn w:val="1024"/>
    <w:next w:val="1024"/>
    <w:link w:val="99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7">
    <w:name w:val="Heading 9"/>
    <w:basedOn w:val="1024"/>
    <w:next w:val="1024"/>
    <w:link w:val="99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8">
    <w:name w:val="Heading 5 Char"/>
    <w:basedOn w:val="1029"/>
    <w:link w:val="983"/>
    <w:uiPriority w:val="9"/>
    <w:pPr>
      <w:pBdr/>
      <w:spacing/>
      <w:ind/>
    </w:pPr>
    <w:rPr>
      <w:rFonts w:ascii="Arial" w:hAnsi="Arial" w:eastAsia="Arial" w:cs="Arial"/>
      <w:color w:val="0f4761" w:themeColor="accent1" w:themeShade="BF"/>
    </w:rPr>
  </w:style>
  <w:style w:type="character" w:styleId="989">
    <w:name w:val="Heading 6 Char"/>
    <w:basedOn w:val="1029"/>
    <w:link w:val="984"/>
    <w:uiPriority w:val="9"/>
    <w:pPr>
      <w:pBdr/>
      <w:spacing/>
      <w:ind/>
    </w:pPr>
    <w:rPr>
      <w:rFonts w:ascii="Arial" w:hAnsi="Arial" w:eastAsia="Arial" w:cs="Arial"/>
      <w:i/>
      <w:iCs/>
      <w:color w:val="595959" w:themeColor="text1" w:themeTint="A6"/>
    </w:rPr>
  </w:style>
  <w:style w:type="character" w:styleId="990">
    <w:name w:val="Heading 7 Char"/>
    <w:basedOn w:val="1029"/>
    <w:link w:val="985"/>
    <w:uiPriority w:val="9"/>
    <w:pPr>
      <w:pBdr/>
      <w:spacing/>
      <w:ind/>
    </w:pPr>
    <w:rPr>
      <w:rFonts w:ascii="Arial" w:hAnsi="Arial" w:eastAsia="Arial" w:cs="Arial"/>
      <w:color w:val="595959" w:themeColor="text1" w:themeTint="A6"/>
    </w:rPr>
  </w:style>
  <w:style w:type="character" w:styleId="991">
    <w:name w:val="Heading 8 Char"/>
    <w:basedOn w:val="1029"/>
    <w:link w:val="986"/>
    <w:uiPriority w:val="9"/>
    <w:pPr>
      <w:pBdr/>
      <w:spacing/>
      <w:ind/>
    </w:pPr>
    <w:rPr>
      <w:rFonts w:ascii="Arial" w:hAnsi="Arial" w:eastAsia="Arial" w:cs="Arial"/>
      <w:i/>
      <w:iCs/>
      <w:color w:val="272727" w:themeColor="text1" w:themeTint="D8"/>
    </w:rPr>
  </w:style>
  <w:style w:type="character" w:styleId="992">
    <w:name w:val="Heading 9 Char"/>
    <w:basedOn w:val="1029"/>
    <w:link w:val="987"/>
    <w:uiPriority w:val="9"/>
    <w:pPr>
      <w:pBdr/>
      <w:spacing/>
      <w:ind/>
    </w:pPr>
    <w:rPr>
      <w:rFonts w:ascii="Arial" w:hAnsi="Arial" w:eastAsia="Arial" w:cs="Arial"/>
      <w:i/>
      <w:iCs/>
      <w:color w:val="272727" w:themeColor="text1" w:themeTint="D8"/>
    </w:rPr>
  </w:style>
  <w:style w:type="paragraph" w:styleId="993">
    <w:name w:val="Subtitle"/>
    <w:basedOn w:val="1024"/>
    <w:next w:val="1024"/>
    <w:link w:val="994"/>
    <w:uiPriority w:val="11"/>
    <w:qFormat/>
    <w:pPr>
      <w:numPr>
        <w:ilvl w:val="1"/>
      </w:numPr>
      <w:pBdr/>
      <w:spacing/>
      <w:ind/>
    </w:pPr>
    <w:rPr>
      <w:color w:val="595959" w:themeColor="text1" w:themeTint="A6"/>
      <w:spacing w:val="15"/>
      <w:sz w:val="28"/>
      <w:szCs w:val="28"/>
    </w:rPr>
  </w:style>
  <w:style w:type="character" w:styleId="994">
    <w:name w:val="Subtitle Char"/>
    <w:basedOn w:val="1029"/>
    <w:link w:val="993"/>
    <w:uiPriority w:val="11"/>
    <w:pPr>
      <w:pBdr/>
      <w:spacing/>
      <w:ind/>
    </w:pPr>
    <w:rPr>
      <w:color w:val="595959" w:themeColor="text1" w:themeTint="A6"/>
      <w:spacing w:val="15"/>
      <w:sz w:val="28"/>
      <w:szCs w:val="28"/>
    </w:rPr>
  </w:style>
  <w:style w:type="paragraph" w:styleId="995">
    <w:name w:val="Quote"/>
    <w:basedOn w:val="1024"/>
    <w:next w:val="1024"/>
    <w:link w:val="996"/>
    <w:uiPriority w:val="29"/>
    <w:qFormat/>
    <w:pPr>
      <w:pBdr/>
      <w:spacing w:before="160"/>
      <w:ind/>
      <w:jc w:val="center"/>
    </w:pPr>
    <w:rPr>
      <w:i/>
      <w:iCs/>
      <w:color w:val="404040" w:themeColor="text1" w:themeTint="BF"/>
    </w:rPr>
  </w:style>
  <w:style w:type="character" w:styleId="996">
    <w:name w:val="Quote Char"/>
    <w:basedOn w:val="1029"/>
    <w:link w:val="995"/>
    <w:uiPriority w:val="29"/>
    <w:pPr>
      <w:pBdr/>
      <w:spacing/>
      <w:ind/>
    </w:pPr>
    <w:rPr>
      <w:i/>
      <w:iCs/>
      <w:color w:val="404040" w:themeColor="text1" w:themeTint="BF"/>
    </w:rPr>
  </w:style>
  <w:style w:type="character" w:styleId="997">
    <w:name w:val="Intense Emphasis"/>
    <w:basedOn w:val="1029"/>
    <w:uiPriority w:val="21"/>
    <w:qFormat/>
    <w:pPr>
      <w:pBdr/>
      <w:spacing/>
      <w:ind/>
    </w:pPr>
    <w:rPr>
      <w:i/>
      <w:iCs/>
      <w:color w:val="0f4761" w:themeColor="accent1" w:themeShade="BF"/>
    </w:rPr>
  </w:style>
  <w:style w:type="paragraph" w:styleId="998">
    <w:name w:val="Intense Quote"/>
    <w:basedOn w:val="1024"/>
    <w:next w:val="1024"/>
    <w:link w:val="99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9">
    <w:name w:val="Intense Quote Char"/>
    <w:basedOn w:val="1029"/>
    <w:link w:val="998"/>
    <w:uiPriority w:val="30"/>
    <w:pPr>
      <w:pBdr/>
      <w:spacing/>
      <w:ind/>
    </w:pPr>
    <w:rPr>
      <w:i/>
      <w:iCs/>
      <w:color w:val="0f4761" w:themeColor="accent1" w:themeShade="BF"/>
    </w:rPr>
  </w:style>
  <w:style w:type="character" w:styleId="1000">
    <w:name w:val="Intense Reference"/>
    <w:basedOn w:val="1029"/>
    <w:uiPriority w:val="32"/>
    <w:qFormat/>
    <w:pPr>
      <w:pBdr/>
      <w:spacing/>
      <w:ind/>
    </w:pPr>
    <w:rPr>
      <w:b/>
      <w:bCs/>
      <w:smallCaps/>
      <w:color w:val="0f4761" w:themeColor="accent1" w:themeShade="BF"/>
      <w:spacing w:val="5"/>
    </w:rPr>
  </w:style>
  <w:style w:type="paragraph" w:styleId="1001">
    <w:name w:val="No Spacing"/>
    <w:basedOn w:val="1024"/>
    <w:uiPriority w:val="1"/>
    <w:qFormat/>
    <w:pPr>
      <w:pBdr/>
      <w:spacing w:after="0" w:line="240" w:lineRule="auto"/>
      <w:ind/>
    </w:pPr>
  </w:style>
  <w:style w:type="character" w:styleId="1002">
    <w:name w:val="Subtle Emphasis"/>
    <w:basedOn w:val="1029"/>
    <w:uiPriority w:val="19"/>
    <w:qFormat/>
    <w:pPr>
      <w:pBdr/>
      <w:spacing/>
      <w:ind/>
    </w:pPr>
    <w:rPr>
      <w:i/>
      <w:iCs/>
      <w:color w:val="404040" w:themeColor="text1" w:themeTint="BF"/>
    </w:rPr>
  </w:style>
  <w:style w:type="character" w:styleId="1003">
    <w:name w:val="Subtle Reference"/>
    <w:basedOn w:val="1029"/>
    <w:uiPriority w:val="31"/>
    <w:qFormat/>
    <w:pPr>
      <w:pBdr/>
      <w:spacing/>
      <w:ind/>
    </w:pPr>
    <w:rPr>
      <w:smallCaps/>
      <w:color w:val="5a5a5a" w:themeColor="text1" w:themeTint="A5"/>
    </w:rPr>
  </w:style>
  <w:style w:type="character" w:styleId="1004">
    <w:name w:val="Book Title"/>
    <w:basedOn w:val="1029"/>
    <w:uiPriority w:val="33"/>
    <w:qFormat/>
    <w:pPr>
      <w:pBdr/>
      <w:spacing/>
      <w:ind/>
    </w:pPr>
    <w:rPr>
      <w:b/>
      <w:bCs/>
      <w:i/>
      <w:iCs/>
      <w:spacing w:val="5"/>
    </w:rPr>
  </w:style>
  <w:style w:type="paragraph" w:styleId="1005">
    <w:name w:val="Caption"/>
    <w:basedOn w:val="1024"/>
    <w:next w:val="1024"/>
    <w:uiPriority w:val="35"/>
    <w:unhideWhenUsed/>
    <w:qFormat/>
    <w:pPr>
      <w:pBdr/>
      <w:spacing w:after="200" w:line="240" w:lineRule="auto"/>
      <w:ind/>
    </w:pPr>
    <w:rPr>
      <w:i/>
      <w:iCs/>
      <w:color w:val="0e2841" w:themeColor="text2"/>
      <w:sz w:val="18"/>
      <w:szCs w:val="18"/>
    </w:rPr>
  </w:style>
  <w:style w:type="paragraph" w:styleId="1006">
    <w:name w:val="footnote text"/>
    <w:basedOn w:val="1024"/>
    <w:link w:val="1007"/>
    <w:uiPriority w:val="99"/>
    <w:semiHidden/>
    <w:unhideWhenUsed/>
    <w:pPr>
      <w:pBdr/>
      <w:spacing w:after="0" w:line="240" w:lineRule="auto"/>
      <w:ind/>
    </w:pPr>
    <w:rPr>
      <w:sz w:val="20"/>
      <w:szCs w:val="20"/>
    </w:rPr>
  </w:style>
  <w:style w:type="character" w:styleId="1007">
    <w:name w:val="Footnote Text Char"/>
    <w:basedOn w:val="1029"/>
    <w:link w:val="1006"/>
    <w:uiPriority w:val="99"/>
    <w:semiHidden/>
    <w:pPr>
      <w:pBdr/>
      <w:spacing/>
      <w:ind/>
    </w:pPr>
    <w:rPr>
      <w:sz w:val="20"/>
      <w:szCs w:val="20"/>
    </w:rPr>
  </w:style>
  <w:style w:type="character" w:styleId="1008">
    <w:name w:val="footnote reference"/>
    <w:basedOn w:val="1029"/>
    <w:uiPriority w:val="99"/>
    <w:semiHidden/>
    <w:unhideWhenUsed/>
    <w:pPr>
      <w:pBdr/>
      <w:spacing/>
      <w:ind/>
    </w:pPr>
    <w:rPr>
      <w:vertAlign w:val="superscript"/>
    </w:rPr>
  </w:style>
  <w:style w:type="paragraph" w:styleId="1009">
    <w:name w:val="endnote text"/>
    <w:basedOn w:val="1024"/>
    <w:link w:val="1010"/>
    <w:uiPriority w:val="99"/>
    <w:semiHidden/>
    <w:unhideWhenUsed/>
    <w:pPr>
      <w:pBdr/>
      <w:spacing w:after="0" w:line="240" w:lineRule="auto"/>
      <w:ind/>
    </w:pPr>
    <w:rPr>
      <w:sz w:val="20"/>
      <w:szCs w:val="20"/>
    </w:rPr>
  </w:style>
  <w:style w:type="character" w:styleId="1010">
    <w:name w:val="Endnote Text Char"/>
    <w:basedOn w:val="1029"/>
    <w:link w:val="1009"/>
    <w:uiPriority w:val="99"/>
    <w:semiHidden/>
    <w:pPr>
      <w:pBdr/>
      <w:spacing/>
      <w:ind/>
    </w:pPr>
    <w:rPr>
      <w:sz w:val="20"/>
      <w:szCs w:val="20"/>
    </w:rPr>
  </w:style>
  <w:style w:type="character" w:styleId="1011">
    <w:name w:val="endnote reference"/>
    <w:basedOn w:val="1029"/>
    <w:uiPriority w:val="99"/>
    <w:semiHidden/>
    <w:unhideWhenUsed/>
    <w:pPr>
      <w:pBdr/>
      <w:spacing/>
      <w:ind/>
    </w:pPr>
    <w:rPr>
      <w:vertAlign w:val="superscript"/>
    </w:rPr>
  </w:style>
  <w:style w:type="paragraph" w:styleId="1012">
    <w:name w:val="toc 1"/>
    <w:basedOn w:val="1024"/>
    <w:next w:val="1024"/>
    <w:uiPriority w:val="39"/>
    <w:unhideWhenUsed/>
    <w:pPr>
      <w:pBdr/>
      <w:spacing w:after="100"/>
      <w:ind/>
    </w:pPr>
  </w:style>
  <w:style w:type="paragraph" w:styleId="1013">
    <w:name w:val="toc 2"/>
    <w:basedOn w:val="1024"/>
    <w:next w:val="1024"/>
    <w:uiPriority w:val="39"/>
    <w:unhideWhenUsed/>
    <w:pPr>
      <w:pBdr/>
      <w:spacing w:after="100"/>
      <w:ind w:left="220"/>
    </w:pPr>
  </w:style>
  <w:style w:type="paragraph" w:styleId="1014">
    <w:name w:val="toc 3"/>
    <w:basedOn w:val="1024"/>
    <w:next w:val="1024"/>
    <w:uiPriority w:val="39"/>
    <w:unhideWhenUsed/>
    <w:pPr>
      <w:pBdr/>
      <w:spacing w:after="100"/>
      <w:ind w:left="440"/>
    </w:pPr>
  </w:style>
  <w:style w:type="paragraph" w:styleId="1015">
    <w:name w:val="toc 4"/>
    <w:basedOn w:val="1024"/>
    <w:next w:val="1024"/>
    <w:uiPriority w:val="39"/>
    <w:unhideWhenUsed/>
    <w:pPr>
      <w:pBdr/>
      <w:spacing w:after="100"/>
      <w:ind w:left="660"/>
    </w:pPr>
  </w:style>
  <w:style w:type="paragraph" w:styleId="1016">
    <w:name w:val="toc 5"/>
    <w:basedOn w:val="1024"/>
    <w:next w:val="1024"/>
    <w:uiPriority w:val="39"/>
    <w:unhideWhenUsed/>
    <w:pPr>
      <w:pBdr/>
      <w:spacing w:after="100"/>
      <w:ind w:left="880"/>
    </w:pPr>
  </w:style>
  <w:style w:type="paragraph" w:styleId="1017">
    <w:name w:val="toc 6"/>
    <w:basedOn w:val="1024"/>
    <w:next w:val="1024"/>
    <w:uiPriority w:val="39"/>
    <w:unhideWhenUsed/>
    <w:pPr>
      <w:pBdr/>
      <w:spacing w:after="100"/>
      <w:ind w:left="1100"/>
    </w:pPr>
  </w:style>
  <w:style w:type="paragraph" w:styleId="1018">
    <w:name w:val="toc 7"/>
    <w:basedOn w:val="1024"/>
    <w:next w:val="1024"/>
    <w:uiPriority w:val="39"/>
    <w:unhideWhenUsed/>
    <w:pPr>
      <w:pBdr/>
      <w:spacing w:after="100"/>
      <w:ind w:left="1320"/>
    </w:pPr>
  </w:style>
  <w:style w:type="paragraph" w:styleId="1019">
    <w:name w:val="toc 8"/>
    <w:basedOn w:val="1024"/>
    <w:next w:val="1024"/>
    <w:uiPriority w:val="39"/>
    <w:unhideWhenUsed/>
    <w:pPr>
      <w:pBdr/>
      <w:spacing w:after="100"/>
      <w:ind w:left="1540"/>
    </w:pPr>
  </w:style>
  <w:style w:type="paragraph" w:styleId="1020">
    <w:name w:val="toc 9"/>
    <w:basedOn w:val="1024"/>
    <w:next w:val="1024"/>
    <w:uiPriority w:val="39"/>
    <w:unhideWhenUsed/>
    <w:pPr>
      <w:pBdr/>
      <w:spacing w:after="100"/>
      <w:ind w:left="1760"/>
    </w:pPr>
  </w:style>
  <w:style w:type="character" w:styleId="1021">
    <w:name w:val="Placeholder Text"/>
    <w:basedOn w:val="1029"/>
    <w:uiPriority w:val="99"/>
    <w:semiHidden/>
    <w:pPr>
      <w:pBdr/>
      <w:spacing/>
      <w:ind/>
    </w:pPr>
    <w:rPr>
      <w:color w:val="666666"/>
    </w:rPr>
  </w:style>
  <w:style w:type="paragraph" w:styleId="1022">
    <w:name w:val="TOC Heading"/>
    <w:uiPriority w:val="39"/>
    <w:unhideWhenUsed/>
    <w:pPr>
      <w:pBdr/>
      <w:spacing/>
      <w:ind/>
    </w:pPr>
  </w:style>
  <w:style w:type="paragraph" w:styleId="1023">
    <w:name w:val="table of figures"/>
    <w:basedOn w:val="1024"/>
    <w:next w:val="1024"/>
    <w:uiPriority w:val="99"/>
    <w:unhideWhenUsed/>
    <w:pPr>
      <w:pBdr/>
      <w:spacing w:after="0" w:afterAutospacing="0"/>
      <w:ind/>
    </w:pPr>
  </w:style>
  <w:style w:type="paragraph" w:styleId="1024" w:default="1">
    <w:name w:val="Normal"/>
    <w:qFormat/>
    <w:pPr>
      <w:pBdr/>
      <w:spacing w:after="0" w:line="240" w:lineRule="auto"/>
      <w:ind/>
    </w:pPr>
    <w:rPr>
      <w:rFonts w:ascii="Times New Roman" w:hAnsi="Times New Roman" w:eastAsia="Times New Roman" w:cs="Times New Roman"/>
      <w:sz w:val="24"/>
      <w:szCs w:val="24"/>
    </w:rPr>
  </w:style>
  <w:style w:type="paragraph" w:styleId="1025">
    <w:name w:val="Heading 1"/>
    <w:basedOn w:val="1024"/>
    <w:next w:val="1024"/>
    <w:link w:val="1032"/>
    <w:qFormat/>
    <w:pPr>
      <w:keepNext w:val="true"/>
      <w:pBdr/>
      <w:spacing w:after="120" w:before="120"/>
      <w:ind/>
      <w:jc w:val="center"/>
      <w:outlineLvl w:val="0"/>
    </w:pPr>
    <w:rPr>
      <w:b/>
      <w:bCs/>
      <w:sz w:val="27"/>
      <w:szCs w:val="27"/>
    </w:rPr>
  </w:style>
  <w:style w:type="paragraph" w:styleId="1026">
    <w:name w:val="Heading 2"/>
    <w:basedOn w:val="1024"/>
    <w:next w:val="1024"/>
    <w:link w:val="103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7">
    <w:name w:val="Heading 3"/>
    <w:basedOn w:val="1024"/>
    <w:next w:val="1024"/>
    <w:link w:val="1034"/>
    <w:qFormat/>
    <w:pPr>
      <w:keepNext w:val="true"/>
      <w:pBdr/>
      <w:spacing w:before="60"/>
      <w:ind/>
      <w:outlineLvl w:val="2"/>
    </w:pPr>
    <w:rPr>
      <w:sz w:val="28"/>
      <w:szCs w:val="28"/>
    </w:rPr>
  </w:style>
  <w:style w:type="paragraph" w:styleId="1028">
    <w:name w:val="Heading 4"/>
    <w:basedOn w:val="1024"/>
    <w:next w:val="1024"/>
    <w:link w:val="1035"/>
    <w:qFormat/>
    <w:pPr>
      <w:keepNext w:val="true"/>
      <w:pBdr/>
      <w:spacing/>
      <w:ind/>
      <w:jc w:val="center"/>
      <w:outlineLvl w:val="3"/>
    </w:pPr>
    <w:rPr>
      <w:b/>
      <w:bCs/>
    </w:rPr>
  </w:style>
  <w:style w:type="character" w:styleId="1029" w:default="1">
    <w:name w:val="Default Paragraph Font"/>
    <w:uiPriority w:val="1"/>
    <w:semiHidden/>
    <w:unhideWhenUsed/>
    <w:pPr>
      <w:pBdr/>
      <w:spacing/>
      <w:ind/>
    </w:pPr>
  </w:style>
  <w:style w:type="table" w:styleId="103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1" w:default="1">
    <w:name w:val="No List"/>
    <w:uiPriority w:val="99"/>
    <w:semiHidden/>
    <w:unhideWhenUsed/>
    <w:pPr>
      <w:pBdr/>
      <w:spacing/>
      <w:ind/>
    </w:pPr>
  </w:style>
  <w:style w:type="character" w:styleId="1032" w:customStyle="1">
    <w:name w:val="Heading 1 Char"/>
    <w:basedOn w:val="1029"/>
    <w:link w:val="1025"/>
    <w:pPr>
      <w:pBdr/>
      <w:spacing/>
      <w:ind/>
    </w:pPr>
    <w:rPr>
      <w:rFonts w:ascii="Times New Roman" w:hAnsi="Times New Roman" w:eastAsia="Times New Roman" w:cs="Times New Roman"/>
      <w:b/>
      <w:bCs/>
      <w:sz w:val="27"/>
      <w:szCs w:val="27"/>
    </w:rPr>
  </w:style>
  <w:style w:type="character" w:styleId="1033" w:customStyle="1">
    <w:name w:val="Heading 2 Char"/>
    <w:basedOn w:val="1029"/>
    <w:link w:val="1026"/>
    <w:uiPriority w:val="9"/>
    <w:pPr>
      <w:pBdr/>
      <w:spacing/>
      <w:ind/>
    </w:pPr>
    <w:rPr>
      <w:rFonts w:asciiTheme="majorHAnsi" w:hAnsiTheme="majorHAnsi" w:eastAsiaTheme="majorEastAsia" w:cstheme="majorBidi"/>
      <w:color w:val="365f91" w:themeColor="accent1" w:themeShade="BF"/>
      <w:sz w:val="26"/>
      <w:szCs w:val="26"/>
    </w:rPr>
  </w:style>
  <w:style w:type="character" w:styleId="1034" w:customStyle="1">
    <w:name w:val="Heading 3 Char"/>
    <w:basedOn w:val="1029"/>
    <w:link w:val="1027"/>
    <w:pPr>
      <w:pBdr/>
      <w:spacing/>
      <w:ind/>
    </w:pPr>
    <w:rPr>
      <w:rFonts w:ascii="Times New Roman" w:hAnsi="Times New Roman" w:eastAsia="Times New Roman" w:cs="Times New Roman"/>
      <w:sz w:val="28"/>
      <w:szCs w:val="28"/>
    </w:rPr>
  </w:style>
  <w:style w:type="character" w:styleId="1035" w:customStyle="1">
    <w:name w:val="Heading 4 Char"/>
    <w:basedOn w:val="1029"/>
    <w:link w:val="1028"/>
    <w:pPr>
      <w:pBdr/>
      <w:spacing/>
      <w:ind/>
    </w:pPr>
    <w:rPr>
      <w:rFonts w:ascii="Times New Roman" w:hAnsi="Times New Roman" w:eastAsia="Times New Roman" w:cs="Times New Roman"/>
      <w:b/>
      <w:bCs/>
      <w:sz w:val="24"/>
      <w:szCs w:val="24"/>
    </w:rPr>
  </w:style>
  <w:style w:type="character" w:styleId="1036">
    <w:name w:val="Hyperlink"/>
    <w:uiPriority w:val="99"/>
    <w:pPr>
      <w:pBdr/>
      <w:spacing/>
      <w:ind/>
    </w:pPr>
    <w:rPr>
      <w:color w:val="000000"/>
      <w:u w:val="single"/>
    </w:rPr>
  </w:style>
  <w:style w:type="character" w:styleId="1037">
    <w:name w:val="Strong"/>
    <w:uiPriority w:val="22"/>
    <w:qFormat/>
    <w:pPr>
      <w:pBdr/>
      <w:spacing/>
      <w:ind/>
    </w:pPr>
    <w:rPr>
      <w:b/>
      <w:bCs/>
    </w:rPr>
  </w:style>
  <w:style w:type="paragraph" w:styleId="1038">
    <w:name w:val="Balloon Text"/>
    <w:basedOn w:val="1024"/>
    <w:link w:val="1039"/>
    <w:uiPriority w:val="99"/>
    <w:semiHidden/>
    <w:unhideWhenUsed/>
    <w:pPr>
      <w:pBdr/>
      <w:spacing/>
      <w:ind/>
    </w:pPr>
    <w:rPr>
      <w:rFonts w:ascii="Tahoma" w:hAnsi="Tahoma" w:cs="Tahoma"/>
      <w:sz w:val="16"/>
      <w:szCs w:val="16"/>
    </w:rPr>
  </w:style>
  <w:style w:type="character" w:styleId="1039" w:customStyle="1">
    <w:name w:val="Balloon Text Char"/>
    <w:basedOn w:val="1029"/>
    <w:link w:val="1038"/>
    <w:uiPriority w:val="99"/>
    <w:semiHidden/>
    <w:pPr>
      <w:pBdr/>
      <w:spacing/>
      <w:ind/>
    </w:pPr>
    <w:rPr>
      <w:rFonts w:ascii="Tahoma" w:hAnsi="Tahoma" w:eastAsia="Times New Roman" w:cs="Tahoma"/>
      <w:sz w:val="16"/>
      <w:szCs w:val="16"/>
    </w:rPr>
  </w:style>
  <w:style w:type="paragraph" w:styleId="1040">
    <w:name w:val="Header"/>
    <w:basedOn w:val="1024"/>
    <w:link w:val="1041"/>
    <w:unhideWhenUsed/>
    <w:pPr>
      <w:pBdr/>
      <w:tabs>
        <w:tab w:val="center" w:leader="none" w:pos="4680"/>
        <w:tab w:val="right" w:leader="none" w:pos="9360"/>
      </w:tabs>
      <w:spacing/>
      <w:ind/>
    </w:pPr>
  </w:style>
  <w:style w:type="character" w:styleId="1041" w:customStyle="1">
    <w:name w:val="Header Char"/>
    <w:basedOn w:val="1029"/>
    <w:link w:val="1040"/>
    <w:pPr>
      <w:pBdr/>
      <w:spacing/>
      <w:ind/>
    </w:pPr>
    <w:rPr>
      <w:rFonts w:ascii="Times New Roman" w:hAnsi="Times New Roman" w:eastAsia="Times New Roman" w:cs="Times New Roman"/>
      <w:sz w:val="24"/>
      <w:szCs w:val="24"/>
    </w:rPr>
  </w:style>
  <w:style w:type="paragraph" w:styleId="1042">
    <w:name w:val="Footer"/>
    <w:basedOn w:val="1024"/>
    <w:link w:val="1043"/>
    <w:uiPriority w:val="99"/>
    <w:unhideWhenUsed/>
    <w:pPr>
      <w:pBdr/>
      <w:tabs>
        <w:tab w:val="center" w:leader="none" w:pos="4680"/>
        <w:tab w:val="right" w:leader="none" w:pos="9360"/>
      </w:tabs>
      <w:spacing/>
      <w:ind/>
    </w:pPr>
  </w:style>
  <w:style w:type="character" w:styleId="1043" w:customStyle="1">
    <w:name w:val="Footer Char"/>
    <w:basedOn w:val="1029"/>
    <w:link w:val="1042"/>
    <w:uiPriority w:val="99"/>
    <w:pPr>
      <w:pBdr/>
      <w:spacing/>
      <w:ind/>
    </w:pPr>
    <w:rPr>
      <w:rFonts w:ascii="Times New Roman" w:hAnsi="Times New Roman" w:eastAsia="Times New Roman" w:cs="Times New Roman"/>
      <w:sz w:val="24"/>
      <w:szCs w:val="24"/>
    </w:rPr>
  </w:style>
  <w:style w:type="character" w:styleId="1044" w:customStyle="1">
    <w:name w:val="normal-h1"/>
    <w:pPr>
      <w:pBdr/>
      <w:spacing/>
      <w:ind/>
    </w:pPr>
    <w:rPr>
      <w:rFonts w:hint="default" w:ascii=".VnTime" w:hAnsi=".VnTime"/>
      <w:color w:val="0000ff"/>
      <w:sz w:val="24"/>
      <w:szCs w:val="24"/>
    </w:rPr>
  </w:style>
  <w:style w:type="paragraph" w:styleId="1045" w:customStyle="1">
    <w:name w:val="normal-p"/>
    <w:basedOn w:val="1024"/>
    <w:pPr>
      <w:pBdr/>
      <w:spacing/>
      <w:ind/>
      <w:jc w:val="both"/>
    </w:pPr>
    <w:rPr>
      <w:sz w:val="20"/>
      <w:szCs w:val="20"/>
    </w:rPr>
  </w:style>
  <w:style w:type="paragraph" w:styleId="1046">
    <w:name w:val="List Paragraph"/>
    <w:basedOn w:val="1024"/>
    <w:link w:val="1133"/>
    <w:uiPriority w:val="34"/>
    <w:qFormat/>
    <w:pPr>
      <w:pBdr/>
      <w:spacing/>
      <w:ind w:left="720"/>
    </w:pPr>
  </w:style>
  <w:style w:type="paragraph" w:styleId="1047">
    <w:name w:val="Normal (Web)"/>
    <w:basedOn w:val="1024"/>
    <w:uiPriority w:val="99"/>
    <w:pPr>
      <w:pBdr/>
      <w:spacing w:after="100" w:afterAutospacing="1" w:before="100" w:beforeAutospacing="1"/>
      <w:ind/>
    </w:pPr>
  </w:style>
  <w:style w:type="paragraph" w:styleId="1048">
    <w:name w:val="Body Text"/>
    <w:basedOn w:val="1024"/>
    <w:link w:val="1049"/>
    <w:pPr>
      <w:pBdr/>
      <w:spacing w:after="120"/>
      <w:ind/>
      <w:jc w:val="both"/>
    </w:pPr>
  </w:style>
  <w:style w:type="character" w:styleId="1049" w:customStyle="1">
    <w:name w:val="Body Text Char"/>
    <w:basedOn w:val="1029"/>
    <w:link w:val="1048"/>
    <w:pPr>
      <w:pBdr/>
      <w:spacing/>
      <w:ind/>
    </w:pPr>
    <w:rPr>
      <w:rFonts w:ascii="Times New Roman" w:hAnsi="Times New Roman" w:eastAsia="Times New Roman" w:cs="Times New Roman"/>
      <w:sz w:val="24"/>
      <w:szCs w:val="24"/>
    </w:rPr>
  </w:style>
  <w:style w:type="table" w:styleId="1050">
    <w:name w:val="Table Grid"/>
    <w:basedOn w:val="103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2">
    <w:name w:val="annotation reference"/>
    <w:basedOn w:val="1029"/>
    <w:uiPriority w:val="99"/>
    <w:semiHidden/>
    <w:unhideWhenUsed/>
    <w:pPr>
      <w:pBdr/>
      <w:spacing/>
      <w:ind/>
    </w:pPr>
    <w:rPr>
      <w:sz w:val="16"/>
      <w:szCs w:val="16"/>
    </w:rPr>
  </w:style>
  <w:style w:type="paragraph" w:styleId="1053">
    <w:name w:val="annotation text"/>
    <w:basedOn w:val="1024"/>
    <w:link w:val="1054"/>
    <w:uiPriority w:val="99"/>
    <w:unhideWhenUsed/>
    <w:pPr>
      <w:pBdr/>
      <w:spacing/>
      <w:ind/>
    </w:pPr>
    <w:rPr>
      <w:sz w:val="20"/>
      <w:szCs w:val="20"/>
    </w:rPr>
  </w:style>
  <w:style w:type="character" w:styleId="1054" w:customStyle="1">
    <w:name w:val="Comment Text Char"/>
    <w:basedOn w:val="1029"/>
    <w:link w:val="1053"/>
    <w:uiPriority w:val="99"/>
    <w:pPr>
      <w:pBdr/>
      <w:spacing/>
      <w:ind/>
    </w:pPr>
    <w:rPr>
      <w:rFonts w:ascii="Times New Roman" w:hAnsi="Times New Roman" w:eastAsia="Times New Roman" w:cs="Times New Roman"/>
      <w:sz w:val="20"/>
      <w:szCs w:val="20"/>
    </w:rPr>
  </w:style>
  <w:style w:type="paragraph" w:styleId="1055">
    <w:name w:val="annotation subject"/>
    <w:basedOn w:val="1053"/>
    <w:next w:val="1053"/>
    <w:link w:val="1056"/>
    <w:uiPriority w:val="99"/>
    <w:semiHidden/>
    <w:unhideWhenUsed/>
    <w:pPr>
      <w:pBdr/>
      <w:spacing/>
      <w:ind/>
    </w:pPr>
    <w:rPr>
      <w:b/>
      <w:bCs/>
    </w:rPr>
  </w:style>
  <w:style w:type="character" w:styleId="1056" w:customStyle="1">
    <w:name w:val="Comment Subject Char"/>
    <w:basedOn w:val="1054"/>
    <w:link w:val="1055"/>
    <w:uiPriority w:val="99"/>
    <w:semiHidden/>
    <w:pPr>
      <w:pBdr/>
      <w:spacing/>
      <w:ind/>
    </w:pPr>
    <w:rPr>
      <w:rFonts w:ascii="Times New Roman" w:hAnsi="Times New Roman" w:eastAsia="Times New Roman" w:cs="Times New Roman"/>
      <w:b/>
      <w:bCs/>
      <w:sz w:val="20"/>
      <w:szCs w:val="20"/>
    </w:rPr>
  </w:style>
  <w:style w:type="paragraph" w:styleId="1057" w:customStyle="1">
    <w:name w:val="font5"/>
    <w:basedOn w:val="1024"/>
    <w:pPr>
      <w:pBdr/>
      <w:spacing w:after="100" w:afterAutospacing="1" w:before="100" w:beforeAutospacing="1"/>
      <w:ind/>
    </w:pPr>
    <w:rPr>
      <w:rFonts w:ascii="Tahoma" w:hAnsi="Tahoma" w:cs="Tahoma"/>
      <w:color w:val="000000"/>
      <w:sz w:val="18"/>
      <w:szCs w:val="18"/>
    </w:rPr>
  </w:style>
  <w:style w:type="paragraph" w:styleId="1058" w:customStyle="1">
    <w:name w:val="font6"/>
    <w:basedOn w:val="1024"/>
    <w:pPr>
      <w:pBdr/>
      <w:spacing w:after="100" w:afterAutospacing="1" w:before="100" w:beforeAutospacing="1"/>
      <w:ind/>
    </w:pPr>
    <w:rPr>
      <w:rFonts w:ascii="Tahoma" w:hAnsi="Tahoma" w:cs="Tahoma"/>
      <w:b/>
      <w:bCs/>
      <w:color w:val="000000"/>
      <w:sz w:val="18"/>
      <w:szCs w:val="18"/>
    </w:rPr>
  </w:style>
  <w:style w:type="paragraph" w:styleId="1059" w:customStyle="1">
    <w:name w:val="xl233"/>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34"/>
    <w:basedOn w:val="1024"/>
    <w:pPr>
      <w:pBdr/>
      <w:spacing w:after="100" w:afterAutospacing="1" w:before="100" w:beforeAutospacing="1"/>
      <w:ind/>
      <w:jc w:val="center"/>
    </w:pPr>
  </w:style>
  <w:style w:type="paragraph" w:styleId="1061" w:customStyle="1">
    <w:name w:val="xl235"/>
    <w:basedOn w:val="1024"/>
    <w:pPr>
      <w:pBdr/>
      <w:spacing w:after="100" w:afterAutospacing="1" w:before="100" w:beforeAutospacing="1"/>
      <w:ind/>
      <w:jc w:val="center"/>
    </w:pPr>
    <w:rPr>
      <w:b/>
      <w:bCs/>
    </w:rPr>
  </w:style>
  <w:style w:type="paragraph" w:styleId="1062" w:customStyle="1">
    <w:name w:val="xl236"/>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37"/>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4" w:customStyle="1">
    <w:name w:val="xl238"/>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3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6" w:customStyle="1">
    <w:name w:val="xl240"/>
    <w:basedOn w:val="1024"/>
    <w:pPr>
      <w:pBdr/>
      <w:spacing w:after="100" w:afterAutospacing="1" w:before="100" w:beforeAutospacing="1"/>
      <w:ind/>
    </w:pPr>
  </w:style>
  <w:style w:type="paragraph" w:styleId="1067" w:customStyle="1">
    <w:name w:val="xl241"/>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42"/>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3"/>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44"/>
    <w:basedOn w:val="1024"/>
    <w:pPr>
      <w:pBdr/>
      <w:spacing w:after="100" w:afterAutospacing="1" w:before="100" w:beforeAutospacing="1"/>
      <w:ind/>
    </w:pPr>
    <w:rPr>
      <w:b/>
      <w:bCs/>
    </w:rPr>
  </w:style>
  <w:style w:type="paragraph" w:styleId="1071" w:customStyle="1">
    <w:name w:val="xl245"/>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46"/>
    <w:basedOn w:val="102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47"/>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4" w:customStyle="1">
    <w:name w:val="xl248"/>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4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50"/>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51"/>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2"/>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3"/>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4"/>
    <w:basedOn w:val="102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55"/>
    <w:basedOn w:val="102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6"/>
    <w:basedOn w:val="102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57"/>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8"/>
    <w:basedOn w:val="102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0"/>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61"/>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2"/>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63"/>
    <w:basedOn w:val="1024"/>
    <w:pPr>
      <w:pBdr/>
      <w:shd w:val="clear" w:color="000000" w:fill="ffffff"/>
      <w:spacing w:after="100" w:afterAutospacing="1" w:before="100" w:beforeAutospacing="1"/>
      <w:ind/>
    </w:pPr>
  </w:style>
  <w:style w:type="paragraph" w:styleId="1090" w:customStyle="1">
    <w:name w:val="xl264"/>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65"/>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66"/>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3" w:customStyle="1">
    <w:name w:val="xl267"/>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68"/>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69"/>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70"/>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71"/>
    <w:basedOn w:val="102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8" w:customStyle="1">
    <w:name w:val="xl272"/>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9" w:customStyle="1">
    <w:name w:val="xl273"/>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74"/>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75"/>
    <w:basedOn w:val="1024"/>
    <w:pPr>
      <w:pBdr/>
      <w:spacing w:after="100" w:afterAutospacing="1" w:before="100" w:beforeAutospacing="1"/>
      <w:ind/>
    </w:pPr>
  </w:style>
  <w:style w:type="paragraph" w:styleId="1102" w:customStyle="1">
    <w:name w:val="xl276"/>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77"/>
    <w:basedOn w:val="102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4" w:customStyle="1">
    <w:name w:val="xl278"/>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7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0"/>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7" w:customStyle="1">
    <w:name w:val="xl281"/>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8" w:customStyle="1">
    <w:name w:val="xl282"/>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3"/>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4"/>
    <w:basedOn w:val="1024"/>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5"/>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2" w:customStyle="1">
    <w:name w:val="xl286"/>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3" w:customStyle="1">
    <w:name w:val="xl287"/>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4" w:customStyle="1">
    <w:name w:val="xl288"/>
    <w:basedOn w:val="1024"/>
    <w:pPr>
      <w:pBdr>
        <w:top w:val="single" w:color="000000" w:sz="4" w:space="0"/>
        <w:left w:val="single" w:color="000000" w:sz="4" w:space="0"/>
        <w:right w:val="single" w:color="000000" w:sz="4" w:space="0"/>
      </w:pBdr>
      <w:spacing w:after="100" w:afterAutospacing="1" w:before="100" w:beforeAutospacing="1"/>
      <w:ind/>
    </w:pPr>
  </w:style>
  <w:style w:type="paragraph" w:styleId="1115" w:customStyle="1">
    <w:name w:val="xl289"/>
    <w:basedOn w:val="1024"/>
    <w:pPr>
      <w:pBdr>
        <w:left w:val="single" w:color="000000" w:sz="4" w:space="0"/>
        <w:right w:val="single" w:color="000000" w:sz="4" w:space="0"/>
      </w:pBdr>
      <w:spacing w:after="100" w:afterAutospacing="1" w:before="100" w:beforeAutospacing="1"/>
      <w:ind/>
    </w:pPr>
    <w:rPr>
      <w:b/>
      <w:bCs/>
    </w:rPr>
  </w:style>
  <w:style w:type="paragraph" w:styleId="1116" w:customStyle="1">
    <w:name w:val="xl290"/>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7" w:customStyle="1">
    <w:name w:val="xl291"/>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8" w:customStyle="1">
    <w:name w:val="xl292"/>
    <w:basedOn w:val="1024"/>
    <w:pPr>
      <w:pBdr>
        <w:top w:val="single" w:color="000000" w:sz="4" w:space="0"/>
        <w:left w:val="single" w:color="000000" w:sz="4" w:space="0"/>
        <w:right w:val="single" w:color="000000" w:sz="4" w:space="0"/>
      </w:pBdr>
      <w:spacing w:after="100" w:afterAutospacing="1" w:before="100" w:beforeAutospacing="1"/>
      <w:ind/>
    </w:pPr>
  </w:style>
  <w:style w:type="paragraph" w:styleId="1119" w:customStyle="1">
    <w:name w:val="xl293"/>
    <w:basedOn w:val="1024"/>
    <w:pPr>
      <w:pBdr>
        <w:left w:val="single" w:color="000000" w:sz="4" w:space="0"/>
        <w:bottom w:val="single" w:color="000000" w:sz="4" w:space="0"/>
        <w:right w:val="single" w:color="000000" w:sz="4" w:space="0"/>
      </w:pBdr>
      <w:spacing w:after="100" w:afterAutospacing="1" w:before="100" w:beforeAutospacing="1"/>
      <w:ind/>
    </w:pPr>
  </w:style>
  <w:style w:type="paragraph" w:styleId="1120" w:customStyle="1">
    <w:name w:val="xl294"/>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1">
    <w:name w:val="Title"/>
    <w:basedOn w:val="1024"/>
    <w:link w:val="1122"/>
    <w:qFormat/>
    <w:pPr>
      <w:pBdr/>
      <w:spacing/>
      <w:ind/>
      <w:jc w:val="center"/>
    </w:pPr>
    <w:rPr>
      <w:b/>
      <w:bCs/>
      <w:sz w:val="32"/>
      <w:szCs w:val="26"/>
    </w:rPr>
  </w:style>
  <w:style w:type="character" w:styleId="1122" w:customStyle="1">
    <w:name w:val="Title Char"/>
    <w:basedOn w:val="1029"/>
    <w:link w:val="1121"/>
    <w:pPr>
      <w:pBdr/>
      <w:spacing/>
      <w:ind/>
    </w:pPr>
    <w:rPr>
      <w:rFonts w:ascii="Times New Roman" w:hAnsi="Times New Roman" w:eastAsia="Times New Roman" w:cs="Times New Roman"/>
      <w:b/>
      <w:bCs/>
      <w:sz w:val="32"/>
      <w:szCs w:val="26"/>
    </w:rPr>
  </w:style>
  <w:style w:type="character" w:styleId="1123" w:customStyle="1">
    <w:name w:val="Unresolved Mention1"/>
    <w:basedOn w:val="1029"/>
    <w:uiPriority w:val="99"/>
    <w:semiHidden/>
    <w:unhideWhenUsed/>
    <w:pPr>
      <w:pBdr/>
      <w:spacing/>
      <w:ind/>
    </w:pPr>
    <w:rPr>
      <w:color w:val="605e5c"/>
      <w:shd w:val="clear" w:color="auto" w:fill="e1dfdd"/>
    </w:rPr>
  </w:style>
  <w:style w:type="character" w:styleId="1124" w:customStyle="1">
    <w:name w:val="Body text (3)_"/>
    <w:link w:val="1125"/>
    <w:pPr>
      <w:pBdr/>
      <w:spacing/>
      <w:ind/>
    </w:pPr>
    <w:rPr>
      <w:rFonts w:ascii="Times New Roman" w:hAnsi="Times New Roman" w:cs="Times New Roman"/>
      <w:i/>
      <w:iCs/>
      <w:spacing w:val="4"/>
      <w:shd w:val="clear" w:color="auto" w:fill="ffffff"/>
    </w:rPr>
  </w:style>
  <w:style w:type="paragraph" w:styleId="1125" w:customStyle="1">
    <w:name w:val="Body text (3)1"/>
    <w:basedOn w:val="1024"/>
    <w:link w:val="112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6" w:customStyle="1">
    <w:name w:val="t-j"/>
    <w:basedOn w:val="1024"/>
    <w:pPr>
      <w:pBdr/>
      <w:spacing w:after="100" w:afterAutospacing="1" w:before="100" w:beforeAutospacing="1"/>
      <w:ind/>
    </w:pPr>
  </w:style>
  <w:style w:type="character" w:styleId="1127" w:customStyle="1">
    <w:name w:val="Unresolved Mention2"/>
    <w:basedOn w:val="1029"/>
    <w:uiPriority w:val="99"/>
    <w:semiHidden/>
    <w:unhideWhenUsed/>
    <w:pPr>
      <w:pBdr/>
      <w:spacing/>
      <w:ind/>
    </w:pPr>
    <w:rPr>
      <w:color w:val="605e5c"/>
      <w:shd w:val="clear" w:color="auto" w:fill="e1dfdd"/>
    </w:rPr>
  </w:style>
  <w:style w:type="character" w:styleId="1128">
    <w:name w:val="FollowedHyperlink"/>
    <w:basedOn w:val="1029"/>
    <w:uiPriority w:val="99"/>
    <w:semiHidden/>
    <w:unhideWhenUsed/>
    <w:pPr>
      <w:pBdr/>
      <w:spacing/>
      <w:ind/>
    </w:pPr>
    <w:rPr>
      <w:color w:val="800080" w:themeColor="followedHyperlink"/>
      <w:u w:val="single"/>
    </w:rPr>
  </w:style>
  <w:style w:type="character" w:styleId="1129" w:customStyle="1">
    <w:name w:val="text"/>
    <w:basedOn w:val="1029"/>
    <w:pPr>
      <w:pBdr/>
      <w:spacing/>
      <w:ind/>
    </w:pPr>
  </w:style>
  <w:style w:type="character" w:styleId="1130" w:customStyle="1">
    <w:name w:val="card-send-time__sendtime"/>
    <w:basedOn w:val="1029"/>
    <w:pPr>
      <w:pBdr/>
      <w:spacing/>
      <w:ind/>
    </w:pPr>
  </w:style>
  <w:style w:type="character" w:styleId="1131" w:customStyle="1">
    <w:name w:val="Đề cập Chưa giải quyết1"/>
    <w:basedOn w:val="1029"/>
    <w:uiPriority w:val="99"/>
    <w:semiHidden/>
    <w:unhideWhenUsed/>
    <w:pPr>
      <w:pBdr/>
      <w:spacing/>
      <w:ind/>
    </w:pPr>
    <w:rPr>
      <w:color w:val="605e5c"/>
      <w:shd w:val="clear" w:color="auto" w:fill="e1dfdd"/>
    </w:rPr>
  </w:style>
  <w:style w:type="paragraph" w:styleId="1132" w:customStyle="1">
    <w:name w:val="nqtitle"/>
    <w:basedOn w:val="1024"/>
    <w:pPr>
      <w:pBdr/>
      <w:spacing w:after="100" w:afterAutospacing="1" w:before="100" w:beforeAutospacing="1"/>
      <w:ind/>
    </w:pPr>
    <w:rPr>
      <w:lang w:val="vi-VN" w:eastAsia="vi-VN"/>
    </w:rPr>
  </w:style>
  <w:style w:type="character" w:styleId="1133" w:customStyle="1">
    <w:name w:val="List Paragraph Char"/>
    <w:link w:val="1046"/>
    <w:uiPriority w:val="34"/>
    <w:qFormat/>
    <w:pPr>
      <w:pBdr/>
      <w:spacing/>
      <w:ind/>
    </w:pPr>
    <w:rPr>
      <w:rFonts w:ascii="Times New Roman" w:hAnsi="Times New Roman" w:eastAsia="Times New Roman" w:cs="Times New Roman"/>
      <w:sz w:val="24"/>
      <w:szCs w:val="24"/>
    </w:rPr>
  </w:style>
  <w:style w:type="character" w:styleId="1134" w:customStyle="1">
    <w:name w:val="Đề cập Chưa giải quyết2"/>
    <w:basedOn w:val="1029"/>
    <w:uiPriority w:val="99"/>
    <w:semiHidden/>
    <w:unhideWhenUsed/>
    <w:pPr>
      <w:pBdr/>
      <w:spacing/>
      <w:ind/>
    </w:pPr>
    <w:rPr>
      <w:color w:val="605e5c"/>
      <w:shd w:val="clear" w:color="auto" w:fill="e1dfdd"/>
    </w:rPr>
  </w:style>
  <w:style w:type="character" w:styleId="1135" w:customStyle="1">
    <w:name w:val="Unresolved Mention3"/>
    <w:basedOn w:val="1029"/>
    <w:uiPriority w:val="99"/>
    <w:semiHidden/>
    <w:unhideWhenUsed/>
    <w:pPr>
      <w:pBdr/>
      <w:spacing/>
      <w:ind/>
    </w:pPr>
    <w:rPr>
      <w:color w:val="605e5c"/>
      <w:shd w:val="clear" w:color="auto" w:fill="e1dfdd"/>
    </w:rPr>
  </w:style>
  <w:style w:type="character" w:styleId="1136" w:customStyle="1">
    <w:name w:val="copy"/>
    <w:basedOn w:val="1029"/>
    <w:pPr>
      <w:pBdr/>
      <w:spacing/>
      <w:ind/>
    </w:pPr>
  </w:style>
  <w:style w:type="paragraph" w:styleId="1137" w:customStyle="1">
    <w:name w:val="align-justify"/>
    <w:basedOn w:val="1024"/>
    <w:pPr>
      <w:pBdr/>
      <w:spacing w:after="100" w:afterAutospacing="1" w:before="100" w:beforeAutospacing="1"/>
      <w:ind/>
    </w:pPr>
  </w:style>
  <w:style w:type="character" w:styleId="1138" w:customStyle="1">
    <w:name w:val="btn"/>
    <w:basedOn w:val="1029"/>
    <w:pPr>
      <w:pBdr/>
      <w:spacing/>
      <w:ind/>
    </w:pPr>
  </w:style>
  <w:style w:type="character" w:styleId="1139" w:customStyle="1">
    <w:name w:val="hide_mobile"/>
    <w:basedOn w:val="1029"/>
    <w:pPr>
      <w:pBdr/>
      <w:spacing/>
      <w:ind/>
    </w:pPr>
  </w:style>
  <w:style w:type="character" w:styleId="1140">
    <w:name w:val="Emphasis"/>
    <w:basedOn w:val="1029"/>
    <w:uiPriority w:val="20"/>
    <w:qFormat/>
    <w:pPr>
      <w:pBdr/>
      <w:spacing/>
      <w:ind/>
    </w:pPr>
    <w:rPr>
      <w:i/>
      <w:iCs/>
    </w:rPr>
  </w:style>
  <w:style w:type="character" w:styleId="1141" w:customStyle="1">
    <w:name w:val="t1"/>
    <w:basedOn w:val="1029"/>
    <w:pPr>
      <w:pBdr/>
      <w:spacing/>
      <w:ind/>
    </w:pPr>
  </w:style>
  <w:style w:type="character" w:styleId="1142" w:customStyle="1">
    <w:name w:val="Unresolved Mention4"/>
    <w:basedOn w:val="1029"/>
    <w:uiPriority w:val="99"/>
    <w:semiHidden/>
    <w:unhideWhenUsed/>
    <w:pPr>
      <w:pBdr/>
      <w:spacing/>
      <w:ind/>
    </w:pPr>
    <w:rPr>
      <w:color w:val="605e5c"/>
      <w:shd w:val="clear" w:color="auto" w:fill="e1dfdd"/>
    </w:rPr>
  </w:style>
  <w:style w:type="character" w:styleId="1143">
    <w:name w:val="Unresolved Mention"/>
    <w:basedOn w:val="102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272</cp:revision>
  <dcterms:created xsi:type="dcterms:W3CDTF">2025-09-15T09:58:00Z</dcterms:created>
  <dcterms:modified xsi:type="dcterms:W3CDTF">2026-03-27T04:22:52Z</dcterms:modified>
</cp:coreProperties>
</file>