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9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92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275/2026/0449/VFI-CT.57.A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TRIỆU TUẤN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179, tờ bản đồ 102 có địa chỉ: </w:t>
                            </w:r>
                            <w:r>
                              <w:rPr>
                                <w:color w:val="000000"/>
                              </w:rPr>
                              <w:t xml:space="preserve">Khu 2, xã Cao Phong, tỉnh Phú Thọ</w:t>
                            </w:r>
                            <w:r>
                              <w:rPr>
                                <w:rFonts w:ascii="Times New Roman" w:hAnsi="Times New Roman" w:eastAsia="Times New Roman" w:cs="Times New Roman"/>
                                <w:color w:val="000000"/>
                                <w:sz w:val="24"/>
                              </w:rPr>
                              <w:t xml:space="preserve"> theo Giấ</w:t>
                            </w:r>
                            <w:r>
                              <w:rPr>
                                <w:rFonts w:ascii="Times New Roman" w:hAnsi="Times New Roman" w:eastAsia="Times New Roman" w:cs="Times New Roman"/>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iCs/>
                                <w:color w:val="000000"/>
                              </w:rPr>
                            </w:r>
                            <w:r>
                              <w:rPr>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275/2026/0449/VFI-CT.57.A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TRIỆU TUẤN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179, tờ bản đồ 102 có địa chỉ: </w:t>
                      </w:r>
                      <w:r>
                        <w:rPr>
                          <w:color w:val="000000"/>
                        </w:rPr>
                        <w:t xml:space="preserve">Khu 2, xã Cao Phong, tỉnh Phú Thọ</w:t>
                      </w:r>
                      <w:r>
                        <w:rPr>
                          <w:rFonts w:ascii="Times New Roman" w:hAnsi="Times New Roman" w:eastAsia="Times New Roman" w:cs="Times New Roman"/>
                          <w:color w:val="000000"/>
                          <w:sz w:val="24"/>
                        </w:rPr>
                        <w:t xml:space="preserve"> theo Giấ</w:t>
                      </w:r>
                      <w:r>
                        <w:rPr>
                          <w:rFonts w:ascii="Times New Roman" w:hAnsi="Times New Roman" w:eastAsia="Times New Roman" w:cs="Times New Roman"/>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iCs/>
                          <w:color w:val="000000"/>
                        </w:rPr>
                      </w:r>
                      <w:r>
                        <w:rPr>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54" w:type="dxa"/>
        <w:tblBorders/>
        <w:tblLayout w:type="fixed"/>
        <w:tblLook w:val="04A0" w:firstRow="1" w:lastRow="0" w:firstColumn="1" w:lastColumn="0" w:noHBand="0" w:noVBand="1"/>
      </w:tblPr>
      <w:tblGrid>
        <w:gridCol w:w="856"/>
        <w:gridCol w:w="3646"/>
        <w:gridCol w:w="5306"/>
        <w:gridCol w:w="46"/>
      </w:tblGrid>
      <w:tr>
        <w:trPr>
          <w:trHeight w:val="1152"/>
        </w:trPr>
        <w:tc>
          <w:tcPr>
            <w:gridSpan w:val="2"/>
            <w:tcBorders/>
            <w:tcW w:w="450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535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364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275/2026/0449/VFI-CT.57.A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0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lang w:val="pt-BR"/>
        </w:rPr>
        <w:t xml:space="preserve"> </w:t>
      </w:r>
      <w:r>
        <w:rPr>
          <w:rFonts w:ascii="Times New Roman Bold" w:hAnsi="Times New Roman Bold"/>
          <w:b/>
          <w:color w:val="000000" w:themeColor="text1"/>
          <w:lang w:val="pt-BR"/>
        </w:rPr>
        <w:t xml:space="preserve">ÔNG TRIỆU TUẤN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275/2026/0449/VFI-HĐTĐ.57.A</w:t>
      </w:r>
      <w:r>
        <w:rPr>
          <w:spacing w:val="-4"/>
          <w:lang w:val="vi-VN"/>
        </w:rPr>
        <w:t xml:space="preserve"> ký ngày </w:t>
      </w:r>
      <w:r>
        <w:rPr>
          <w:color w:val="000000" w:themeColor="text1"/>
          <w:spacing w:val="-4"/>
        </w:rPr>
        <w:t xml:space="preserve">20 tháng 3 năm 2026</w:t>
      </w:r>
      <w:r>
        <w:rPr>
          <w:spacing w:val="-4"/>
          <w:lang w:val="vi-VN"/>
        </w:rPr>
        <w:t xml:space="preserve"> </w:t>
      </w:r>
      <w:r>
        <w:rPr>
          <w:spacing w:val="-4"/>
          <w:lang w:val="vi-VN"/>
        </w:rPr>
        <w:t xml:space="preserve">giữa </w:t>
      </w:r>
      <w:r>
        <w:rPr>
          <w:color w:val="000000" w:themeColor="text1"/>
          <w:spacing w:val="-4"/>
        </w:rPr>
        <w:t xml:space="preserve">Ông Triệu Tuấn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rFonts w:ascii="Times New Roman" w:hAnsi="Times New Roman" w:cs="Times New Roman"/>
          <w:color w:val="auto"/>
          <w:spacing w:val="-2"/>
        </w:rPr>
      </w:pPr>
      <w:r>
        <w:rPr>
          <w:rFonts w:ascii="Times New Roman" w:hAnsi="Times New Roman" w:eastAsia="Times New Roman" w:cs="Times New Roman"/>
          <w:color w:val="auto"/>
          <w:spacing w:val="-2"/>
          <w:lang w:val="pt-BR"/>
        </w:rPr>
        <w:t xml:space="preserve">Căn</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cứ</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Báo</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cáo</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thẩm</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định</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giá</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số</w:t>
      </w:r>
      <w:r>
        <w:rPr>
          <w:rFonts w:ascii="Times New Roman" w:hAnsi="Times New Roman" w:eastAsia="Times New Roman" w:cs="Times New Roman"/>
          <w:color w:val="auto"/>
          <w:spacing w:val="-2"/>
          <w:lang w:val="vi-VN"/>
        </w:rPr>
        <w:t xml:space="preserve"> </w:t>
      </w:r>
      <w:r>
        <w:rPr>
          <w:rFonts w:ascii="Times New Roman" w:hAnsi="Times New Roman" w:eastAsia="Times New Roman" w:cs="Times New Roman"/>
          <w:color w:val="auto"/>
          <w:spacing w:val="3"/>
          <w:sz w:val="23"/>
          <w:highlight w:val="white"/>
        </w:rPr>
        <w:t xml:space="preserve">275/2026/0449/VFI-BC.57.A</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ngày</w:t>
      </w:r>
      <w:r>
        <w:rPr>
          <w:rFonts w:ascii="Times New Roman" w:hAnsi="Times New Roman" w:eastAsia="Times New Roman" w:cs="Times New Roman"/>
          <w:color w:val="auto"/>
          <w:spacing w:val="-2"/>
          <w:lang w:val="vi-VN"/>
        </w:rPr>
        <w:t xml:space="preserve"> </w:t>
      </w:r>
      <w:r>
        <w:rPr>
          <w:rFonts w:ascii="Times New Roman" w:hAnsi="Times New Roman" w:eastAsia="Times New Roman" w:cs="Times New Roman"/>
          <w:color w:val="auto"/>
          <w:spacing w:val="-2"/>
        </w:rPr>
        <w:t xml:space="preserve">24 tháng 3 năm 2026</w:t>
      </w:r>
      <w:r>
        <w:rPr>
          <w:rFonts w:ascii="Times New Roman" w:hAnsi="Times New Roman" w:eastAsia="Times New Roman" w:cs="Times New Roman"/>
          <w:color w:val="auto"/>
          <w:spacing w:val="-2"/>
          <w:lang w:val="vi-VN"/>
        </w:rPr>
        <w:t xml:space="preserve"> </w:t>
      </w:r>
      <w:r>
        <w:rPr>
          <w:rFonts w:ascii="Times New Roman" w:hAnsi="Times New Roman" w:eastAsia="Times New Roman" w:cs="Times New Roman"/>
          <w:color w:val="auto"/>
          <w:spacing w:val="-2"/>
          <w:lang w:val="pt-BR"/>
        </w:rPr>
        <w:t xml:space="preserve">của</w:t>
      </w:r>
      <w:r>
        <w:rPr>
          <w:rFonts w:ascii="Times New Roman" w:hAnsi="Times New Roman" w:eastAsia="Times New Roman" w:cs="Times New Roman"/>
          <w:color w:val="auto"/>
          <w:spacing w:val="-2"/>
          <w:lang w:val="pt-BR"/>
        </w:rPr>
        <w:t xml:space="preserve"> </w:t>
      </w:r>
      <w:r>
        <w:rPr>
          <w:rFonts w:ascii="Times New Roman" w:hAnsi="Times New Roman" w:eastAsia="Times New Roman" w:cs="Times New Roman"/>
          <w:color w:val="auto"/>
          <w:spacing w:val="-2"/>
          <w:lang w:val="pt-BR"/>
        </w:rPr>
        <w:t xml:space="preserve">Công ty Cổ phần Thẩm định và Đầu tư Tài chính Hoa Sen</w:t>
      </w:r>
      <w:r>
        <w:rPr>
          <w:rFonts w:ascii="Times New Roman" w:hAnsi="Times New Roman" w:eastAsia="Times New Roman" w:cs="Times New Roman"/>
          <w:color w:val="auto"/>
          <w:spacing w:val="-2"/>
          <w:lang w:val="pt-BR"/>
        </w:rPr>
        <w:t xml:space="preserve">;</w:t>
      </w:r>
      <w:r>
        <w:rPr>
          <w:rFonts w:ascii="Times New Roman" w:hAnsi="Times New Roman" w:cs="Times New Roman"/>
          <w:color w:val="auto"/>
          <w:spacing w:val="-2"/>
        </w:rPr>
      </w:r>
      <w:r>
        <w:rPr>
          <w:rFonts w:ascii="Times New Roman" w:hAnsi="Times New Roman" w:cs="Times New Roman"/>
          <w:color w:val="auto"/>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TRIỆU TUẤN LINH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017072005291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Khu 2, Xã Cao Phong, Tỉnh Phú Thọ</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179, tờ bản đồ 102 có địa chỉ: </w:t>
      </w:r>
      <w:r>
        <w:rPr>
          <w:color w:val="000000"/>
        </w:rPr>
        <w:t xml:space="preserve">Khu 2, xã Cao Phong, tỉnh Phú Thọ</w:t>
      </w:r>
      <w:r>
        <w:rPr>
          <w:rFonts w:ascii="Times New Roman" w:hAnsi="Times New Roman" w:eastAsia="Times New Roman" w:cs="Times New Roman"/>
          <w:color w:val="000000"/>
          <w:sz w:val="24"/>
        </w:rPr>
        <w:t xml:space="preserve"> theo Giấ</w:t>
      </w:r>
      <w:r>
        <w:rPr>
          <w:rFonts w:ascii="Times New Roman" w:hAnsi="Times New Roman" w:eastAsia="Times New Roman" w:cs="Times New Roman"/>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rFonts w:ascii="Times New Roman" w:hAnsi="Times New Roman" w:eastAsia="Times New Roman" w:cs="Times New Roman"/>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3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179, tờ bản đồ 102 có địa chỉ: </w:t>
            </w:r>
            <w:r>
              <w:rPr>
                <w:b/>
                <w:bCs/>
                <w:color w:val="000000"/>
              </w:rPr>
              <w:t xml:space="preserve">Khu 2, xã Cao Phong, tỉnh Phú Thọ</w:t>
            </w:r>
            <w:r>
              <w:rPr>
                <w:rFonts w:ascii="Times New Roman" w:hAnsi="Times New Roman" w:eastAsia="Times New Roman" w:cs="Times New Roman"/>
                <w:b/>
                <w:bCs/>
                <w:color w:val="000000"/>
                <w:sz w:val="24"/>
              </w:rPr>
              <w:t xml:space="preserve"> theo Giấ</w:t>
            </w:r>
            <w:r>
              <w:rPr>
                <w:rFonts w:ascii="Times New Roman" w:hAnsi="Times New Roman" w:eastAsia="Times New Roman" w:cs="Times New Roman"/>
                <w:b/>
                <w:bCs/>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376" w:type="dxa"/>
            <w:vAlign w:val="center"/>
            <w:textDirection w:val="lrTb"/>
            <w:noWrap w:val="false"/>
          </w:tcPr>
          <w:p>
            <w:pPr>
              <w:pBdr/>
              <w:spacing w:after="40" w:before="40" w:line="288" w:lineRule="auto"/>
              <w:ind/>
              <w:rPr/>
            </w:pPr>
            <w:r>
              <w:rPr>
                <w:b w:val="0"/>
                <w:bCs w:val="0"/>
              </w:rPr>
              <w:t xml:space="preserve">Đất ở tại nông th</w:t>
            </w:r>
            <w:r>
              <w:rPr>
                <w:b w:val="0"/>
                <w:bCs w:val="0"/>
              </w:rPr>
              <w:t xml:space="preserve">ô</w:t>
            </w:r>
            <w:r>
              <w:rPr>
                <w:b w:val="0"/>
                <w:bCs w:val="0"/>
              </w:rPr>
              <w:t xml:space="preserve">n</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12.700.000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1.143.000.000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1.143.000.000</w:t>
            </w:r>
            <w:r>
              <w:rPr>
                <w:b/>
                <w:bCs/>
                <w:color w:val="000000"/>
              </w:rPr>
            </w:r>
            <w:r>
              <w:rPr>
                <w:b/>
                <w:bCs/>
                <w:color w:val="000000"/>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1.143.000.000</w:t>
            </w:r>
            <w:r>
              <w:rPr>
                <w:b/>
                <w:bCs/>
                <w:color w:val="000000"/>
              </w:rPr>
            </w:r>
            <w:r>
              <w:rPr>
                <w:b/>
                <w:bCs/>
                <w:color w:val="000000"/>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một trăm bốn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96" w:type="dxa"/>
        <w:tblBorders/>
        <w:tblLayout w:type="fixed"/>
        <w:tblLook w:val="04A0" w:firstRow="1" w:lastRow="0" w:firstColumn="1" w:lastColumn="0" w:noHBand="0" w:noVBand="1"/>
      </w:tblPr>
      <w:tblGrid>
        <w:gridCol w:w="29"/>
        <w:gridCol w:w="3481"/>
        <w:gridCol w:w="6440"/>
        <w:gridCol w:w="46"/>
      </w:tblGrid>
      <w:tr>
        <w:trPr>
          <w:trHeight w:val="1152"/>
        </w:trPr>
        <w:tc>
          <w:tcPr>
            <w:gridSpan w:val="2"/>
            <w:tcBorders/>
            <w:tcW w:w="351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48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348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275/2026/0449/VFI-BC.57.A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40"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275/2026/0449/VFI-CT.57.A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TRIỆU TUẤN LINH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017072005291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Khu 2, Xã Cao Phong, Tỉnh Phú Thọ</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179, tờ bản đồ 102 có địa chỉ: </w:t>
            </w:r>
            <w:r>
              <w:rPr>
                <w:color w:val="000000"/>
              </w:rPr>
              <w:t xml:space="preserve">Khu 2, xã Cao Phong, tỉnh Phú Thọ</w:t>
            </w:r>
            <w:r>
              <w:rPr>
                <w:rFonts w:ascii="Times New Roman" w:hAnsi="Times New Roman" w:eastAsia="Times New Roman" w:cs="Times New Roman"/>
                <w:color w:val="000000"/>
                <w:sz w:val="24"/>
              </w:rPr>
              <w:t xml:space="preserve"> theo Giấ</w:t>
            </w:r>
            <w:r>
              <w:rPr>
                <w:rFonts w:ascii="Times New Roman" w:hAnsi="Times New Roman" w:eastAsia="Times New Roman" w:cs="Times New Roman"/>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rFonts w:ascii="Times New Roman" w:hAnsi="Times New Roman" w:eastAsia="Times New Roman" w:cs="Times New Roman"/>
                <w:color w:val="000000"/>
                <w:sz w:val="24"/>
              </w:rPr>
              <w:t xml:space="preserve">.</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rPr>
              <w:t xml:space="preserve">Khu 2, xã Cao Phong, tỉnh Phú Thọ</w:t>
            </w:r>
            <w:r>
              <w:rPr>
                <w:color w:val="ee0000"/>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20.7198649, 105.3215551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w:t>
      </w:r>
      <w:r>
        <w:rPr>
          <w:rFonts w:ascii="Times New Roman" w:hAnsi="Times New Roman" w:eastAsia="Times New Roman" w:cs="Times New Roman"/>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rFonts w:ascii="Times New Roman" w:hAnsi="Times New Roman" w:eastAsia="Times New Roman" w:cs="Times New Roman"/>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bCs/>
          <w:lang w:val="pt-BR"/>
        </w:rPr>
      </w:pPr>
      <w:r>
        <w:rPr>
          <w:lang w:val="pt-BR"/>
        </w:rPr>
      </w:r>
      <w:r>
        <w:rPr>
          <w:rFonts w:ascii="Times New Roman" w:hAnsi="Times New Roman" w:eastAsia="Times New Roman" w:cs="Times New Roman"/>
          <w:color w:val="auto"/>
          <w:lang w:val="pt-BR"/>
        </w:rPr>
        <w:t xml:space="preserve">Hợp đồng dịch vụ thẩm định giá số </w:t>
      </w:r>
      <w:r>
        <w:rPr>
          <w:rFonts w:ascii="Times New Roman" w:hAnsi="Times New Roman" w:eastAsia="Times New Roman" w:cs="Times New Roman"/>
          <w:color w:val="auto"/>
          <w:spacing w:val="3"/>
          <w:sz w:val="23"/>
          <w:highlight w:val="white"/>
        </w:rPr>
        <w:t xml:space="preserve">275/2026/0449/VFI-HĐTĐ.57.A</w:t>
      </w:r>
      <w:r>
        <w:rPr>
          <w:rFonts w:ascii="Times New Roman" w:hAnsi="Times New Roman" w:eastAsia="Times New Roman" w:cs="Times New Roman"/>
          <w:color w:val="auto"/>
          <w:lang w:val="pt-BR"/>
        </w:rPr>
        <w:t xml:space="preserve"> ngày 20/3/2026 giữa ông Triệu Tuấn Linh với Công ty Cổ phần Thẩm định và Đầu tư Tài chính Hoa Sen;</w:t>
      </w:r>
      <w:r>
        <w:rPr>
          <w:b/>
          <w:lang w:val="pt-BR"/>
        </w:rPr>
      </w:r>
      <w:r>
        <w:rPr>
          <w:b/>
          <w:bCs/>
          <w:lang w:val="pt-BR"/>
        </w:rPr>
      </w:r>
    </w:p>
    <w:p>
      <w:pPr>
        <w:pStyle w:val="1033"/>
        <w:numPr>
          <w:ilvl w:val="0"/>
          <w:numId w:val="2"/>
        </w:numPr>
        <w:pBdr/>
        <w:tabs>
          <w:tab w:val="left" w:leader="none" w:pos="993"/>
        </w:tabs>
        <w:spacing w:after="120" w:before="120" w:line="276" w:lineRule="auto"/>
        <w:ind/>
        <w:jc w:val="both"/>
        <w:rPr>
          <w:b/>
          <w:bCs/>
          <w:lang w:val="pt-BR"/>
        </w:rPr>
      </w:pPr>
      <w:r>
        <w:rPr>
          <w:b w:val="0"/>
          <w:bCs w:val="0"/>
          <w:highlight w:val="none"/>
          <w:lang w:val="pt-BR" w:bidi="pt-BR"/>
        </w:rPr>
        <w:t xml:space="preserve">H</w:t>
      </w:r>
      <w:r>
        <w:rPr>
          <w:lang w:val="pt-BR"/>
        </w:rPr>
        <w:t xml:space="preserve">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highlight w:val="none"/>
          <w:lang w:val="pt-BR"/>
        </w:rPr>
      </w:r>
      <w:r>
        <w:rPr>
          <w:b/>
          <w:bCs/>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50" w:before="120" w:line="360" w:lineRule="atLeast"/>
        <w:ind w:right="0" w:firstLine="283" w:left="0"/>
        <w:jc w:val="both"/>
        <w:rPr>
          <w:rFonts w:ascii="Times New Roman" w:hAnsi="Times New Roman" w:cs="Times New Roman"/>
          <w:color w:val="auto"/>
          <w:sz w:val="24"/>
          <w:szCs w:val="24"/>
        </w:rPr>
      </w:pPr>
      <w:r>
        <w:rPr>
          <w:rFonts w:ascii="Times New Roman" w:hAnsi="Times New Roman" w:eastAsia="Times New Roman" w:cs="Times New Roman"/>
          <w:b w:val="0"/>
          <w:bCs w:val="0"/>
          <w:color w:val="auto"/>
          <w:sz w:val="24"/>
          <w:szCs w:val="24"/>
        </w:rPr>
        <w:t xml:space="preserve">Năm 2025 được xem là thời điểm bản lề của thị trường bất động sản Phú Thọ, khi khu vực này bắt đầu thoát khỏi trạng thái trầm lắng kéo dài để bước sang giai đoạn tái định vị trên bản đồ đầu tư. Những chuyển động về giá, nguồn cung và thanh khoản trong năm </w:t>
      </w:r>
      <w:r>
        <w:rPr>
          <w:rFonts w:ascii="Times New Roman" w:hAnsi="Times New Roman" w:eastAsia="Times New Roman" w:cs="Times New Roman"/>
          <w:b w:val="0"/>
          <w:bCs w:val="0"/>
          <w:color w:val="auto"/>
          <w:sz w:val="24"/>
          <w:szCs w:val="24"/>
        </w:rPr>
        <w:t xml:space="preserve">qua đang tạo nền tảng quan trọng, mở ra kỳ vọng cho một chu kỳ tăng trưởng mới trong năm 2026</w:t>
      </w:r>
      <w:r>
        <w:rPr>
          <w:rFonts w:ascii="Times New Roman" w:hAnsi="Times New Roman" w:eastAsia="Times New Roman" w:cs="Times New Roman"/>
          <w:b/>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10" w:before="120" w:line="358" w:lineRule="atLeast"/>
        <w:ind w:right="0" w:firstLine="283"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w:t>
      </w:r>
      <w:r>
        <w:rPr>
          <w:rFonts w:ascii="Times New Roman" w:hAnsi="Times New Roman" w:eastAsia="Times New Roman" w:cs="Times New Roman"/>
          <w:b/>
          <w:color w:val="auto"/>
          <w:sz w:val="24"/>
          <w:szCs w:val="24"/>
        </w:rPr>
        <w:t xml:space="preserve">Cục diện” BĐS Phú Thọ trong năm 2025</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10" w:before="120" w:line="358" w:lineRule="atLeast"/>
        <w:ind w:right="0" w:firstLine="283"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Năm 2025 đánh dấu bước ngoặt quan trọng của thị trường bất động sản Phú Thọ sau nhiều năm tăng trưởng chậm. Ghi nhận từ thị trường cho thấy mặt bằng giá đất nền tại các khu vực có hạ tầng hoàn chỉnh, gần khu công nghiệp và trục giao thông chính đã tăng kho</w:t>
      </w:r>
      <w:r>
        <w:rPr>
          <w:rFonts w:ascii="Times New Roman" w:hAnsi="Times New Roman" w:eastAsia="Times New Roman" w:cs="Times New Roman"/>
          <w:color w:val="auto"/>
          <w:sz w:val="24"/>
          <w:szCs w:val="24"/>
        </w:rPr>
        <w:t xml:space="preserve">ảng 10–20% so với giai đoạn 2023–2024, trong khi thanh khoản cải thiện chủ yếu ở những sản phẩm có khả năng khai thác thực.</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10" w:before="120" w:line="358" w:lineRule="atLeast"/>
        <w:ind w:right="0" w:firstLine="283" w:left="0"/>
        <w:jc w:val="both"/>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rPr>
        <w:t xml:space="preserve">Đất nền tiếp tục là phân khúc dẫn dắt thị trường trong năm 2025 nhờ mức giá còn thấp hơn đáng kể so với các tỉnh vệ tinh Hà Nội. Tuy nhiên, giao dịch chỉ tập trung vào những lô đất có pháp lý rõ ràng, nằm trong khu dân cư hiện hữu. Nhà liền kề và đất ở gần</w:t>
      </w:r>
      <w:r>
        <w:rPr>
          <w:rFonts w:ascii="Times New Roman" w:hAnsi="Times New Roman" w:eastAsia="Times New Roman" w:cs="Times New Roman"/>
          <w:color w:val="auto"/>
          <w:sz w:val="24"/>
          <w:szCs w:val="24"/>
        </w:rPr>
        <w:t xml:space="preserve"> khu công nghiệp ghi nhận tốc độ hấp thụ tốt hơn nhờ nhu cầu ở thực của lực lượng lao động, kỹ sư và chuyên gia, thay vì nhu cầu đầu cơ ngắn hạn.</w:t>
      </w:r>
      <w:r>
        <w:rPr>
          <w:rFonts w:ascii="Times New Roman" w:hAnsi="Times New Roman" w:eastAsia="Times New Roman" w:cs="Times New Roman"/>
          <w:color w:val="auto"/>
          <w:sz w:val="24"/>
          <w:szCs w:val="24"/>
          <w:highlight w:val="none"/>
        </w:rPr>
      </w:r>
      <w:r>
        <w:rPr>
          <w:rFonts w:ascii="Times New Roman" w:hAnsi="Times New Roman" w:eastAsia="Times New Roman" w:cs="Times New Roman"/>
          <w:color w:val="auto"/>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210" w:before="120" w:line="358" w:lineRule="atLeast"/>
        <w:ind w:right="0" w:firstLine="283"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Ở phân khúc đất công nghiệp, Phú Thọ nổi lên như một điểm đến mới trong làn sóng dịch chuyển sản xuất. Nguồn cung đất khu công nghiệp trong khu vực tiếp tục được mở rộng trong năm 2025, tỷ lệ lấp đầy tại một số khu công nghiệp trọng điểm cải thiện rõ rệt, </w:t>
      </w:r>
      <w:r>
        <w:rPr>
          <w:rFonts w:ascii="Times New Roman" w:hAnsi="Times New Roman" w:eastAsia="Times New Roman" w:cs="Times New Roman"/>
          <w:color w:val="auto"/>
          <w:sz w:val="24"/>
          <w:szCs w:val="24"/>
        </w:rPr>
        <w:t xml:space="preserve">kéo theo nhu cầu lớn về nhà ở và dịch vụ phụ trợ. Giá thuê và giá chuyển nhượng đất công nghiệp duy trì xu hướng tăng ổn định, tạo lực đỡ dài hạn cho thị trường bất động sản khu vực.</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10" w:before="120" w:line="358" w:lineRule="atLeast"/>
        <w:ind w:right="0" w:firstLine="283"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Đáng chú ý, năm 2025 việc sáp nhập và mở rộng địa giới giúp tái cấu trúc không gian đô thị, kéo theo điều chỉnh quy hoạch, phân bổ lại hạ tầng và nguồn lực đầu tư công. Thực tế thị trường năm 2025 cho thấy, giá đất tại một số khu vực liên quan trực tiếp đế</w:t>
      </w:r>
      <w:r>
        <w:rPr>
          <w:rFonts w:ascii="Times New Roman" w:hAnsi="Times New Roman" w:eastAsia="Times New Roman" w:cs="Times New Roman"/>
          <w:color w:val="auto"/>
          <w:sz w:val="24"/>
          <w:szCs w:val="24"/>
        </w:rPr>
        <w:t xml:space="preserve">n sáp nhập đã ghi nhận mức tăng rõ rệt so với mặt bằng chung, nhưng chủ yếu tập trung ở các vị trí có khả năng khai thác thực. Dù không còn là thông tin mới trên thị trường bất động sản, nhưng tại Phú Thọ, yếu tố này đang được nhìn nhận theo hướng thực chấ</w:t>
      </w:r>
      <w:r>
        <w:rPr>
          <w:rFonts w:ascii="Times New Roman" w:hAnsi="Times New Roman" w:eastAsia="Times New Roman" w:cs="Times New Roman"/>
          <w:color w:val="auto"/>
          <w:sz w:val="24"/>
          <w:szCs w:val="24"/>
        </w:rPr>
        <w:t xml:space="preserve">t hơ</w:t>
      </w:r>
      <w:r>
        <w:rPr>
          <w:rFonts w:ascii="Times New Roman" w:hAnsi="Times New Roman" w:eastAsia="Times New Roman" w:cs="Times New Roman"/>
          <w:color w:val="auto"/>
          <w:sz w:val="24"/>
          <w:szCs w:val="24"/>
        </w:rPr>
        <w:t xml:space="preserve">n, t</w:t>
      </w:r>
      <w:r>
        <w:rPr>
          <w:rFonts w:ascii="Times New Roman" w:hAnsi="Times New Roman" w:eastAsia="Times New Roman" w:cs="Times New Roman"/>
          <w:color w:val="auto"/>
          <w:sz w:val="24"/>
          <w:szCs w:val="24"/>
        </w:rPr>
        <w:t xml:space="preserve">hay vì chỉ mang tính kỳ vọng như các giai đoạn trước.</w:t>
      </w:r>
      <w:r>
        <w:rPr>
          <w:rFonts w:ascii="Times New Roman" w:hAnsi="Times New Roman" w:cs="Times New Roman"/>
          <w:color w:val="auto"/>
          <w:sz w:val="24"/>
          <w:szCs w:val="24"/>
        </w:rPr>
      </w:r>
      <w:r>
        <w:rPr>
          <w:rFonts w:ascii="Times New Roman" w:hAnsi="Times New Roman" w:cs="Times New Roman"/>
          <w:color w:val="auto"/>
          <w:sz w:val="24"/>
          <w:szCs w:val="24"/>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179, tờ bản đồ 102 có địa chỉ: </w:t>
            </w:r>
            <w:r>
              <w:rPr>
                <w:b/>
                <w:bCs/>
                <w:color w:val="000000"/>
              </w:rPr>
              <w:t xml:space="preserve">Khu 2, xã Cao Phong, tỉnh Phú Thọ</w:t>
            </w:r>
            <w:r>
              <w:rPr>
                <w:rFonts w:ascii="Times New Roman" w:hAnsi="Times New Roman" w:eastAsia="Times New Roman" w:cs="Times New Roman"/>
                <w:b/>
                <w:bCs/>
                <w:color w:val="000000"/>
                <w:sz w:val="24"/>
              </w:rPr>
              <w:t xml:space="preserve"> theo Giấ</w:t>
            </w:r>
            <w:r>
              <w:rPr>
                <w:rFonts w:ascii="Times New Roman" w:hAnsi="Times New Roman" w:eastAsia="Times New Roman" w:cs="Times New Roman"/>
                <w:b/>
                <w:bCs/>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102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 </w:t>
            </w:r>
            <w:r>
              <w:rPr>
                <w:color w:val="000000"/>
              </w:rPr>
              <w:t xml:space="preserve">Khu 2, xã Cao Phong, tỉnh Phú Thọ</w:t>
            </w:r>
            <w:r>
              <w:rPr>
                <w:color w:val="000000"/>
              </w:rPr>
            </w:r>
            <w:r>
              <w:rPr>
                <w:color w:val="000000"/>
              </w:rPr>
            </w:r>
          </w:p>
        </w:tc>
      </w:tr>
      <w:tr>
        <w:trPr>
          <w:trHeight w:val="52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QL6 khoảng 400m.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 Hướng Đông Bắc: tiếp giáp với đường giao thông;</w:t>
            </w:r>
            <w:r>
              <w:rPr>
                <w:highlight w:val="none"/>
              </w:rPr>
            </w:r>
            <w:r>
              <w:rPr>
                <w:highlight w:val="none"/>
              </w:rPr>
            </w:r>
          </w:p>
          <w:p>
            <w:pPr>
              <w:pBdr/>
              <w:spacing/>
              <w:ind/>
              <w:rPr>
                <w:highlight w:val="none"/>
              </w:rPr>
            </w:pPr>
            <w:r>
              <w:rPr>
                <w:highlight w:val="none"/>
              </w:rPr>
              <w:t xml:space="preserve">+ Hướng Tây Nam: tiếp giáp với mương; </w:t>
            </w:r>
            <w:r>
              <w:rPr>
                <w:highlight w:val="none"/>
              </w:rPr>
            </w:r>
            <w:r>
              <w:rPr>
                <w:highlight w:val="none"/>
              </w:rPr>
            </w:r>
          </w:p>
          <w:p>
            <w:pPr>
              <w:pBdr/>
              <w:spacing/>
              <w:ind/>
              <w:rPr>
                <w:color w:val="000000" w:themeColor="text1"/>
              </w:rPr>
            </w:pPr>
            <w:r>
              <w:rPr>
                <w:highlight w:val="none"/>
              </w:rPr>
              <w:t xml:space="preserve">+ Các hướng còn lại: tiếp giáp với thửa đất khác</w:t>
            </w:r>
            <w:r>
              <w:rPr>
                <w:highlight w:val="none"/>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20.7198649</w:t>
            </w:r>
            <w:r>
              <w:rPr>
                <w:color w:val="000000"/>
              </w:rPr>
              <w:t xml:space="preserve">, </w:t>
            </w:r>
            <w:r>
              <w:rPr>
                <w:color w:val="000000"/>
              </w:rPr>
              <w:t xml:space="preserve">105.3215551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50606" cy="2851766"/>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50606" cy="28517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18pt;height:224.5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2, xã Cao Phong, tỉnh Phú Thọ</w:t>
            </w:r>
            <w:r/>
          </w:p>
        </w:tc>
        <w:tc>
          <w:tcPr>
            <w:tcBorders/>
            <w:tcW w:w="1605" w:type="dxa"/>
            <w:vAlign w:val="center"/>
            <w:textDirection w:val="lrTb"/>
            <w:noWrap w:val="false"/>
          </w:tcPr>
          <w:p>
            <w:pPr>
              <w:pBdr/>
              <w:spacing/>
              <w:ind/>
              <w:jc w:val="center"/>
              <w:rPr/>
            </w:pPr>
            <w:r>
              <w:t xml:space="preserve">Khu 2, xã Cao Phong, tỉnh Phú Thọ</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Thị trấn Cao Phong, Huyện Cao Phong, Tỉnh Hoà Bình</w:t>
            </w:r>
            <w:r/>
          </w:p>
        </w:tc>
        <w:tc>
          <w:tcPr>
            <w:tcBorders/>
            <w:tcW w:w="1605" w:type="dxa"/>
            <w:vAlign w:val="center"/>
            <w:textDirection w:val="lrTb"/>
            <w:noWrap w:val="false"/>
          </w:tcPr>
          <w:p>
            <w:pPr>
              <w:pBdr/>
              <w:spacing/>
              <w:ind/>
              <w:jc w:val="center"/>
              <w:rPr/>
            </w:pPr>
            <w:r>
              <w:t xml:space="preserve">Thị trấn Cao Phong, Huyện Cao Phong, Tỉnh Hoà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7,0</w:t>
            </w:r>
            <w:r/>
          </w:p>
        </w:tc>
        <w:tc>
          <w:tcPr>
            <w:tcBorders/>
            <w:tcW w:w="1605" w:type="dxa"/>
            <w:vAlign w:val="center"/>
            <w:textDirection w:val="lrTb"/>
            <w:noWrap w:val="false"/>
          </w:tcPr>
          <w:p>
            <w:pPr>
              <w:pBdr/>
              <w:spacing/>
              <w:ind/>
              <w:jc w:val="center"/>
              <w:rPr/>
            </w:pPr>
            <w:r>
              <w:t xml:space="preserve">7,0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90,0</w:t>
            </w:r>
            <w:r/>
          </w:p>
        </w:tc>
        <w:tc>
          <w:tcPr>
            <w:tcBorders/>
            <w:tcW w:w="1605" w:type="dxa"/>
            <w:vAlign w:val="center"/>
            <w:textDirection w:val="lrTb"/>
            <w:noWrap w:val="false"/>
          </w:tcPr>
          <w:p>
            <w:pPr>
              <w:pBdr/>
              <w:spacing/>
              <w:ind/>
              <w:jc w:val="center"/>
              <w:rPr/>
            </w:pPr>
            <w:r>
              <w:t xml:space="preserve">90,0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18,0</w:t>
            </w:r>
            <w:r/>
          </w:p>
        </w:tc>
        <w:tc>
          <w:tcPr>
            <w:tcBorders/>
            <w:tcW w:w="1605" w:type="dxa"/>
            <w:vAlign w:val="center"/>
            <w:textDirection w:val="lrTb"/>
            <w:noWrap w:val="false"/>
          </w:tcPr>
          <w:p>
            <w:pPr>
              <w:pBdr/>
              <w:spacing/>
              <w:ind/>
              <w:jc w:val="center"/>
              <w:rPr/>
            </w:pPr>
            <w:r>
              <w:t xml:space="preserve">18,0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01 mặt tiền</w:t>
            </w:r>
            <w:r/>
          </w:p>
        </w:tc>
        <w:tc>
          <w:tcPr>
            <w:tcBorders/>
            <w:tcW w:w="1605" w:type="dxa"/>
            <w:vAlign w:val="center"/>
            <w:textDirection w:val="lrTb"/>
            <w:noWrap w:val="false"/>
          </w:tcPr>
          <w:p>
            <w:pPr>
              <w:pBdr/>
              <w:spacing/>
              <w:ind/>
              <w:jc w:val="center"/>
              <w:rPr/>
            </w:pPr>
            <w:r>
              <w:t xml:space="preserve">Tiếp giáp 01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Bắc</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Cao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Cao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Cao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Cao Phong, Huyện Cao Phong, Tỉnh Hoà Bình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https://www.facebook.com/groups/256170749404562/posts/1440050424349916/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0942.897688</w:t>
            </w:r>
            <w:r>
              <w:rPr>
                <w:sz w:val="22"/>
                <w:szCs w:val="22"/>
              </w:rPr>
              <w:t xml:space="preserve"> </w:t>
            </w:r>
            <w:r>
              <w:rPr>
                <w:sz w:val="22"/>
                <w:szCs w:val="22"/>
              </w:rPr>
              <w:br/>
              <w:t xml:space="preserve">(C.</w:t>
            </w:r>
            <w:r>
              <w:rPr>
                <w:sz w:val="22"/>
                <w:szCs w:val="22"/>
              </w:rPr>
              <w:t xml:space="preserve">Nhung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0398.490363</w:t>
            </w:r>
            <w:r>
              <w:rPr>
                <w:sz w:val="22"/>
                <w:szCs w:val="22"/>
              </w:rPr>
              <w:br/>
            </w:r>
            <w:r>
              <w:rPr>
                <w:sz w:val="22"/>
                <w:szCs w:val="22"/>
              </w:rPr>
              <w:t xml:space="preserve">(C.</w:t>
            </w:r>
            <w:r>
              <w:rPr>
                <w:sz w:val="22"/>
                <w:szCs w:val="22"/>
              </w:rPr>
              <w:t xml:space="preserve">Nga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0929.229265</w:t>
            </w:r>
            <w:r>
              <w:rPr>
                <w:sz w:val="22"/>
                <w:szCs w:val="22"/>
              </w:rPr>
              <w:br/>
            </w:r>
            <w:r>
              <w:rPr>
                <w:sz w:val="22"/>
                <w:szCs w:val="22"/>
              </w:rPr>
              <w:t xml:space="preserve">(</w:t>
            </w:r>
            <w:r>
              <w:rPr>
                <w:sz w:val="22"/>
                <w:szCs w:val="22"/>
              </w:rPr>
              <w:t xml:space="preserve">Thế Chu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rPr>
              <w:t xml:space="preserve">Khu 2, Xã Cao Phong, Tỉnh Phú Thọ</w:t>
            </w:r>
            <w:r>
              <w:rPr>
                <w:color w:val="000000" w:themeColor="text1"/>
                <w:sz w:val="22"/>
                <w:szCs w:val="22"/>
              </w:rPr>
              <w:t xml:space="preserve">), cách QL6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rPr>
              <w:t xml:space="preserve">Khu 2, Xã Cao Phong, Tỉnh Phú Thọ</w:t>
            </w:r>
            <w:r>
              <w:rPr>
                <w:color w:val="000000" w:themeColor="text1"/>
                <w:sz w:val="22"/>
                <w:szCs w:val="22"/>
              </w:rPr>
              <w:t xml:space="preserve">), khoảng cách ra đường chính cách QL6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rPr>
              <w:t xml:space="preserve">Khu 2, Xã Cao Phong, Tỉnh Phú Thọ</w:t>
            </w:r>
            <w:r>
              <w:rPr>
                <w:color w:val="000000" w:themeColor="text1"/>
                <w:sz w:val="22"/>
                <w:szCs w:val="22"/>
              </w:rPr>
              <w:t xml:space="preserve">), khoảng cách ra đường chính Cách QL6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rPr>
              <w:t xml:space="preserve">Khu 2, Xã Cao Phong, Tỉnh Phú Thọ</w:t>
            </w:r>
            <w:r>
              <w:rPr>
                <w:color w:val="000000" w:themeColor="text1"/>
                <w:sz w:val="22"/>
                <w:szCs w:val="22"/>
              </w:rPr>
              <w:t xml:space="preserve">), khoảng cách ra đường chính Cách đường QL6 khoảng 400m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1.056.000.000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1.320.000.000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14.080.000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14.666.667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13.800.000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1802"/>
        <w:gridCol w:w="1030"/>
        <w:gridCol w:w="1522"/>
        <w:gridCol w:w="1522"/>
        <w:gridCol w:w="1522"/>
        <w:gridCol w:w="1522"/>
      </w:tblGrid>
      <w:tr>
        <w:trPr>
          <w:trHeight w:val="20"/>
          <w:tblHeader/>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1.056.000.000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1.035.000.000</w:t>
            </w:r>
            <w:r>
              <w:rPr>
                <w:color w:val="000000"/>
                <w:sz w:val="20"/>
                <w:szCs w:val="20"/>
              </w:rPr>
            </w:r>
            <w:r>
              <w:rPr>
                <w:color w:val="000000"/>
                <w:sz w:val="20"/>
                <w:szCs w:val="20"/>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14.080.000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14.666.667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13.800.000</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13.800.000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rPr>
              <w:t xml:space="preserve">Khu 2, Xã Cao Phong, Tỉnh Phú Thọ</w:t>
            </w:r>
            <w:r>
              <w:rPr>
                <w:color w:val="000000" w:themeColor="text1"/>
                <w:sz w:val="22"/>
                <w:szCs w:val="22"/>
              </w:rPr>
              <w:t xml:space="preserve">), cách QL6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rPr>
              <w:t xml:space="preserve">Khu 2, Xã Cao Phong, Tỉnh Phú Thọ</w:t>
            </w:r>
            <w:r>
              <w:rPr>
                <w:color w:val="000000" w:themeColor="text1"/>
                <w:sz w:val="22"/>
                <w:szCs w:val="22"/>
              </w:rPr>
              <w:t xml:space="preserve">), khoảng cách ra đường chính cách QL6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themeColor="text1"/>
                <w:sz w:val="22"/>
                <w:szCs w:val="22"/>
              </w:rPr>
              <w:t xml:space="preserve">(</w:t>
            </w:r>
            <w:r>
              <w:rPr>
                <w:i/>
                <w:iCs/>
                <w:color w:val="000000"/>
              </w:rPr>
              <w:t xml:space="preserve">Khu 2, Xã Cao Phong, Tỉnh Phú Thọ</w:t>
            </w:r>
            <w:r>
              <w:rPr>
                <w:color w:val="000000" w:themeColor="text1"/>
                <w:sz w:val="22"/>
                <w:szCs w:val="22"/>
              </w:rPr>
              <w:t xml:space="preserve">), khoảng cách ra đường chính Cách QL6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i/>
                <w:iCs/>
                <w:color w:val="000000"/>
              </w:rPr>
              <w:t xml:space="preserve">Khu 2, Xã Cao Phong, Tỉnh Phú Thọ</w:t>
            </w:r>
            <w:r>
              <w:rPr>
                <w:color w:val="000000" w:themeColor="text1"/>
                <w:sz w:val="22"/>
                <w:szCs w:val="22"/>
              </w:rPr>
              <w:t xml:space="preserve">), khoảng cách ra đường chính Cách đường QL6 khoảng 400m</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-414.000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13.192.000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13.386.000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-690.000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13.933.334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12.696.000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14.373.334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12.696.000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-552.000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12.404.800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14.373.334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12.144.000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12.404.800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14.373.334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12.972.000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10.996.800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14.373.334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12.972.000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10.996.800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14.373.334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12.972.000</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02"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10.996.800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14.373.334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12.972.000</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12.780.711</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3.083.200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2.484.000</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3.083.200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293.333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828.000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300"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-13.96</w:t>
      </w:r>
      <w:r>
        <w:t xml:space="preserve">% </w:t>
      </w:r>
      <w:r>
        <w:t xml:space="preserve">đến</w:t>
      </w:r>
      <w:r>
        <w:t xml:space="preserve"> </w:t>
      </w:r>
      <w:r>
        <w:t xml:space="preserve"> </w:t>
      </w:r>
      <w:r>
        <w:t xml:space="preserve">12.46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10.996.800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3.666.333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14.373.334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4.790.632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12.972.000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4.323.568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12.780.533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12.700.000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12.700.000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W w:w="503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179, tờ bản đồ 102 có địa chỉ: </w:t>
            </w:r>
            <w:r>
              <w:rPr>
                <w:b/>
                <w:bCs/>
                <w:color w:val="000000"/>
              </w:rPr>
              <w:t xml:space="preserve">Khu 2, xã Cao Phong, tỉnh Phú Thọ</w:t>
            </w:r>
            <w:r>
              <w:rPr>
                <w:rFonts w:ascii="Times New Roman" w:hAnsi="Times New Roman" w:eastAsia="Times New Roman" w:cs="Times New Roman"/>
                <w:b/>
                <w:bCs/>
                <w:color w:val="000000"/>
                <w:sz w:val="24"/>
              </w:rPr>
              <w:t xml:space="preserve"> theo Giấ</w:t>
            </w:r>
            <w:r>
              <w:rPr>
                <w:rFonts w:ascii="Times New Roman" w:hAnsi="Times New Roman" w:eastAsia="Times New Roman" w:cs="Times New Roman"/>
                <w:b/>
                <w:bCs/>
                <w:color w:val="000000"/>
                <w:sz w:val="24"/>
              </w:rPr>
              <w:t xml:space="preserve">y chứng nhận quyền sử dụng đất, quyền sở hữu tài sản khác gắn liền với đất số: AA 05824466, số vào sổ cấp GCN: CN 02949 do Chi nhánh Văn phòng Đăng ký Đất đai Cao Phong cấp ngày 05/3/2026; Chủ sử dụng đất là Ông Triệu Tuấn Linh và Bà Nguyễn Thị Hồng Thắm.</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376" w:type="dxa"/>
            <w:vAlign w:val="center"/>
            <w:textDirection w:val="lrTb"/>
            <w:noWrap w:val="false"/>
          </w:tcPr>
          <w:p>
            <w:pPr>
              <w:pBdr/>
              <w:spacing w:after="40" w:before="40" w:line="288" w:lineRule="auto"/>
              <w:ind/>
              <w:rPr/>
            </w:pPr>
            <w:r>
              <w:rPr>
                <w:b w:val="0"/>
                <w:bCs w:val="0"/>
              </w:rPr>
              <w:t xml:space="preserve">Đất ở tại nông th</w:t>
            </w:r>
            <w:r>
              <w:rPr>
                <w:b w:val="0"/>
                <w:bCs w:val="0"/>
              </w:rPr>
              <w:t xml:space="preserve">ô</w:t>
            </w:r>
            <w:r>
              <w:rPr>
                <w:b w:val="0"/>
                <w:bCs w:val="0"/>
              </w:rPr>
              <w:t xml:space="preserve">n</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12.700.000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1.143.000.000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1.143.000.000</w:t>
            </w:r>
            <w:r>
              <w:rPr>
                <w:b/>
                <w:bCs/>
                <w:color w:val="000000"/>
              </w:rPr>
            </w:r>
            <w:r>
              <w:rPr>
                <w:b/>
                <w:bCs/>
                <w:color w:val="000000"/>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1.143.000.000</w:t>
            </w:r>
            <w:r>
              <w:rPr>
                <w:b/>
                <w:bCs/>
                <w:color w:val="000000"/>
              </w:rPr>
            </w:r>
            <w:r>
              <w:rPr>
                <w:b/>
                <w:bCs/>
                <w:color w:val="000000"/>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một trăm bốn mươi ba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bCs/>
          <w:lang w:val="pt-BR"/>
        </w:rPr>
      </w:pPr>
      <w:r>
        <w:rPr>
          <w:b/>
          <w:bCs/>
          <w:highlight w:val="none"/>
          <w:lang w:val="pt-BR"/>
        </w:rPr>
      </w:r>
      <w:r>
        <w:rPr>
          <w:b/>
          <w:bCs/>
          <w:highlight w:val="none"/>
          <w:lang w:val="pt-BR"/>
        </w:rPr>
      </w:r>
      <w:r>
        <w:rPr>
          <w:b/>
          <w:bCs/>
          <w:lang w:val="pt-BR"/>
        </w:rPr>
      </w:r>
    </w:p>
    <w:p>
      <w:pPr>
        <w:pStyle w:val="1033"/>
        <w:pBdr/>
        <w:tabs>
          <w:tab w:val="left" w:leader="none" w:pos="993"/>
        </w:tabs>
        <w:spacing w:after="120" w:before="120" w:line="33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bCs/>
          <w:highlight w:val="none"/>
          <w:lang w:val="pt-BR"/>
        </w:rPr>
      </w:r>
    </w:p>
    <w:p>
      <w:pPr>
        <w:pStyle w:val="1033"/>
        <w:numPr>
          <w:ilvl w:val="0"/>
          <w:numId w:val="4"/>
        </w:numPr>
        <w:pBdr/>
        <w:tabs>
          <w:tab w:val="left" w:leader="none" w:pos="993"/>
        </w:tabs>
        <w:spacing w:after="120" w:before="120" w:line="33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33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33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33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33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33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33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33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33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33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33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336"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33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33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33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spacing w:after="120" w:before="120" w:line="33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3"/>
        </w:numPr>
        <w:pBdr/>
        <w:tabs>
          <w:tab w:val="left" w:leader="none" w:pos="993"/>
        </w:tabs>
        <w:spacing w:after="120" w:before="120" w:line="33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33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336"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3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33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33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highlight w:val="none"/>
          <w:lang w:val="vi-VN"/>
        </w:rPr>
      </w:r>
      <w:r>
        <w:rPr>
          <w:highlight w:val="none"/>
          <w:lang w:val="vi-VN"/>
        </w:rPr>
      </w:r>
      <w:r>
        <w:rPr>
          <w:lang w:val="vi-VN"/>
        </w:rPr>
      </w:r>
    </w:p>
    <w:p>
      <w:pPr>
        <w:pStyle w:val="1033"/>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3"/>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275/2026/0449/VFI-CT.57.A</w:t>
      </w:r>
      <w:r>
        <w:rPr>
          <w:color w:val="ff0000"/>
          <w:lang w:val="vi-VN"/>
        </w:rPr>
        <w:t xml:space="preserve"> </w:t>
      </w:r>
      <w:r>
        <w:rPr>
          <w:color w:val="000000" w:themeColor="text1"/>
        </w:rPr>
        <w:t xml:space="preserve">ngày 24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rPr>
        <w:t xml:space="preserve">(</w:t>
      </w:r>
      <w:r>
        <w:rPr>
          <w:rFonts w:ascii="Times New Roman" w:hAnsi="Times New Roman" w:eastAsia="Times New Roman" w:cs="Times New Roman"/>
          <w:i/>
          <w:iCs/>
          <w:color w:val="000000" w:themeColor="text1"/>
          <w:sz w:val="24"/>
          <w:szCs w:val="24"/>
          <w:highlight w:val="none"/>
          <w:lang w:val="pt-BR"/>
        </w:rPr>
        <w:t xml:space="preserve">Kèm</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t xml:space="preserve">theo</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t xml:space="preserve">Báo</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t xml:space="preserve">cáo</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t xml:space="preserve">thẩm</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t xml:space="preserve">định</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t xml:space="preserve">số</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pacing w:val="3"/>
          <w:sz w:val="24"/>
          <w:szCs w:val="24"/>
          <w:highlight w:val="none"/>
        </w:rPr>
        <w:t xml:space="preserve">275/2026/0449/VFI-BC.57.A</w:t>
      </w:r>
      <w:r>
        <w:rPr>
          <w:rFonts w:ascii="Times New Roman" w:hAnsi="Times New Roman" w:eastAsia="Times New Roman" w:cs="Times New Roman"/>
          <w:i/>
          <w:iCs/>
          <w:color w:val="000000" w:themeColor="text1"/>
          <w:sz w:val="24"/>
          <w:szCs w:val="24"/>
          <w:highlight w:val="none"/>
          <w:lang w:val="pt-BR"/>
        </w:rPr>
        <w:t xml:space="preserve">ngày</w:t>
      </w:r>
      <w:r>
        <w:rPr>
          <w:rFonts w:ascii="Times New Roman" w:hAnsi="Times New Roman" w:eastAsia="Times New Roman" w:cs="Times New Roman"/>
          <w:i/>
          <w:iCs/>
          <w:color w:val="000000" w:themeColor="text1"/>
          <w:sz w:val="24"/>
          <w:szCs w:val="24"/>
          <w:highlight w:val="none"/>
          <w:lang w:val="pt-BR"/>
        </w:rPr>
        <w:t xml:space="preserve"> 24 tháng 3 năm 2026</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t xml:space="preserve">của</w:t>
      </w:r>
      <w:r>
        <w:rPr>
          <w:rFonts w:ascii="Times New Roman" w:hAnsi="Times New Roman" w:eastAsia="Times New Roman" w:cs="Times New Roman"/>
          <w:i/>
          <w:iCs/>
          <w:color w:val="000000" w:themeColor="text1"/>
          <w:sz w:val="24"/>
          <w:szCs w:val="24"/>
          <w:highlight w:val="none"/>
          <w:lang w:val="pt-BR"/>
        </w:rPr>
        <w:t xml:space="preserve"> </w:t>
      </w:r>
      <w:r>
        <w:rPr>
          <w:rFonts w:ascii="Times New Roman" w:hAnsi="Times New Roman" w:eastAsia="Times New Roman" w:cs="Times New Roman"/>
          <w:i/>
          <w:iCs/>
          <w:color w:val="000000" w:themeColor="text1"/>
          <w:sz w:val="24"/>
          <w:szCs w:val="24"/>
          <w:highlight w:val="none"/>
          <w:lang w:val="pt-BR"/>
        </w:rPr>
      </w:r>
      <w:r>
        <w:rPr>
          <w:rFonts w:ascii="Times New Roman" w:hAnsi="Times New Roman" w:eastAsia="Times New Roman" w:cs="Times New Roman"/>
          <w:i/>
          <w:iCs/>
          <w:color w:val="000000" w:themeColor="text1"/>
          <w:sz w:val="24"/>
          <w:szCs w:val="24"/>
          <w:highlight w:val="none"/>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32146" cy="23095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187" name=""/>
                              <pic:cNvPicPr>
                                <a:picLocks noChangeAspect="1"/>
                              </pic:cNvPicPr>
                              <pic:nvPr/>
                            </pic:nvPicPr>
                            <pic:blipFill rotWithShape="1">
                              <a:blip r:embed="rId20"/>
                              <a:stretch/>
                            </pic:blipFill>
                            <pic:spPr bwMode="auto">
                              <a:xfrm flipH="0" flipV="0">
                                <a:off x="0" y="0"/>
                                <a:ext cx="1732145" cy="2309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6.39pt;height:181.8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793262" cy="2041977"/>
                      <wp:effectExtent l="0" t="0" r="0" b="0"/>
                      <wp:docPr id="9" name=""/>
                      <wp:cNvGraphicFramePr/>
                      <a:graphic xmlns:a="http://schemas.openxmlformats.org/drawingml/2006/main">
                        <a:graphicData uri="http://schemas.openxmlformats.org/drawingml/2006/picture">
                          <pic:pic xmlns:pic="http://schemas.openxmlformats.org/drawingml/2006/picture">
                            <pic:nvPicPr>
                              <pic:cNvPr id="1916626338" name="" descr=""/>
                              <pic:cNvPicPr/>
                              <pic:nvPr/>
                            </pic:nvPicPr>
                            <pic:blipFill rotWithShape="1">
                              <a:blip r:embed="rId21"/>
                              <a:stretch/>
                            </pic:blipFill>
                            <pic:spPr bwMode="auto">
                              <a:xfrm flipH="0" flipV="0">
                                <a:off x="0" y="0"/>
                                <a:ext cx="1793262" cy="20419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1.20pt;height:160.7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26619" cy="25688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2605" name=""/>
                              <pic:cNvPicPr>
                                <a:picLocks noChangeAspect="1"/>
                              </pic:cNvPicPr>
                              <pic:nvPr/>
                            </pic:nvPicPr>
                            <pic:blipFill rotWithShape="1">
                              <a:blip r:embed="rId22"/>
                              <a:stretch/>
                            </pic:blipFill>
                            <pic:spPr bwMode="auto">
                              <a:xfrm flipH="0" flipV="0">
                                <a:off x="0" y="0"/>
                                <a:ext cx="1926618" cy="256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1.70pt;height:202.2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97345" cy="266312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26072" name=""/>
                              <pic:cNvPicPr>
                                <a:picLocks noChangeAspect="1"/>
                              </pic:cNvPicPr>
                              <pic:nvPr/>
                            </pic:nvPicPr>
                            <pic:blipFill rotWithShape="1">
                              <a:blip r:embed="rId23"/>
                              <a:stretch/>
                            </pic:blipFill>
                            <pic:spPr bwMode="auto">
                              <a:xfrm flipH="0" flipV="0">
                                <a:off x="0" y="0"/>
                                <a:ext cx="1997345" cy="2663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7.27pt;height:209.7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rFonts w:ascii="Times New Roman" w:hAnsi="Times New Roman" w:cs="Times New Roman"/>
          <w:bCs/>
          <w:i/>
          <w:color w:val="auto"/>
          <w:sz w:val="24"/>
          <w:szCs w:val="24"/>
        </w:rPr>
      </w:pPr>
      <w:r>
        <w:rPr>
          <w:rFonts w:ascii="Times New Roman" w:hAnsi="Times New Roman" w:eastAsia="Times New Roman" w:cs="Times New Roman"/>
          <w:i/>
          <w:iCs/>
          <w:color w:val="auto"/>
          <w:sz w:val="24"/>
          <w:szCs w:val="24"/>
          <w:lang w:val="pt-BR"/>
        </w:rPr>
        <w:t xml:space="preserve">(</w:t>
      </w:r>
      <w:r>
        <w:rPr>
          <w:rFonts w:ascii="Times New Roman" w:hAnsi="Times New Roman" w:eastAsia="Times New Roman" w:cs="Times New Roman"/>
          <w:i/>
          <w:iCs/>
          <w:color w:val="auto"/>
          <w:sz w:val="24"/>
          <w:szCs w:val="24"/>
          <w:lang w:val="pt-BR"/>
        </w:rPr>
        <w:t xml:space="preserve">Kèm</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z w:val="24"/>
          <w:szCs w:val="24"/>
          <w:lang w:val="pt-BR"/>
        </w:rPr>
        <w:t xml:space="preserve">theo</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z w:val="24"/>
          <w:szCs w:val="24"/>
          <w:lang w:val="pt-BR"/>
        </w:rPr>
        <w:t xml:space="preserve">Báo</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z w:val="24"/>
          <w:szCs w:val="24"/>
          <w:lang w:val="pt-BR"/>
        </w:rPr>
        <w:t xml:space="preserve">cáo</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z w:val="24"/>
          <w:szCs w:val="24"/>
          <w:lang w:val="pt-BR"/>
        </w:rPr>
        <w:t xml:space="preserve">thẩm</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z w:val="24"/>
          <w:szCs w:val="24"/>
          <w:lang w:val="pt-BR"/>
        </w:rPr>
        <w:t xml:space="preserve">định</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z w:val="24"/>
          <w:szCs w:val="24"/>
          <w:lang w:val="pt-BR"/>
        </w:rPr>
        <w:t xml:space="preserve">số</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pacing w:val="3"/>
          <w:sz w:val="24"/>
          <w:szCs w:val="24"/>
          <w:highlight w:val="white"/>
        </w:rPr>
        <w:t xml:space="preserve">275/2026/0449/VFI-BC.57.A</w:t>
      </w:r>
      <w:r>
        <w:rPr>
          <w:rFonts w:ascii="Times New Roman" w:hAnsi="Times New Roman" w:eastAsia="Times New Roman" w:cs="Times New Roman"/>
          <w:i/>
          <w:color w:val="auto"/>
          <w:sz w:val="24"/>
          <w:szCs w:val="24"/>
        </w:rPr>
        <w:t xml:space="preserve"> ngày 24</w:t>
      </w:r>
      <w:r>
        <w:rPr>
          <w:rFonts w:ascii="Times New Roman" w:hAnsi="Times New Roman" w:eastAsia="Times New Roman" w:cs="Times New Roman"/>
          <w:i/>
          <w:iCs/>
          <w:color w:val="auto"/>
          <w:sz w:val="24"/>
          <w:szCs w:val="24"/>
          <w:lang w:val="pt-BR"/>
        </w:rPr>
        <w:t xml:space="preserve"> tháng 3 năm 2026</w:t>
      </w:r>
      <w:r>
        <w:rPr>
          <w:rFonts w:ascii="Times New Roman" w:hAnsi="Times New Roman" w:eastAsia="Times New Roman" w:cs="Times New Roman"/>
          <w:i/>
          <w:iCs/>
          <w:color w:val="auto"/>
          <w:sz w:val="24"/>
          <w:szCs w:val="24"/>
          <w:lang w:val="pt-BR"/>
        </w:rPr>
        <w:t xml:space="preserve"> </w:t>
      </w:r>
      <w:r>
        <w:rPr>
          <w:rFonts w:ascii="Times New Roman" w:hAnsi="Times New Roman" w:eastAsia="Times New Roman" w:cs="Times New Roman"/>
          <w:i/>
          <w:iCs/>
          <w:color w:val="auto"/>
          <w:sz w:val="24"/>
          <w:szCs w:val="24"/>
          <w:lang w:val="pt-BR"/>
        </w:rPr>
        <w:t xml:space="preserve">của</w:t>
      </w:r>
      <w:r>
        <w:rPr>
          <w:rFonts w:ascii="Times New Roman" w:hAnsi="Times New Roman" w:eastAsia="Times New Roman" w:cs="Times New Roman"/>
          <w:i/>
          <w:iCs/>
          <w:color w:val="auto"/>
          <w:sz w:val="24"/>
          <w:szCs w:val="24"/>
          <w:lang w:val="pt-BR"/>
        </w:rPr>
        <w:t xml:space="preserve"> </w:t>
      </w:r>
      <w:r>
        <w:rPr>
          <w:rFonts w:ascii="Times New Roman" w:hAnsi="Times New Roman" w:cs="Times New Roman"/>
          <w:bCs/>
          <w:i/>
          <w:color w:val="auto"/>
          <w:sz w:val="24"/>
          <w:szCs w:val="24"/>
        </w:rPr>
      </w:r>
      <w:r>
        <w:rPr>
          <w:rFonts w:ascii="Times New Roman" w:hAnsi="Times New Roman" w:cs="Times New Roman"/>
          <w:bCs/>
          <w:i/>
          <w:color w:val="auto"/>
          <w:sz w:val="24"/>
          <w:szCs w:val="24"/>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0942.897688</w:t>
            </w:r>
            <w:r>
              <w:rPr>
                <w:sz w:val="22"/>
                <w:szCs w:val="22"/>
              </w:rPr>
              <w:t xml:space="preserve"> </w:t>
            </w:r>
            <w:r>
              <w:rPr>
                <w:sz w:val="22"/>
                <w:szCs w:val="22"/>
              </w:rPr>
              <w:br/>
              <w:t xml:space="preserve">(Nhung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1.056.000.000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color w:val="000000"/>
              </w:rPr>
              <w:t xml:space="preserve">Khu 2, Xã Cao Phong, Tỉnh Phú Thọ</w:t>
            </w:r>
            <w:r>
              <w:rPr>
                <w:color w:val="000000" w:themeColor="text1"/>
                <w:sz w:val="22"/>
                <w:szCs w:val="22"/>
              </w:rPr>
              <w:t xml:space="preserve">), khoảng cách ra đường chính cách QL6 khoảng 400m</w:t>
            </w:r>
            <w:r>
              <w:rPr>
                <w:color w:val="000000"/>
                <w:sz w:val="22"/>
                <w:szCs w:val="22"/>
              </w:rPr>
            </w:r>
            <w:r>
              <w:rPr>
                <w:color w:val="000000"/>
                <w:sz w:val="22"/>
                <w:szCs w:val="22"/>
              </w:rPr>
            </w:r>
          </w:p>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092540" cy="1424732"/>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092539" cy="14247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6.03pt;height:112.18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46202" cy="1319957"/>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346201" cy="13199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06.00pt;height:103.93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17993" cy="1031335"/>
                      <wp:effectExtent l="0" t="0" r="0" b="0"/>
                      <wp:docPr id="14" name=""/>
                      <wp:cNvGraphicFramePr/>
                      <a:graphic xmlns:a="http://schemas.openxmlformats.org/drawingml/2006/main">
                        <a:graphicData uri="http://schemas.openxmlformats.org/drawingml/2006/picture">
                          <pic:pic xmlns:pic="http://schemas.openxmlformats.org/drawingml/2006/picture">
                            <pic:nvPicPr>
                              <pic:cNvPr id="859349525" name="" descr=""/>
                              <pic:cNvPicPr/>
                              <pic:nvPr/>
                            </pic:nvPicPr>
                            <pic:blipFill rotWithShape="1">
                              <a:blip r:embed="rId26"/>
                              <a:stretch/>
                            </pic:blipFill>
                            <pic:spPr bwMode="auto">
                              <a:xfrm flipH="0" flipV="0">
                                <a:off x="0" y="0"/>
                                <a:ext cx="1517993" cy="1031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9.53pt;height:81.2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0398.490363</w:t>
            </w:r>
            <w:r>
              <w:rPr>
                <w:sz w:val="22"/>
                <w:szCs w:val="22"/>
              </w:rPr>
              <w:t xml:space="preserve"> </w:t>
            </w:r>
            <w:r>
              <w:rPr>
                <w:sz w:val="22"/>
                <w:szCs w:val="22"/>
              </w:rPr>
              <w:br/>
              <w:t xml:space="preserve">(Nga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color w:val="000000"/>
              </w:rPr>
              <w:t xml:space="preserve">Khu 2, Xã Cao Phong, Tỉnh Phú Thọ</w:t>
            </w:r>
            <w:r>
              <w:rPr>
                <w:color w:val="000000" w:themeColor="text1"/>
                <w:sz w:val="22"/>
                <w:szCs w:val="22"/>
              </w:rPr>
              <w:t xml:space="preserve">), khoảng cách ra đường chính Cách QL6 khoảng 200m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49715" cy="151408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349714" cy="15140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6.28pt;height:119.2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06578" cy="169808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61392923" name="" descr=""/>
                              <pic:cNvPicPr/>
                              <pic:nvPr/>
                            </pic:nvPicPr>
                            <pic:blipFill rotWithShape="1">
                              <a:blip r:embed="rId28"/>
                              <a:stretch/>
                            </pic:blipFill>
                            <pic:spPr bwMode="auto">
                              <a:xfrm flipH="0" flipV="0">
                                <a:off x="0" y="0"/>
                                <a:ext cx="1806578" cy="1698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2.25pt;height:133.7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34796" cy="1695055"/>
                      <wp:effectExtent l="0" t="0" r="0" b="0"/>
                      <wp:docPr id="17" name=""/>
                      <wp:cNvGraphicFramePr/>
                      <a:graphic xmlns:a="http://schemas.openxmlformats.org/drawingml/2006/main">
                        <a:graphicData uri="http://schemas.openxmlformats.org/drawingml/2006/picture">
                          <pic:pic xmlns:pic="http://schemas.openxmlformats.org/drawingml/2006/picture">
                            <pic:nvPicPr>
                              <pic:cNvPr id="393197272" name="" descr=""/>
                              <pic:cNvPicPr/>
                              <pic:nvPr/>
                            </pic:nvPicPr>
                            <pic:blipFill rotWithShape="1">
                              <a:blip r:embed="rId29"/>
                              <a:stretch/>
                            </pic:blipFill>
                            <pic:spPr bwMode="auto">
                              <a:xfrm flipH="0" flipV="0">
                                <a:off x="0" y="0"/>
                                <a:ext cx="1634796" cy="16950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8.72pt;height:133.4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https://www.facebook.com/groups/256170749404562/posts/1440050424349916/</w:t>
            </w:r>
            <w:r>
              <w:rPr>
                <w:color w:val="000000" w:themeColor="text1"/>
                <w:sz w:val="22"/>
                <w:szCs w:val="22"/>
              </w:rPr>
              <w:br/>
            </w:r>
            <w:r>
              <w:rPr>
                <w:sz w:val="22"/>
                <w:szCs w:val="22"/>
              </w:rPr>
              <w:t xml:space="preserve">SĐT: </w:t>
            </w:r>
            <w:r>
              <w:rPr>
                <w:color w:val="000000" w:themeColor="text1"/>
                <w:sz w:val="22"/>
                <w:szCs w:val="22"/>
              </w:rPr>
              <w:t xml:space="preserve">0929.229265</w:t>
            </w:r>
            <w:r>
              <w:rPr>
                <w:sz w:val="22"/>
                <w:szCs w:val="22"/>
              </w:rPr>
              <w:t xml:space="preserve"> </w:t>
            </w:r>
            <w:r>
              <w:rPr>
                <w:sz w:val="22"/>
                <w:szCs w:val="22"/>
              </w:rPr>
              <w:br/>
              <w:t xml:space="preserve">(Thế Chu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Cao Phong, Huyện Cao Phong, Tỉnh Hoà Bình (</w:t>
            </w:r>
            <w:r>
              <w:rPr>
                <w:color w:val="000000"/>
              </w:rPr>
              <w:t xml:space="preserve">Khu 2, Xã Cao Phong, Tỉnh Phú Thọ</w:t>
            </w:r>
            <w:r>
              <w:rPr>
                <w:color w:val="000000" w:themeColor="text1"/>
                <w:sz w:val="22"/>
                <w:szCs w:val="22"/>
              </w:rPr>
              <w:t xml:space="preserve">), khoảng cách ra đường chính Cách đường QL6 khoảng 400m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97490" cy="1869917"/>
                      <wp:effectExtent l="0" t="0" r="0" b="0"/>
                      <wp:docPr id="18" name=""/>
                      <wp:cNvGraphicFramePr/>
                      <a:graphic xmlns:a="http://schemas.openxmlformats.org/drawingml/2006/main">
                        <a:graphicData uri="http://schemas.openxmlformats.org/drawingml/2006/picture">
                          <pic:pic xmlns:pic="http://schemas.openxmlformats.org/drawingml/2006/picture">
                            <pic:nvPicPr>
                              <pic:cNvPr id="587837754" name="" descr=""/>
                              <pic:cNvPicPr/>
                              <pic:nvPr/>
                            </pic:nvPicPr>
                            <pic:blipFill rotWithShape="1">
                              <a:blip r:embed="rId30"/>
                              <a:stretch/>
                            </pic:blipFill>
                            <pic:spPr bwMode="auto">
                              <a:xfrm flipH="0" flipV="0">
                                <a:off x="0" y="0"/>
                                <a:ext cx="2597490" cy="18699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4.53pt;height:147.24pt;mso-wrap-distance-left:0.00pt;mso-wrap-distance-top:0.00pt;mso-wrap-distance-right:0.00pt;mso-wrap-distance-bottom:0.00pt;z-index:1;" stroked="false">
                      <v:imagedata r:id="rId30"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825753" cy="17116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963441470" name="" descr=""/>
                              <pic:cNvPicPr/>
                              <pic:nvPr/>
                            </pic:nvPicPr>
                            <pic:blipFill rotWithShape="1">
                              <a:blip r:embed="rId31"/>
                              <a:stretch/>
                            </pic:blipFill>
                            <pic:spPr bwMode="auto">
                              <a:xfrm flipH="0" flipV="0">
                                <a:off x="0" y="0"/>
                                <a:ext cx="2825753" cy="17116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2.50pt;height:134.77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74207" cy="81196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618" name=""/>
                        <pic:cNvPicPr>
                          <a:picLocks noChangeAspect="1"/>
                        </pic:cNvPicPr>
                        <pic:nvPr/>
                      </pic:nvPicPr>
                      <pic:blipFill rotWithShape="1">
                        <a:blip r:embed="rId32"/>
                        <a:stretch/>
                      </pic:blipFill>
                      <pic:spPr bwMode="auto">
                        <a:xfrm flipH="0" flipV="0">
                          <a:off x="0" y="0"/>
                          <a:ext cx="6074206" cy="81196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8.28pt;height:639.34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01709" cy="85344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7419" name=""/>
                        <pic:cNvPicPr>
                          <a:picLocks noChangeAspect="1"/>
                        </pic:cNvPicPr>
                        <pic:nvPr/>
                      </pic:nvPicPr>
                      <pic:blipFill rotWithShape="1">
                        <a:blip r:embed="rId33"/>
                        <a:stretch/>
                      </pic:blipFill>
                      <pic:spPr bwMode="auto">
                        <a:xfrm flipH="0" flipV="0">
                          <a:off x="0" y="0"/>
                          <a:ext cx="6001709" cy="8534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2.58pt;height:672.00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97743"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A50F0C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A50F0C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273</cp:revision>
  <dcterms:created xsi:type="dcterms:W3CDTF">2025-09-15T09:58:00Z</dcterms:created>
  <dcterms:modified xsi:type="dcterms:W3CDTF">2026-03-24T07:51:26Z</dcterms:modified>
</cp:coreProperties>
</file>