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1674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1674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275/2026/0494/VFI-CT.53.A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CHU MINH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707, Nhà A4, Khu đô thị mới Mỹ Đình I, Phường Từ Liêm, Thành phố Hà Nội theo Giấy chứng</w:t>
                            </w:r>
                            <w:r>
                              <w:rPr>
                                <w:color w:val="000000"/>
                              </w:rPr>
                              <w:t xml:space="preserve"> nhận quyền sử dụng đất quyền sở hữu nhà ở và tài sản khác gắn liền với đất số: DĐ 714822, số vào sổ cấp GCN: CS-NTL 26359 do Sở Tài nguyên và Môi trường Thành phố Hà Nội cấp ngày 22/02/2022; Chủ sở hữu căn hộ là Ông Chu Minh Hải (</w:t>
                            </w:r>
                            <w:r>
                              <w:rPr>
                                <w:i/>
                                <w:iCs/>
                                <w:color w:val="000000"/>
                              </w:rPr>
                              <w:t xml:space="preserve">Cập nhật ngày 05/8/2025</w:t>
                            </w:r>
                            <w:r>
                              <w:rPr>
                                <w:color w:val="000000"/>
                              </w:rPr>
                              <w:t xml:space="preserve">)</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49.4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275/2026/0494/VFI-CT.53.A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CHU MINH HẢI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sở hữu căn hộ chung cư số 707, Nhà A4, Khu đô thị mới Mỹ Đình I, Phường Từ Liêm, Thành phố Hà Nội theo Giấy chứng</w:t>
                      </w:r>
                      <w:r>
                        <w:rPr>
                          <w:color w:val="000000"/>
                        </w:rPr>
                        <w:t xml:space="preserve"> nhận quyền sử dụng đất quyền sở hữu nhà ở và tài sản khác gắn liền với đất số: DĐ 714822, số vào sổ cấp GCN: CS-NTL 26359 do Sở Tài nguyên và Môi trường Thành phố Hà Nội cấp ngày 22/02/2022; Chủ sở hữu căn hộ là Ông Chu Minh Hải (</w:t>
                      </w:r>
                      <w:r>
                        <w:rPr>
                          <w:i/>
                          <w:iCs/>
                          <w:color w:val="000000"/>
                        </w:rPr>
                        <w:t xml:space="preserve">Cập nhật ngày 05/8/2025</w:t>
                      </w:r>
                      <w:r>
                        <w:rPr>
                          <w:color w:val="000000"/>
                        </w:rPr>
                        <w:t xml:space="preserve">)</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21-28</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275/2026/0494/VFI-CT.53.A</w:t>
            </w:r>
            <w:r>
              <w:rPr>
                <w:color w:val="000000" w:themeColor="text1"/>
                <w:sz w:val="24"/>
                <w:szCs w:val="24"/>
              </w:rPr>
            </w:r>
            <w:r>
              <w:rPr>
                <w:color w:val="000000" w:themeColor="text1"/>
                <w:sz w:val="24"/>
                <w:szCs w:val="24"/>
              </w:rPr>
            </w:r>
          </w:p>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3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CHU MINH HẢI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275/2026/0494/VFI-HĐTĐ.53.A</w:t>
      </w:r>
      <w:r>
        <w:rPr>
          <w:spacing w:val="-4"/>
          <w:lang w:val="vi-VN"/>
        </w:rPr>
        <w:t xml:space="preserve"> ký ngày </w:t>
      </w:r>
      <w:r>
        <w:rPr>
          <w:color w:val="000000" w:themeColor="text1"/>
          <w:spacing w:val="-4"/>
        </w:rPr>
        <w:t xml:space="preserve">20 tháng 3 năm 2026</w:t>
      </w:r>
      <w:r>
        <w:rPr>
          <w:spacing w:val="-4"/>
          <w:lang w:val="vi-VN"/>
        </w:rPr>
        <w:t xml:space="preserve"> </w:t>
      </w:r>
      <w:r>
        <w:rPr>
          <w:spacing w:val="-4"/>
          <w:lang w:val="vi-VN"/>
        </w:rPr>
        <w:t xml:space="preserve">giữa </w:t>
      </w:r>
      <w:r>
        <w:rPr>
          <w:bCs/>
        </w:rPr>
        <w:t xml:space="preserve">Ông Chu Minh Hải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275/2026/0494/VFI-BC.53.A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3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CHU MINH HẢI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001080037575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b w:val="0"/>
                <w:bCs w:val="0"/>
                <w:color w:val="ff0000"/>
              </w:rPr>
            </w:pPr>
            <w:r>
              <w:rPr>
                <w:color w:val="000000" w:themeColor="text1"/>
                <w:lang w:val="vi-VN"/>
              </w:rPr>
            </w:r>
            <w:r>
              <w:rPr>
                <w:b w:val="0"/>
                <w:bCs w:val="0"/>
                <w:color w:val="000000"/>
              </w:rPr>
              <w:t xml:space="preserve"> Nhà A4, Khu đô thị mới Mỹ Đình I, Phường Từ Liêm, TP Hà Nội</w:t>
            </w:r>
            <w:r>
              <w:rPr>
                <w:b w:val="0"/>
                <w:bCs w:val="0"/>
                <w:color w:val="ff0000"/>
              </w:rPr>
            </w:r>
            <w:r>
              <w:rPr>
                <w:b w:val="0"/>
                <w:bCs w:val="0"/>
                <w:color w:val="ff0000"/>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r>
      <w:r>
        <w:rPr>
          <w:color w:val="000000"/>
        </w:rPr>
        <w:t xml:space="preserve">Quyền sở hữu căn hộ chung cư số 707, Nhà A4, Khu đô thị mới Mỹ Đình I, Phường Từ Liêm, Thành phố Hà Nội theo Giấy chứng</w:t>
      </w:r>
      <w:r>
        <w:rPr>
          <w:color w:val="000000"/>
        </w:rPr>
        <w:t xml:space="preserve"> nhận quyền sử dụng đất quyền sở hữu nhà ở và tài sản khác gắn liền với đất số: DĐ 714822, số vào sổ cấp GCN: CS-NTL 26359 do Sở Tài nguyên và Môi trường Thành phố Hà Nội cấp ngày 22/02/2022; Chủ sở hữu căn hộ là Ông Chu Minh Hải (</w:t>
      </w:r>
      <w:r>
        <w:rPr>
          <w:i/>
          <w:iCs/>
          <w:color w:val="000000"/>
        </w:rPr>
        <w:t xml:space="preserve">Cập nhật ngày 05/8/2025</w:t>
      </w:r>
      <w:r>
        <w:rPr>
          <w:color w:val="000000"/>
        </w:rPr>
        <w:t xml:space="preserve">)</w:t>
      </w:r>
      <w:r>
        <w:rPr>
          <w:bCs/>
          <w:i/>
          <w:iCs/>
        </w:rPr>
        <w:t xml:space="preserve">.</w:t>
      </w:r>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3/2026</w:t>
      </w:r>
      <w:r>
        <w:rPr>
          <w:lang w:val="vi-VN"/>
        </w:rPr>
        <w:t xml:space="preserve"> ước tính</w:t>
      </w:r>
      <w:r>
        <w:t xml:space="preserve"> </w:t>
      </w:r>
      <w:r>
        <w:rPr>
          <w:lang w:val="vi-VN"/>
        </w:rPr>
        <w:t xml:space="preserve">như sau:</w:t>
      </w:r>
      <w:r/>
    </w:p>
    <w:tbl>
      <w:tblPr>
        <w:tblW w:w="495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801"/>
        <w:gridCol w:w="1701"/>
        <w:gridCol w:w="2089"/>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0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91"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sở hữu căn hộ chung cư số 707, Nhà A4, Khu đô thị mới Mỹ Đình I, Phường Từ Liêm, Thành phố Hà Nội theo Giấy chứng</w:t>
            </w:r>
            <w:r>
              <w:rPr>
                <w:b/>
                <w:bCs/>
                <w:color w:val="000000"/>
              </w:rPr>
              <w:t xml:space="preserve"> nhận quyền sử dụng đất quyền sở hữu nhà ở và tài sản khác gắn liền với đất số: DĐ 714822, số vào sổ cấp GCN: CS-NTL 26359 do Sở Tài nguyên và Môi trường Thành phố Hà Nội cấp ngày 22/02/2022; Chủ sở hữu căn hộ là Ông Chu Minh Hải (</w:t>
            </w:r>
            <w:r>
              <w:rPr>
                <w:b/>
                <w:bCs/>
                <w:i/>
                <w:iCs/>
                <w:color w:val="000000"/>
              </w:rPr>
              <w:t xml:space="preserve">Cập nhật ngày 05/8/2025</w:t>
            </w:r>
            <w:r>
              <w:rPr>
                <w:b/>
                <w:bCs/>
                <w:color w:val="000000"/>
              </w:rPr>
              <w:t xml:space="preserve">)</w:t>
            </w:r>
            <w:r>
              <w:rPr>
                <w:b/>
                <w:bCs/>
                <w:i/>
                <w:iCs/>
              </w:rPr>
              <w:t xml:space="preserve">.</w:t>
            </w:r>
            <w:r>
              <w:rPr>
                <w:b/>
                <w:bCs/>
                <w:color w:val="000000"/>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pPr>
            <w:r>
              <w:rPr>
                <w:b/>
                <w:bCs/>
              </w:rPr>
              <w:t xml:space="preserve">-</w:t>
            </w:r>
            <w:r/>
          </w:p>
        </w:tc>
        <w:tc>
          <w:tcPr>
            <w:shd w:val="clear" w:color="000000" w:fill="ffffff"/>
            <w:tcBorders/>
            <w:tcW w:w="2801" w:type="dxa"/>
            <w:vAlign w:val="center"/>
            <w:textDirection w:val="lrTb"/>
            <w:noWrap w:val="false"/>
          </w:tcPr>
          <w:p>
            <w:pPr>
              <w:pBdr/>
              <w:spacing w:after="40" w:before="40" w:line="288" w:lineRule="auto"/>
              <w:ind/>
              <w:rPr/>
            </w:pPr>
            <w:r>
              <w:rPr>
                <w:b/>
                <w:bCs/>
              </w:rPr>
              <w:t xml:space="preserve">Quyền sở hữu căn hộ chung cư.</w:t>
            </w: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126,0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68.000.000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8.568.000.000</w:t>
            </w:r>
            <w:r/>
          </w:p>
        </w:tc>
      </w:tr>
      <w:tr>
        <w:trPr>
          <w:trHeight w:val="20"/>
        </w:trPr>
        <w:tc>
          <w:tcPr>
            <w:gridSpan w:val="4"/>
            <w:tcBorders/>
            <w:tcW w:w="726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8.568.000.000</w:t>
            </w:r>
            <w:r>
              <w:rPr>
                <w:b/>
                <w:bCs/>
                <w:color w:val="000000"/>
              </w:rPr>
            </w:r>
            <w:r>
              <w:rPr>
                <w:b/>
                <w:bCs/>
                <w:color w:val="000000"/>
              </w:rPr>
            </w:r>
          </w:p>
        </w:tc>
      </w:tr>
      <w:tr>
        <w:trPr>
          <w:trHeight w:val="20"/>
        </w:trPr>
        <w:tc>
          <w:tcPr>
            <w:gridSpan w:val="4"/>
            <w:tcBorders/>
            <w:tcW w:w="726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8.568.000.000</w:t>
            </w:r>
            <w:r>
              <w:rPr>
                <w:b/>
                <w:bCs/>
                <w:color w:val="000000"/>
              </w:rPr>
            </w:r>
            <w:r>
              <w:rPr>
                <w:b/>
                <w:bCs/>
                <w:color w:val="000000"/>
              </w:rPr>
            </w:r>
          </w:p>
        </w:tc>
      </w:tr>
      <w:tr>
        <w:trPr>
          <w:trHeight w:val="20"/>
        </w:trPr>
        <w:tc>
          <w:tcPr>
            <w:gridSpan w:val="5"/>
            <w:tcBorders/>
            <w:tcW w:w="943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năm trăm sáu mươi tám triệu đồng chẵn</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449"/>
        <w:gridCol w:w="13113"/>
      </w:tblGrid>
      <w:tr>
        <w:trPr>
          <w:trHeight w:val="1843"/>
        </w:trPr>
        <w:tc>
          <w:tcPr>
            <w:gridSpan w:val="2"/>
            <w:tcBorders/>
            <w:tcW w:w="1304"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3113"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275/2026/0494/VFI-BC.53.A</w:t>
            </w:r>
            <w:r>
              <w:rPr>
                <w:color w:val="000000" w:themeColor="text1"/>
                <w:sz w:val="24"/>
                <w:szCs w:val="24"/>
              </w:rPr>
            </w:r>
            <w:r>
              <w:rPr>
                <w:color w:val="000000" w:themeColor="text1"/>
                <w:sz w:val="24"/>
                <w:szCs w:val="24"/>
              </w:rPr>
            </w:r>
          </w:p>
          <w:p>
            <w:pPr>
              <w:pStyle w:val="1026"/>
              <w:pBdr/>
              <w:spacing w:after="60"/>
              <w:ind w:right="-56"/>
              <w:jc w:val="center"/>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3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449"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13113"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275/2026/0494/VFI-CT.53.A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CHU MINH HẢI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001080037575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1980</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b w:val="0"/>
                <w:bCs w:val="0"/>
                <w:color w:val="ff0000"/>
              </w:rPr>
            </w:pPr>
            <w:r>
              <w:rPr>
                <w:color w:val="000000" w:themeColor="text1"/>
                <w:lang w:val="vi-VN"/>
              </w:rPr>
            </w:r>
            <w:r>
              <w:rPr>
                <w:b w:val="0"/>
                <w:bCs w:val="0"/>
                <w:color w:val="000000"/>
              </w:rPr>
              <w:t xml:space="preserve"> Nhà A4, Khu đô thị mới Mỹ Đình I, Phường Từ Liêm, TP Hà Nội</w:t>
            </w:r>
            <w:r>
              <w:rPr>
                <w:b w:val="0"/>
                <w:bCs w:val="0"/>
                <w:color w:val="ff0000"/>
              </w:rPr>
            </w:r>
            <w:r>
              <w:rPr>
                <w:b w:val="0"/>
                <w:bCs w:val="0"/>
                <w:color w:val="ff0000"/>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sở hữu căn hộ chung cư số 707, Nhà A4, Khu đô thị mới Mỹ Đình I, Phường Từ Liêm, Thành phố Hà Nội theo Giấy chứng</w:t>
            </w:r>
            <w:r>
              <w:rPr>
                <w:color w:val="000000"/>
              </w:rPr>
              <w:t xml:space="preserve"> nhận quyền sử dụng đất quyền sở hữu nhà ở và tài sản khác gắn liền với đất số: DĐ 714822, số vào sổ cấp GCN: CS-NTL 26359 do Sở Tài nguyên và Môi trường Thành phố Hà Nội cấp ngày 22/02/2022; Chủ sở hữu căn hộ là Ông Chu Minh Hải (</w:t>
            </w:r>
            <w:r>
              <w:rPr>
                <w:i/>
                <w:iCs/>
                <w:color w:val="000000"/>
              </w:rPr>
              <w:t xml:space="preserve">Cập nhật ngày 05/8/2025</w:t>
            </w:r>
            <w:r>
              <w:rPr>
                <w:color w:val="000000"/>
              </w:rPr>
              <w:t xml:space="preserve">)</w:t>
            </w:r>
            <w:r>
              <w:rPr>
                <w:bCs/>
                <w:i/>
                <w:iCs/>
              </w:rPr>
              <w:t xml:space="preserve">.</w:t>
            </w:r>
            <w:r/>
            <w:r>
              <w:rPr>
                <w:bCs/>
                <w:color w:val="000000" w:themeColor="text1"/>
                <w:lang w:val="pt-BR"/>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3/2026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Từ Liêm,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21.0357485, 105.7642554</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 Giấy chứng</w:t>
      </w:r>
      <w:r>
        <w:rPr>
          <w:color w:val="000000"/>
        </w:rPr>
        <w:t xml:space="preserve"> nhận quyền sử dụng đất quyền sở hữu nhà ở và tài sản khác gắn liền với đất số: DĐ 714822, số vào sổ cấp GCN: CS-NTL 26359 do Sở Tài nguyên và Môi trường Thành phố Hà Nội cấp ngày 22/02/2022; Chủ sở hữu căn hộ là Ông Chu Minh Hải (</w:t>
      </w:r>
      <w:r>
        <w:rPr>
          <w:i/>
          <w:iCs/>
          <w:color w:val="000000"/>
        </w:rPr>
        <w:t xml:space="preserve">Cập nhật ngày 05/8/2025</w:t>
      </w:r>
      <w:r>
        <w:rPr>
          <w:color w:val="000000"/>
        </w:rPr>
        <w:t xml:space="preserve">)</w:t>
      </w:r>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275/2026/0494/VFI-CT.53.A ngày 20/03/2026 giữa Ông Chu Minh Hải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rFonts w:ascii="Times New Roman" w:hAnsi="Times New Roman" w:eastAsia="Times New Roman" w:cs="Times New Roman"/>
          <w:color w:val="000000"/>
          <w:sz w:val="24"/>
          <w:szCs w:val="24"/>
        </w:rPr>
      </w:pPr>
      <w:r>
        <w:rPr>
          <w:lang w:val="pt-BR"/>
        </w:rPr>
        <w:tab/>
      </w:r>
      <w:r/>
      <w:r>
        <w:rPr>
          <w:rFonts w:ascii="Times New Roman" w:hAnsi="Times New Roman" w:eastAsia="Times New Roman" w:cs="Times New Roman"/>
          <w:color w:val="000000"/>
          <w:sz w:val="24"/>
        </w:rPr>
        <w:t xml:space="preserve">Đại lộ Thăng Long, Lê Đức Th</w:t>
      </w:r>
      <w:r>
        <w:rPr>
          <w:rFonts w:ascii="Times New Roman" w:hAnsi="Times New Roman" w:eastAsia="Times New Roman" w:cs="Times New Roman"/>
          <w:color w:val="000000"/>
          <w:sz w:val="24"/>
        </w:rPr>
        <w:t xml:space="preserve">ọ, Lê Quang Đạo,... Dưới đây là những tuyến phố có giá đất cao nhất quận Nam Từ Liêm dựa theo bảng giá đất mới nhất do UBND TP Hà Nội công bố, áp dụng đến hết ngày 31/12</w:t>
      </w:r>
      <w:r/>
      <w:r>
        <w:rPr>
          <w:rFonts w:ascii="Times New Roman" w:hAnsi="Times New Roman" w:eastAsia="Times New Roman" w:cs="Times New Roman"/>
          <w:color w:val="000000"/>
          <w:sz w:val="24"/>
        </w:rPr>
        <w:t xml:space="preserve">Sau đợt sắp xếp lại đơn vị hành chính cấp phường theo Nghị quyết của Ủy ban Thường vụ Quốc hội, quận Nam Từ Liêm đang bước vào giai đoạn quy hoạch mới với nhiều kỳ vọng. Việc điều chỉnh địa giới hành chính không chỉ giúp tinh gọn bộ máy quản lý mà còn mở </w:t>
      </w:r>
      <w:r>
        <w:rPr>
          <w:rFonts w:ascii="Times New Roman" w:hAnsi="Times New Roman" w:eastAsia="Times New Roman" w:cs="Times New Roman"/>
          <w:color w:val="000000"/>
          <w:sz w:val="24"/>
        </w:rPr>
        <w:t xml:space="preserve">ra cơ hội tái cấu trúc không gian đô thị, thúc đẩy hạ tầng đồng bộ, phát triển kinh tế, xã hội, bất động sản. Trong bối cảnh đó, quy hoạch quận Nam Từ Liêm đang trở thành tâm điểm chú ý của giới đầu tư, người dân và các nhà quản lý đô thị.</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color w:val="000000"/>
          <w:sz w:val="24"/>
        </w:rPr>
        <w:tab/>
      </w:r>
      <w:r>
        <w:rPr>
          <w:rFonts w:ascii="Times New Roman" w:hAnsi="Times New Roman" w:eastAsia="Times New Roman" w:cs="Times New Roman"/>
          <w:color w:val="000000"/>
          <w:sz w:val="24"/>
        </w:rPr>
        <w:t xml:space="preserve">Quận Nam Từ Liêm được định hướng phát triển thành đô thị lõi, trung tâm hành chính, thương mại và dịch vụ của Thủ đô Hà Nội. Do đó, trên địa bàn quận triển khai xây dựng rất nhiều khu đô thị, dân cư và hạ tầng kỹ thuật:</w:t>
      </w:r>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Xây dựng hệ thống cấp thoát nước, trạm biến áp, cải tạo vườn hoa, khu vui chơi, tu bổ đền chùa, di tích lịch sử, xây dựng hạ tầng kỹ thuật cho khu di dân tái định cư, cụm công trình hạ tầng phường Mễ Trì,...</w:t>
      </w:r>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Xây dựng trường học, nhà văn hóa, trung tâm thể thao, cơ quan hành chính, trụ sở cho quân đội, chợ dân sinh,...</w:t>
      </w:r>
      <w:r/>
      <w:r/>
    </w:p>
    <w:p>
      <w:pPr>
        <w:numPr>
          <w:ilvl w:val="0"/>
          <w:numId w:val="39"/>
        </w:numPr>
        <w:pBdr>
          <w:top w:val="single" w:color="e5e5ea" w:sz="2" w:space="0"/>
          <w:left w:val="single" w:color="e5e5ea" w:sz="2" w:space="0"/>
          <w:bottom w:val="single" w:color="e5e5ea" w:sz="2" w:space="0"/>
          <w:right w:val="single" w:color="e5e5ea" w:sz="2" w:space="0"/>
        </w:pBdr>
        <w:spacing w:after="120" w:before="120"/>
        <w:ind/>
        <w:jc w:val="both"/>
        <w:rPr/>
      </w:pPr>
      <w:r>
        <w:rPr>
          <w:rFonts w:ascii="Times New Roman" w:hAnsi="Times New Roman" w:eastAsia="Times New Roman" w:cs="Times New Roman"/>
          <w:color w:val="000000"/>
          <w:sz w:val="24"/>
        </w:rPr>
        <w:t xml:space="preserve">Xây dựng Khu đô thị mới Phùng Khoang, khu nhà ở sinh thái Xuân Phương, khu đô thị mới Tây Mỗ - Đại Mỗ - Vinhomes Parks, khu nhà ở xã hội Tố Hữu (Rice City Tố Hữu), dự án thành phố công nghệ xanh Hà Nội, nhóm nhà ở Đông Nam đường Tố Hữu, khu chung cư quốc t</w:t>
      </w:r>
      <w:r>
        <w:rPr>
          <w:rFonts w:ascii="Times New Roman" w:hAnsi="Times New Roman" w:eastAsia="Times New Roman" w:cs="Times New Roman"/>
          <w:color w:val="000000"/>
          <w:sz w:val="24"/>
        </w:rPr>
        <w:t xml:space="preserve">ế Hoàng Thành City, tổ hợp Mỹ Đình Pearl, tổ hợp nhà ở thương mại dịch vụ golden palace A, khu tái định cư rộng 1,9ha...</w:t>
      </w:r>
      <w:r/>
      <w:r/>
    </w:p>
    <w:p>
      <w:pPr>
        <w:pBdr>
          <w:top w:val="single" w:color="e5e5ea" w:sz="2" w:space="0"/>
          <w:left w:val="single" w:color="e5e5ea" w:sz="2" w:space="0"/>
          <w:bottom w:val="single" w:color="e5e5ea" w:sz="2" w:space="0"/>
          <w:right w:val="single" w:color="e5e5ea" w:sz="2" w:space="0"/>
        </w:pBdr>
        <w:spacing w:after="299"/>
        <w:ind w:right="0" w:firstLine="0" w:left="0"/>
        <w:jc w:val="both"/>
        <w:rPr/>
      </w:pPr>
      <w:r>
        <w:rPr>
          <w:rFonts w:ascii="Times New Roman" w:hAnsi="Times New Roman" w:eastAsia="Times New Roman" w:cs="Times New Roman"/>
          <w:color w:val="000000"/>
          <w:sz w:val="24"/>
        </w:rPr>
        <w:t xml:space="preserve">       Trong năm 2025, thị trường bất động sản quận Nam Từ Liêm chứng kiến sự tăng trưởng ổn định về giá đất. Giá đất ở VT1 cao nhất là khu vực đường Phạm Hùng 138,88 triệu đồng/m2, kế đến là đường Tôn Thất Thuyết, Nguyễn Trãi, Đại lộ Thăng Long, Lê Đức </w:t>
      </w:r>
      <w:r>
        <w:rPr>
          <w:rFonts w:ascii="Times New Roman" w:hAnsi="Times New Roman" w:eastAsia="Times New Roman" w:cs="Times New Roman"/>
          <w:color w:val="000000"/>
          <w:sz w:val="24"/>
        </w:rPr>
        <w:t xml:space="preserve">Thọ, Lê Quang Đạo,... Dưới đây là những tuyến phố có giá đất cao nhất quận Nam Từ Liêm dựa theo bảng giá đất mới nhất do UBND TP Hà Nội công bố, áp dụng đến hết ngày 31/12/2025:</w:t>
      </w:r>
      <w:r/>
      <w:r/>
    </w:p>
    <w:p>
      <w:pPr>
        <w:pBdr>
          <w:top w:val="single" w:color="e5e5ea" w:sz="2" w:space="0"/>
          <w:left w:val="single" w:color="e5e5ea" w:sz="2" w:space="0"/>
          <w:bottom w:val="single" w:color="e5e5ea" w:sz="2" w:space="0"/>
          <w:right w:val="single" w:color="e5e5ea" w:sz="2" w:space="0"/>
        </w:pBdr>
        <w:spacing w:after="299"/>
        <w:ind w:right="0" w:firstLine="0" w:left="0"/>
        <w:jc w:val="both"/>
        <w:rPr/>
      </w:pPr>
      <w:r>
        <w:rPr>
          <w:rFonts w:ascii="Times New Roman" w:hAnsi="Times New Roman" w:eastAsia="Times New Roman" w:cs="Times New Roman"/>
          <w:color w:val="000000"/>
          <w:sz w:val="24"/>
        </w:rPr>
        <w:t xml:space="preserve">       Trong năm 2025, thị trường bất động sản quận Nam Từ Liêm chứng kiến sự tăng trưởng ổn định về giá đất. Giá đất ở VT1 cao nhất là khu vực đường Phạm Hùng 138,88 triệu đồng/m2, kế đến là đường Tôn Thất Thuyết, Nguyễn Trãi, Đ</w:t>
      </w:r>
      <w:r/>
      <w:r>
        <w:rPr>
          <w:rFonts w:ascii="Times New Roman" w:hAnsi="Times New Roman" w:eastAsia="Times New Roman" w:cs="Times New Roman"/>
          <w:color w:val="000000"/>
          <w:sz w:val="24"/>
        </w:rPr>
        <w:t xml:space="preserve">/2025:</w:t>
      </w:r>
      <w:r/>
      <w:r/>
    </w:p>
    <w:p>
      <w:pPr>
        <w:pStyle w:val="1027"/>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077"/>
        <w:gridCol w:w="2004"/>
        <w:gridCol w:w="2393"/>
        <w:gridCol w:w="2315"/>
      </w:tblGrid>
      <w:tr>
        <w:trPr>
          <w:trHeight w:val="1473"/>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60" w:before="60" w:line="276" w:lineRule="auto"/>
              <w:ind w:right="51" w:firstLine="0" w:left="142"/>
              <w:jc w:val="both"/>
              <w:rPr>
                <w:b/>
                <w:bCs/>
                <w:spacing w:val="2"/>
                <w:highlight w:val="white"/>
              </w:rPr>
            </w:pPr>
            <w:r>
              <w:rPr>
                <w:b/>
                <w:bCs/>
                <w:color w:val="000000" w:themeColor="text1"/>
                <w:highlight w:val="white"/>
                <w:lang w:val="pt-BR"/>
              </w:rPr>
            </w:r>
            <w:r>
              <w:rPr>
                <w:b/>
                <w:bCs/>
                <w:color w:val="000000"/>
              </w:rPr>
              <w:t xml:space="preserve">Quyền sở hữu căn hộ chung cư số 707, Nhà A4, Khu đô thị mới Mỹ Đình I, Phường Từ Liêm, Thành phố Hà Nội theo Giấy chứng</w:t>
            </w:r>
            <w:r>
              <w:rPr>
                <w:b/>
                <w:bCs/>
                <w:color w:val="000000"/>
              </w:rPr>
              <w:t xml:space="preserve"> nhận quyền sử dụng đất quyền sở hữu nhà ở và tài sản khác gắn liền với đất số: DĐ 714822, số vào sổ cấp GCN: CS-NTL 26359 do Sở Tài nguyên và Môi trường Thành phố Hà Nội cấp ngày 22/02/2022; Chủ sở hữu căn hộ là Ông Chu Minh Hải (</w:t>
            </w:r>
            <w:r>
              <w:rPr>
                <w:b/>
                <w:bCs/>
                <w:i/>
                <w:iCs/>
                <w:color w:val="000000"/>
              </w:rPr>
              <w:t xml:space="preserve">Cập nhật ngày 05/8/2025</w:t>
            </w:r>
            <w:r>
              <w:rPr>
                <w:b/>
                <w:bCs/>
                <w:color w:val="000000"/>
              </w:rPr>
              <w:t xml:space="preserve">)</w:t>
            </w:r>
            <w:r>
              <w:rPr>
                <w:b/>
                <w:bCs/>
                <w:i/>
                <w:iCs/>
              </w:rPr>
              <w:t xml:space="preserve">.</w:t>
            </w:r>
            <w:r>
              <w:rPr>
                <w:b/>
                <w:bCs/>
                <w:color w:val="000000" w:themeColor="text1"/>
                <w:highlight w:val="white"/>
                <w:lang w:val="pt-BR"/>
              </w:rPr>
            </w:r>
            <w:r>
              <w:rPr>
                <w:b/>
                <w:bCs/>
                <w:spacing w:val="2"/>
                <w:highlight w:val="white"/>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1.</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b/>
                <w:color w:val="000000"/>
                <w:sz w:val="24"/>
                <w:highlight w:val="white"/>
              </w:rPr>
              <w:t xml:space="preserve">Nội dung Thửa đất theo Hồ sơ pháp lý</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Thửa đất:</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51" w:firstLine="0" w:left="142"/>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Tờ bản đồ số:</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51" w:firstLine="0" w:left="142"/>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r>
      <w:tr>
        <w:trPr>
          <w:trHeight w:val="961"/>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Địa chỉ:</w:t>
            </w:r>
            <w:r>
              <w:rPr>
                <w:highlight w:val="white"/>
              </w:rPr>
            </w:r>
            <w:r>
              <w:rPr>
                <w:highlight w:val="white"/>
              </w:rP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712" w:type="dxa"/>
            <w:vAlign w:val="center"/>
            <w:textDirection w:val="lrTb"/>
            <w:noWrap/>
          </w:tcPr>
          <w:p>
            <w:pPr>
              <w:pBdr/>
              <w:spacing w:after="0" w:before="0" w:line="240" w:lineRule="auto"/>
              <w:ind w:right="51" w:firstLine="0" w:left="142"/>
              <w:jc w:val="both"/>
              <w:rPr>
                <w:highlight w:val="white"/>
              </w:rPr>
            </w:pPr>
            <w:r>
              <w:rPr>
                <w:rFonts w:ascii="Times New Roman" w:hAnsi="Times New Roman" w:eastAsia="Times New Roman" w:cs="Times New Roman"/>
                <w:color w:val="000000"/>
                <w:sz w:val="24"/>
                <w:highlight w:val="white"/>
              </w:rPr>
              <w:t xml:space="preserve">Nhà A4, Khu đô thị mới Mỹ Đình I, Phường Cầu Diễn, Quận Nam Từ Liêm, Thành phố Hà Nội (</w:t>
            </w:r>
            <w:r>
              <w:rPr>
                <w:rFonts w:ascii="Times New Roman" w:hAnsi="Times New Roman" w:eastAsia="Times New Roman" w:cs="Times New Roman"/>
                <w:i/>
                <w:iCs/>
                <w:color w:val="000000"/>
                <w:sz w:val="24"/>
                <w:highlight w:val="white"/>
              </w:rPr>
              <w:t xml:space="preserve">Nay là phường Từ Liêm, Thành phố Hà Nội</w:t>
            </w:r>
            <w:r>
              <w:rPr>
                <w:rFonts w:ascii="Times New Roman" w:hAnsi="Times New Roman" w:eastAsia="Times New Roman" w:cs="Times New Roman"/>
                <w:color w:val="000000"/>
                <w:sz w:val="24"/>
                <w:highlight w:val="white"/>
              </w:rPr>
              <w:t xml:space="preserve">)</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Diện tích (m²):</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51" w:firstLine="0" w:left="142"/>
              <w:jc w:val="center"/>
              <w:rPr>
                <w:highlight w:val="white"/>
              </w:rPr>
            </w:pPr>
            <w:r>
              <w:rPr>
                <w:rFonts w:ascii="Times New Roman" w:hAnsi="Times New Roman" w:eastAsia="Times New Roman" w:cs="Times New Roman"/>
                <w:color w:val="000000"/>
                <w:sz w:val="24"/>
                <w:highlight w:val="white"/>
              </w:rPr>
              <w:t xml:space="preserve">1.012,5</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Hình thức sử dụng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51" w:firstLine="0" w:left="142"/>
              <w:jc w:val="center"/>
              <w:rPr>
                <w:highlight w:val="white"/>
              </w:rPr>
            </w:pPr>
            <w:r>
              <w:rPr>
                <w:rFonts w:ascii="Times New Roman" w:hAnsi="Times New Roman" w:eastAsia="Times New Roman" w:cs="Times New Roman"/>
                <w:color w:val="000000"/>
                <w:sz w:val="24"/>
                <w:highlight w:val="white"/>
              </w:rPr>
              <w:t xml:space="preserve">Sử dụng chung</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Mục đích sử dụng: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51" w:firstLine="0" w:left="142"/>
              <w:jc w:val="center"/>
              <w:rPr>
                <w:highlight w:val="white"/>
              </w:rPr>
            </w:pPr>
            <w:r>
              <w:rPr>
                <w:rFonts w:ascii="Times New Roman" w:hAnsi="Times New Roman" w:eastAsia="Times New Roman" w:cs="Times New Roman"/>
                <w:color w:val="000000"/>
                <w:sz w:val="24"/>
                <w:highlight w:val="white"/>
              </w:rPr>
              <w:t xml:space="preserve">Đất tại ở đô thị</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51" w:firstLine="0" w:left="142"/>
              <w:jc w:val="center"/>
              <w:rPr>
                <w:highlight w:val="white"/>
              </w:rPr>
            </w:pPr>
            <w:r>
              <w:rPr>
                <w:rFonts w:ascii="Times New Roman" w:hAnsi="Times New Roman" w:eastAsia="Times New Roman" w:cs="Times New Roman"/>
                <w:color w:val="000000"/>
                <w:sz w:val="24"/>
                <w:highlight w:val="white"/>
              </w:rPr>
              <w:t xml:space="preserve">Lâu dài</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Nguồn gốc sử dụng đất:</w:t>
            </w:r>
            <w:r>
              <w:rPr>
                <w:highlight w:val="white"/>
              </w:rPr>
            </w:r>
            <w:r>
              <w:rPr>
                <w:highlight w:val="white"/>
              </w:rP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712"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Nhà nước giao đất có thu tiền sử dụng đất.</w:t>
            </w:r>
            <w:r>
              <w:rPr>
                <w:highlight w:val="white"/>
              </w:rPr>
            </w:r>
            <w:r>
              <w:rPr>
                <w:highlight w:val="white"/>
              </w:rPr>
            </w:r>
          </w:p>
        </w:tc>
      </w:tr>
      <w:tr>
        <w:trPr>
          <w:trHeight w:val="145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51" w:firstLine="0" w:left="142"/>
              <w:rPr>
                <w:highlight w:val="white"/>
              </w:rPr>
            </w:pPr>
            <w:r>
              <w:rPr>
                <w:rFonts w:ascii="Times New Roman" w:hAnsi="Times New Roman" w:eastAsia="Times New Roman" w:cs="Times New Roman"/>
                <w:color w:val="000000"/>
                <w:sz w:val="24"/>
                <w:highlight w:val="white"/>
              </w:rPr>
              <w:t xml:space="preserve">Ghi chú:</w:t>
            </w:r>
            <w:r>
              <w:rPr>
                <w:highlight w:val="white"/>
              </w:rPr>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712" w:type="dxa"/>
            <w:vAlign w:val="center"/>
            <w:textDirection w:val="lrTb"/>
            <w:noWrap w:val="false"/>
          </w:tcPr>
          <w:p>
            <w:pPr>
              <w:pBdr/>
              <w:spacing w:after="0" w:before="0" w:line="240" w:lineRule="auto"/>
              <w:ind w:right="51" w:firstLine="0" w:left="142"/>
              <w:jc w:val="both"/>
              <w:rPr>
                <w:rFonts w:ascii="Times New Roman" w:hAnsi="Times New Roman" w:eastAsia="Times New Roman" w:cs="Times New Roman"/>
                <w:bCs/>
                <w:i/>
                <w:color w:val="000000"/>
                <w:sz w:val="24"/>
                <w:szCs w:val="24"/>
                <w:highlight w:val="white"/>
              </w:rPr>
            </w:pPr>
            <w:r>
              <w:rPr>
                <w:rFonts w:ascii="Times New Roman" w:hAnsi="Times New Roman" w:eastAsia="Times New Roman" w:cs="Times New Roman"/>
                <w:i/>
                <w:iCs/>
                <w:color w:val="000000"/>
                <w:sz w:val="24"/>
                <w:highlight w:val="none"/>
              </w:rPr>
              <w:t xml:space="preserve">+ </w:t>
            </w:r>
            <w:r>
              <w:rPr>
                <w:rFonts w:ascii="Times New Roman" w:hAnsi="Times New Roman" w:eastAsia="Times New Roman" w:cs="Times New Roman"/>
                <w:i/>
                <w:iCs/>
                <w:color w:val="000000"/>
                <w:sz w:val="24"/>
                <w:highlight w:val="white"/>
              </w:rPr>
              <w:t xml:space="preserve">Số tờ, số thửa và sơ đồ sẽ được điều chỉnh khi</w:t>
            </w:r>
            <w:r>
              <w:rPr>
                <w:rFonts w:ascii="Times New Roman" w:hAnsi="Times New Roman" w:eastAsia="Times New Roman" w:cs="Times New Roman"/>
                <w:i/>
                <w:iCs/>
                <w:color w:val="000000"/>
                <w:sz w:val="24"/>
                <w:highlight w:val="white"/>
              </w:rPr>
              <w:t xml:space="preserve"> có bản đồ địa chính chính quy.                                                                                            </w:t>
            </w:r>
            <w:r>
              <w:rPr>
                <w:rFonts w:ascii="Times New Roman" w:hAnsi="Times New Roman" w:eastAsia="Times New Roman" w:cs="Times New Roman"/>
                <w:i/>
                <w:iCs/>
                <w:color w:val="000000"/>
                <w:sz w:val="24"/>
                <w:szCs w:val="24"/>
                <w:highlight w:val="white"/>
              </w:rPr>
            </w:r>
            <w:r>
              <w:rPr>
                <w:rFonts w:ascii="Times New Roman" w:hAnsi="Times New Roman" w:eastAsia="Times New Roman" w:cs="Times New Roman"/>
                <w:i/>
                <w:iCs/>
                <w:color w:val="000000"/>
                <w:sz w:val="24"/>
                <w:szCs w:val="24"/>
                <w:highlight w:val="white"/>
              </w:rPr>
            </w:r>
          </w:p>
          <w:p>
            <w:pPr>
              <w:pBdr/>
              <w:spacing w:after="0" w:before="0" w:line="240" w:lineRule="auto"/>
              <w:ind w:right="51" w:firstLine="0" w:left="142"/>
              <w:jc w:val="both"/>
              <w:rPr>
                <w:bCs/>
                <w:i/>
                <w:highlight w:val="white"/>
              </w:rPr>
            </w:pPr>
            <w:r>
              <w:rPr>
                <w:rFonts w:ascii="Times New Roman" w:hAnsi="Times New Roman" w:eastAsia="Times New Roman" w:cs="Times New Roman"/>
                <w:i/>
                <w:iCs/>
                <w:color w:val="000000"/>
                <w:sz w:val="24"/>
                <w:highlight w:val="none"/>
              </w:rPr>
              <w:t xml:space="preserve">+ </w:t>
            </w:r>
            <w:r>
              <w:rPr>
                <w:rFonts w:ascii="Times New Roman" w:hAnsi="Times New Roman" w:eastAsia="Times New Roman" w:cs="Times New Roman"/>
                <w:i/>
                <w:iCs/>
                <w:color w:val="000000"/>
                <w:sz w:val="24"/>
                <w:highlight w:val="white"/>
              </w:rPr>
              <w:t xml:space="preserve">Giấy chứng nhận này được cấp đổi từ Giấy chứng nhận số BĐ 827538 được UBND huyện Từ Liêm cấp ngày 23/7/2011 do nhận chuyển nhượng.</w:t>
            </w:r>
            <w:r>
              <w:rPr>
                <w:i/>
                <w:iCs/>
                <w:highlight w:val="white"/>
              </w:rPr>
            </w:r>
            <w:r>
              <w:rPr>
                <w:i/>
                <w:iCs/>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gridSpan w:val="4"/>
            <w:tcBorders>
              <w:right w:val="single" w:color="000000" w:sz="4" w:space="0"/>
            </w:tcBorders>
            <w:tcMar>
              <w:left w:w="0" w:type="dxa"/>
              <w:top w:w="0" w:type="dxa"/>
              <w:right w:w="0" w:type="dxa"/>
              <w:bottom w:w="0" w:type="dxa"/>
            </w:tcMar>
            <w:tcW w:w="8788" w:type="dxa"/>
            <w:vAlign w:val="bottom"/>
            <w:textDirection w:val="lrTb"/>
            <w:noWrap/>
          </w:tcPr>
          <w:p>
            <w:pPr>
              <w:pBdr/>
              <w:spacing w:after="0" w:before="0" w:line="240" w:lineRule="auto"/>
              <w:ind w:right="0" w:firstLine="0" w:left="142"/>
              <w:rPr>
                <w:highlight w:val="white"/>
              </w:rPr>
            </w:pPr>
            <w:r>
              <w:rPr>
                <w:highlight w:val="white"/>
              </w:rPr>
              <w:t xml:space="preserve">Vị trí trên bản đồ:</w:t>
            </w:r>
            <w:r>
              <w:rPr>
                <w:highlight w:val="white"/>
              </w:rPr>
            </w:r>
            <w:r>
              <w:rPr>
                <w:highlight w:val="white"/>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345"/>
              <w:gridCol w:w="2345"/>
              <w:gridCol w:w="2345"/>
              <w:gridCol w:w="2345"/>
            </w:tblGrid>
            <w:tr>
              <w:trPr/>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380" w:type="dxa"/>
                  <w:vAlign w:val="center"/>
                  <w:textDirection w:val="lrTb"/>
                  <w:noWrap w:val="false"/>
                </w:tcPr>
                <w:p>
                  <w:pPr>
                    <w:pBdr/>
                    <w:spacing w:after="0" w:before="0" w:line="240" w:lineRule="auto"/>
                    <w:ind w:right="0" w:firstLine="0" w:left="142"/>
                    <w:jc w:val="left"/>
                    <w:rPr>
                      <w:highlight w:val="white"/>
                    </w:rPr>
                  </w:pPr>
                  <w:r>
                    <w:rPr>
                      <w:rFonts w:ascii="Times New Roman" w:hAnsi="Times New Roman" w:eastAsia="Times New Roman" w:cs="Times New Roman"/>
                      <w:color w:val="000000"/>
                      <w:sz w:val="24"/>
                      <w:highlight w:val="white"/>
                    </w:rPr>
                    <w:t xml:space="preserve"> </w:t>
                  </w:r>
                  <w:r>
                    <w:rPr>
                      <w:highlight w:val="white"/>
                    </w:rPr>
                    <mc:AlternateContent>
                      <mc:Choice Requires="wpg">
                        <w:drawing>
                          <wp:inline xmlns:wp="http://schemas.openxmlformats.org/drawingml/2006/wordprocessingDrawing" distT="0" distB="0" distL="0" distR="0">
                            <wp:extent cx="5435789" cy="293547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316805" name=""/>
                                    <pic:cNvPicPr>
                                      <a:picLocks noChangeAspect="1"/>
                                    </pic:cNvPicPr>
                                    <pic:nvPr/>
                                  </pic:nvPicPr>
                                  <pic:blipFill rotWithShape="1">
                                    <a:blip r:embed="rId17"/>
                                    <a:stretch/>
                                  </pic:blipFill>
                                  <pic:spPr bwMode="auto">
                                    <a:xfrm flipH="0" flipV="0">
                                      <a:off x="0" y="0"/>
                                      <a:ext cx="5435788" cy="29354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8.01pt;height:231.14pt;mso-wrap-distance-left:0.00pt;mso-wrap-distance-top:0.00pt;mso-wrap-distance-right:0.00pt;mso-wrap-distance-bottom:0.00pt;z-index:1;" stroked="false">
                            <v:imagedata r:id="rId17" o:title=""/>
                            <o:lock v:ext="edit" rotation="t"/>
                          </v:shape>
                        </w:pict>
                      </mc:Fallback>
                    </mc:AlternateContent>
                  </w:r>
                  <w:r>
                    <w:rPr>
                      <w:highlight w:val="white"/>
                    </w:rPr>
                  </w:r>
                  <w:r>
                    <w:rPr>
                      <w:highlight w:val="white"/>
                    </w:rPr>
                  </w:r>
                </w:p>
              </w:tc>
            </w:tr>
          </w:tbl>
          <w:p>
            <w:pPr>
              <w:pBdr/>
              <w:spacing/>
              <w:ind w:right="0" w:firstLine="0" w:left="142"/>
              <w:rPr>
                <w:highlight w:val="white"/>
              </w:rPr>
            </w:pPr>
            <w:r>
              <w:rPr>
                <w:highlight w:val="white"/>
              </w:rPr>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2.</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Thông tin về căn hộ</w:t>
            </w:r>
            <w:r>
              <w:rPr>
                <w:highlight w:val="white"/>
              </w:rPr>
            </w:r>
            <w:r>
              <w:rPr>
                <w:highlight w:val="white"/>
              </w:rP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Diện tích sàn (m²):</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126,0</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Diện tích tim tường (m²):</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r>
      <w:tr>
        <w:trPr>
          <w:trHeight w:val="1248"/>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Hình thức sở hữu:</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Sở hữu riêng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Vị trí:</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Tài sản là căn hộ chung cư số 707, Nhà A4, Khu đô thị mới Mỹ Đình I.</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Vị trí tầng: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Tầng 7/18 tầng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Loại căn hộ</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Căn góc</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Hướng cửa:</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Nam</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Hướng ban công: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Bắc+ Tây</w:t>
            </w:r>
            <w:r>
              <w:rPr>
                <w:highlight w:val="white"/>
              </w:rPr>
            </w:r>
            <w:r>
              <w:rPr>
                <w:highlight w:val="white"/>
              </w:rPr>
            </w:r>
          </w:p>
        </w:tc>
      </w:tr>
      <w:tr>
        <w:trPr>
          <w:trHeight w:val="936"/>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Cấu trúc:</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3 phòng ngủ, 2 nhà vệ sinh,  phòng khách + nhà bếp</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Nội thất:</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Nội thất cơ bản </w:t>
            </w:r>
            <w:r>
              <w:rPr>
                <w:highlight w:val="white"/>
              </w:rPr>
            </w:r>
            <w:r>
              <w:rPr>
                <w:highlight w:val="white"/>
              </w:rPr>
            </w:r>
          </w:p>
        </w:tc>
      </w:tr>
      <w:tr>
        <w:trPr>
          <w:trHeight w:val="450"/>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4"/>
                <w:highlight w:val="white"/>
              </w:rPr>
              <w:t xml:space="preserve">3.</w:t>
            </w:r>
            <w:r>
              <w:rPr>
                <w:highlight w:val="white"/>
              </w:rPr>
            </w:r>
            <w:r>
              <w:rPr>
                <w:highlight w:val="white"/>
              </w:rP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8788"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b/>
                <w:color w:val="000000"/>
                <w:sz w:val="24"/>
                <w:highlight w:val="white"/>
              </w:rPr>
              <w:t xml:space="preserve">Điều kiện kinh doanh; Hạ tầng nội bộ; Hạ tầng xung quanh</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Hạ tầng nội bộ:</w:t>
            </w:r>
            <w:r>
              <w:rPr>
                <w:highlight w:val="white"/>
              </w:rPr>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71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Cấp điện, cấp nước sạch, mạng internet,… hoàn thiện</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Hạ tầng xung quanh:</w:t>
            </w:r>
            <w:r>
              <w:rPr>
                <w:highlight w:val="white"/>
              </w:rPr>
            </w:r>
            <w:r>
              <w:rPr>
                <w:highlight w:val="white"/>
              </w:rP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712"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Môi trường trong lành, an ninh đảm bảo, dân trí tốt</w:t>
            </w:r>
            <w:r>
              <w:rPr>
                <w:highlight w:val="white"/>
              </w:rPr>
            </w:r>
            <w:r>
              <w:rPr>
                <w:highlight w:val="white"/>
              </w:rP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Mật độ dân cư:</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Đông đúc</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Đời sống dân cư:</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Ổn định</w:t>
            </w:r>
            <w:r>
              <w:rPr>
                <w:highlight w:val="white"/>
              </w:rPr>
            </w:r>
            <w:r>
              <w:rPr>
                <w:highlight w:val="white"/>
              </w:rP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737"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4"/>
                <w:highlight w:val="white"/>
              </w:rPr>
              <w:t xml:space="preserve">-</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77"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Lợi thế kinh doanh:</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004"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Phù hợp để ở</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93" w:type="dxa"/>
            <w:vAlign w:val="center"/>
            <w:textDirection w:val="lrTb"/>
            <w:noWrap w:val="false"/>
          </w:tcPr>
          <w:p>
            <w:pPr>
              <w:pBdr/>
              <w:spacing w:after="0" w:before="0" w:line="240" w:lineRule="auto"/>
              <w:ind w:right="0" w:firstLine="0" w:left="142"/>
              <w:rPr>
                <w:highlight w:val="white"/>
              </w:rPr>
            </w:pPr>
            <w:r>
              <w:rPr>
                <w:rFonts w:ascii="Times New Roman" w:hAnsi="Times New Roman" w:eastAsia="Times New Roman" w:cs="Times New Roman"/>
                <w:color w:val="000000"/>
                <w:sz w:val="24"/>
                <w:highlight w:val="white"/>
              </w:rPr>
              <w:t xml:space="preserve">Khả năng chuyển nhượng:</w:t>
            </w:r>
            <w:r>
              <w:rPr>
                <w:highlight w:val="white"/>
              </w:rPr>
            </w:r>
            <w:r>
              <w:rPr>
                <w:highlight w:val="white"/>
              </w:rPr>
            </w:r>
          </w:p>
        </w:tc>
        <w:tc>
          <w:tcPr>
            <w:tcBorders>
              <w:bottom w:val="single" w:color="000000" w:sz="5" w:space="0"/>
              <w:right w:val="single" w:color="000000" w:sz="5" w:space="0"/>
            </w:tcBorders>
            <w:tcMar>
              <w:left w:w="0" w:type="dxa"/>
              <w:top w:w="0" w:type="dxa"/>
              <w:right w:w="0" w:type="dxa"/>
              <w:bottom w:w="0" w:type="dxa"/>
            </w:tcMar>
            <w:tcW w:w="2315" w:type="dxa"/>
            <w:vAlign w:val="center"/>
            <w:textDirection w:val="lrTb"/>
            <w:noWrap w:val="false"/>
          </w:tcPr>
          <w:p>
            <w:pPr>
              <w:pBdr/>
              <w:spacing w:after="0" w:before="0" w:line="240" w:lineRule="auto"/>
              <w:ind w:right="0" w:firstLine="0" w:left="142"/>
              <w:jc w:val="center"/>
              <w:rPr>
                <w:highlight w:val="white"/>
              </w:rPr>
            </w:pPr>
            <w:r>
              <w:rPr>
                <w:rFonts w:ascii="Times New Roman" w:hAnsi="Times New Roman" w:eastAsia="Times New Roman" w:cs="Times New Roman"/>
                <w:color w:val="000000"/>
                <w:sz w:val="24"/>
                <w:highlight w:val="white"/>
              </w:rPr>
              <w:t xml:space="preserve">Tốt </w:t>
            </w:r>
            <w:r>
              <w:rPr>
                <w:highlight w:val="white"/>
              </w:rPr>
            </w:r>
            <w:r>
              <w:rPr>
                <w:highlight w:val="white"/>
              </w:rP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1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54"/>
        <w:gridCol w:w="3828"/>
        <w:gridCol w:w="1560"/>
        <w:gridCol w:w="3402"/>
      </w:tblGrid>
      <w:tr>
        <w:trPr>
          <w:cantSplit/>
          <w:tblCellSpacing w:w="0" w:type="dxa"/>
          <w:trHeight w:val="300"/>
          <w:tblHeader/>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402"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54"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402"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5"/>
        <w:gridCol w:w="1718"/>
        <w:gridCol w:w="1838"/>
        <w:gridCol w:w="1838"/>
        <w:gridCol w:w="1838"/>
        <w:gridCol w:w="1838"/>
      </w:tblGrid>
      <w:tr>
        <w:trPr>
          <w:trHeight w:val="30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top"/>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STT</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top"/>
            <w:textDirection w:val="lrTb"/>
            <w:noWrap w:val="false"/>
          </w:tcPr>
          <w:p>
            <w:pPr>
              <w:pBdr/>
              <w:spacing w:after="0" w:before="0" w:line="240" w:lineRule="auto"/>
              <w:ind/>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ĐẶC ĐIỂM BĐS</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top"/>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TSTĐ</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top"/>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TSSS1</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top"/>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TSSS2</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TSSS3</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top"/>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A</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top"/>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Thông tin về tài sản</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top"/>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top"/>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top"/>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Địa chỉ</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Phường Nam Từ Liêm, Thành phố Hà Nội</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Phường Nam Từ Liêm, Thành phố Hà Nội</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Phường Nam Từ Liêm, Thành phố Hà Nội</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Phường Nam Từ Liêm, Thành phố Hà Nội</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1860"/>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2</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Nguồn tham khảo</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eastAsia="Times New Roman" w:cs="Times New Roman"/>
                <w:color w:val="auto"/>
                <w:sz w:val="24"/>
                <w:szCs w:val="24"/>
                <w14:ligatures w14:val="none"/>
              </w:rPr>
            </w:pPr>
            <w:r>
              <w:rPr>
                <w:rFonts w:ascii="Times New Roman" w:hAnsi="Times New Roman" w:eastAsia="Times New Roman" w:cs="Times New Roman"/>
                <w:color w:val="auto"/>
                <w:sz w:val="24"/>
                <w:szCs w:val="24"/>
                <w:lang w:val="undefined"/>
              </w:rPr>
              <w:t xml:space="preserve"> </w:t>
            </w:r>
            <w:r>
              <w:rPr>
                <w:rFonts w:ascii="Times New Roman" w:hAnsi="Times New Roman" w:eastAsia="Times New Roman" w:cs="Times New Roman"/>
                <w:color w:val="auto"/>
                <w:sz w:val="24"/>
                <w:szCs w:val="24"/>
                <w:lang w:val="undefined" w:bidi="undefined"/>
              </w:rPr>
            </w:r>
            <w:r>
              <w:rPr>
                <w:rFonts w:ascii="Times New Roman" w:hAnsi="Times New Roman" w:eastAsia="Times New Roman" w:cs="Times New Roman"/>
                <w:color w:val="auto"/>
                <w:sz w:val="24"/>
                <w:szCs w:val="24"/>
                <w:lang w:val="undefined"/>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eastAsia="Times New Roman" w:cs="Times New Roman"/>
                <w:color w:val="auto"/>
                <w:sz w:val="24"/>
                <w:szCs w:val="24"/>
                <w14:ligatures w14:val="none"/>
              </w:rPr>
            </w:pPr>
            <w:r>
              <w:rPr>
                <w:rFonts w:ascii="Times New Roman" w:hAnsi="Times New Roman" w:eastAsia="Times New Roman" w:cs="Times New Roman"/>
                <w:color w:val="auto"/>
                <w:sz w:val="24"/>
                <w:szCs w:val="24"/>
                <w:lang w:val="undefined" w:bidi="undefined"/>
              </w:rPr>
            </w:r>
            <w:hyperlink r:id="rId18" w:tooltip="https://batdongsan.com.vn/ban-can-ho-chung-cu-duong-ham-nghi-phuong-cau-dien-prj-khu-do-thi-my-dinh-i/em-sinh-chuyen-ban-c3-nguyen-co-thach-dang-co-quy-5-tich-1128m2-gia-tu-8-ty-pr44651480" w:history="1">
              <w:r>
                <w:rPr>
                  <w:rFonts w:ascii="Times New Roman" w:hAnsi="Times New Roman" w:eastAsia="Times New Roman" w:cs="Times New Roman"/>
                  <w:color w:val="auto"/>
                  <w:sz w:val="24"/>
                  <w:szCs w:val="24"/>
                  <w:lang w:val="undefined"/>
                </w:rPr>
                <w:t xml:space="preserve">https://batdongsan.com.vn/ban-can-ho-chung-cu-duong-ham-nghi-phuong-cau-dien-prj-khu-do-thi-my-dinh-i/em-sinh-chuyen-ban-c3-nguyen-co-thach-dang-co-quy-5-tich-1128m2-gia-tu-8-ty-pr44651480</w:t>
              </w:r>
            </w:hyperlink>
            <w:r>
              <w:rPr>
                <w:rFonts w:ascii="Times New Roman" w:hAnsi="Times New Roman" w:eastAsia="Times New Roman" w:cs="Times New Roman"/>
                <w:color w:val="auto"/>
                <w:sz w:val="24"/>
                <w:szCs w:val="24"/>
                <w:lang w:val="undefined" w:bidi="undefined"/>
              </w:rPr>
            </w:r>
            <w:r>
              <w:rPr>
                <w:rFonts w:ascii="Times New Roman" w:hAnsi="Times New Roman" w:eastAsia="Times New Roman" w:cs="Times New Roman"/>
                <w:color w:val="auto"/>
                <w:sz w:val="24"/>
                <w:szCs w:val="24"/>
                <w:lang w:val="undefined"/>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Style w:val="1017"/>
                <w:rFonts w:ascii="Times New Roman" w:hAnsi="Times New Roman" w:eastAsia="Times New Roman" w:cs="Times New Roman"/>
                <w:color w:val="auto"/>
                <w:sz w:val="24"/>
                <w:szCs w:val="24"/>
                <w:u w:val="none"/>
                <w14:ligatures w14:val="none"/>
              </w:rPr>
            </w:pPr>
            <w:r>
              <w:rPr>
                <w:rStyle w:val="1017"/>
                <w:rFonts w:ascii="Times New Roman" w:hAnsi="Times New Roman" w:eastAsia="Times New Roman" w:cs="Times New Roman"/>
                <w:color w:val="auto"/>
                <w:sz w:val="24"/>
                <w:szCs w:val="24"/>
                <w:u w:val="none"/>
                <w:lang w:val="undefined" w:bidi="undefined"/>
              </w:rPr>
            </w:r>
            <w:hyperlink r:id="rId19" w:tooltip="https://batdongsan.com.vn/ban-can-ho-chung-cu-duong-to-huu-phuong-trung-van-prj-c37-bo-cong-an-bac-ha-tower/chuyen-doi-kinh-doanh-ban-goc-115m-a-nha-pho-xinh-pr39358507" w:history="1">
              <w:r>
                <w:rPr>
                  <w:rStyle w:val="1017"/>
                  <w:rFonts w:ascii="Times New Roman" w:hAnsi="Times New Roman" w:eastAsia="Times New Roman" w:cs="Times New Roman"/>
                  <w:color w:val="auto"/>
                  <w:sz w:val="24"/>
                  <w:szCs w:val="24"/>
                  <w:u w:val="none"/>
                  <w:lang w:val="undefined"/>
                </w:rPr>
                <w:t xml:space="preserve">Liên hệ trực tiếp</w:t>
              </w:r>
            </w:hyperlink>
            <w:r>
              <w:rPr>
                <w:rStyle w:val="1017"/>
                <w:rFonts w:ascii="Times New Roman" w:hAnsi="Times New Roman" w:eastAsia="Times New Roman" w:cs="Times New Roman"/>
                <w:color w:val="auto"/>
                <w:sz w:val="24"/>
                <w:szCs w:val="24"/>
                <w:u w:val="none"/>
                <w:lang w:val="undefined" w:bidi="undefined"/>
              </w:rPr>
            </w:r>
            <w:r>
              <w:rPr>
                <w:rStyle w:val="1017"/>
                <w:rFonts w:ascii="Times New Roman" w:hAnsi="Times New Roman" w:eastAsia="Times New Roman" w:cs="Times New Roman"/>
                <w:color w:val="auto"/>
                <w:sz w:val="24"/>
                <w:szCs w:val="24"/>
                <w:u w:val="none"/>
                <w:lang w:val="undefined"/>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bottom"/>
            <w:textDirection w:val="lrTb"/>
            <w:noWrap w:val="false"/>
          </w:tcPr>
          <w:p>
            <w:pPr>
              <w:pBdr/>
              <w:spacing w:after="0" w:before="0" w:line="240" w:lineRule="auto"/>
              <w:ind/>
              <w:jc w:val="center"/>
              <w:rPr>
                <w:rStyle w:val="1017"/>
                <w:rFonts w:ascii="Times New Roman" w:hAnsi="Times New Roman" w:eastAsia="Times New Roman" w:cs="Times New Roman"/>
                <w:color w:val="auto"/>
                <w:sz w:val="24"/>
                <w:szCs w:val="24"/>
                <w:u w:val="none"/>
                <w14:ligatures w14:val="none"/>
              </w:rPr>
            </w:pPr>
            <w:r>
              <w:rPr>
                <w:rStyle w:val="1017"/>
                <w:rFonts w:ascii="Times New Roman" w:hAnsi="Times New Roman" w:eastAsia="Times New Roman" w:cs="Times New Roman"/>
                <w:color w:val="auto"/>
                <w:sz w:val="24"/>
                <w:szCs w:val="24"/>
                <w:u w:val="none"/>
                <w:lang w:val="undefined"/>
              </w:rPr>
              <w:t xml:space="preserve">Liên hệ trực tiếp</w:t>
            </w:r>
            <w:r>
              <w:rPr>
                <w:rStyle w:val="1017"/>
                <w:rFonts w:ascii="Times New Roman" w:hAnsi="Times New Roman" w:eastAsia="Times New Roman" w:cs="Times New Roman"/>
                <w:color w:val="auto"/>
                <w:sz w:val="24"/>
                <w:szCs w:val="24"/>
                <w:u w:val="none"/>
                <w:lang w:val="undefined" w:bidi="undefined"/>
              </w:rPr>
            </w:r>
            <w:r>
              <w:rPr>
                <w:rStyle w:val="1017"/>
                <w:rFonts w:ascii="Times New Roman" w:hAnsi="Times New Roman" w:eastAsia="Times New Roman" w:cs="Times New Roman"/>
                <w:color w:val="auto"/>
                <w:sz w:val="24"/>
                <w:szCs w:val="24"/>
                <w:u w:val="none"/>
                <w:lang w:val="undefined"/>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Thông tin liên lạc</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bottom"/>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SĐT: 0912.700518</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bottom"/>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SĐT: 0987.325056</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SĐT:</w:t>
              <w:br/>
              <w:t xml:space="preserve">0987.325056</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Tình trạng giao dịch</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Đang giao dịch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Đang giao dịch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Đang giao dịch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4</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Thời điểm thu thập thông tin</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Tháng 3/2026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Tháng 3/2026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Tháng 3/2026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5</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Tính chất giao dịch</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Giao dịch bình thường trên thị trường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Giao dịch bình thường trên thị trường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Giao dịch bình thường trên thị trường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Giao dịch bình thường trên thị trường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6</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Pháp lý</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Giấy chứng nhận Quyền sử dụng đất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Giấy chứng nhận Quyền sử dụng đất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Giấy chứng nhận Quyền sử dụng đất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Giấy chứng nhận Quyền sử dụng đất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7</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Loại hình tài sản</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hộ chung cư</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hộ chung cư</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hộ chung cư</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hộ chung cư</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165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Vị trí</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Tài sản nằm tại nhà A4 Khu đô thị mới Mỹ Đình 1, phường Từ Liêm, Hà Nội</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Tài sản nằm tại nhà A4 Khu đô thị mới Mỹ Đình 1, phường Từ Liêm, Hà Nội</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Tài sản nằm tại nhà A4 Khu đô thị mới Mỹ Đình 1, phường Từ Liêm, Hà Nội</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Tài sản nằm tại nhà A4 Khu đô thị mới Mỹ Đình 1, phường Từ Liêm, Hà Nội</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31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9</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Diện tích sàn (m²)</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126,0</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128,0</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108,0</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105,0</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10</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Mặt tiếp giáp</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góc</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góc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thường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Căn thường</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11</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 thấp</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 trung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 thấp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 trung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12</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Hướng ban công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Bắc</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Nam</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Đông Nam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Đông Nam</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13</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Cấu trúc</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 phòng ngủ, 2 nhà vệ sinh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 phòng ngủ, 2 nhà vệ sinh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 phòng ngủ, 2 nhà vệ sinh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 phòng ngủ, 2 nhà vệ sinh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14</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Nội thất</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Nội thất cơ bản</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Nội thất đầy đủ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Nội thất đầy đủ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Nội thất đầy đủ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828"/>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15</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Điều kiện cơ sở hạ tầng kỹ thuật</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Hệ thống cấp điện, cấp thoát nước đầy đủ</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Hệ thống cấp điện, cấp thoát nước đầy đủ</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Hệ thống cấp điện, cấp thoát nước đầy đủ</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Hệ thống cấp điện, cấp thoát nước đầy đủ</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16</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Điều kiện môi trường an ninh</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Tốt</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Tốt</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Tốt</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Tốt</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17</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Giá rao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8.500.000.000</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8.350.000.000</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8.700.000.000</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18</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Giá thương lượng/bán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b/>
                <w:bCs/>
                <w:color w:val="auto"/>
                <w:sz w:val="24"/>
                <w:szCs w:val="24"/>
              </w:rPr>
            </w:pPr>
            <w:r>
              <w:rPr>
                <w:rFonts w:ascii="Times New Roman" w:hAnsi="Times New Roman" w:eastAsia="Times New Roman" w:cs="Times New Roman"/>
                <w:b/>
                <w:bCs/>
                <w:color w:val="auto"/>
                <w:sz w:val="24"/>
                <w:szCs w:val="24"/>
              </w:rPr>
              <w:t xml:space="preserve">8.075.000.000</w:t>
            </w:r>
            <w:r>
              <w:rPr>
                <w:rFonts w:ascii="Times New Roman" w:hAnsi="Times New Roman" w:cs="Times New Roman"/>
                <w:b/>
                <w:bCs/>
                <w:color w:val="auto"/>
                <w:sz w:val="24"/>
                <w:szCs w:val="24"/>
              </w:rPr>
            </w:r>
            <w:r>
              <w:rPr>
                <w:rFonts w:ascii="Times New Roman" w:hAnsi="Times New Roman" w:cs="Times New Roman"/>
                <w:b/>
                <w:bCs/>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b/>
                <w:bCs/>
                <w:color w:val="auto"/>
                <w:sz w:val="24"/>
                <w:szCs w:val="24"/>
              </w:rPr>
            </w:pPr>
            <w:r>
              <w:rPr>
                <w:rFonts w:ascii="Times New Roman" w:hAnsi="Times New Roman" w:eastAsia="Times New Roman" w:cs="Times New Roman"/>
                <w:b/>
                <w:bCs/>
                <w:color w:val="auto"/>
                <w:sz w:val="24"/>
                <w:szCs w:val="24"/>
              </w:rPr>
              <w:t xml:space="preserve">7.849.000.000</w:t>
            </w:r>
            <w:r>
              <w:rPr>
                <w:rFonts w:ascii="Times New Roman" w:hAnsi="Times New Roman" w:cs="Times New Roman"/>
                <w:b/>
                <w:bCs/>
                <w:color w:val="auto"/>
                <w:sz w:val="24"/>
                <w:szCs w:val="24"/>
              </w:rPr>
            </w:r>
            <w:r>
              <w:rPr>
                <w:rFonts w:ascii="Times New Roman" w:hAnsi="Times New Roman" w:cs="Times New Roman"/>
                <w:b/>
                <w:bCs/>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b/>
                <w:bCs/>
                <w:color w:val="auto"/>
                <w:sz w:val="24"/>
                <w:szCs w:val="24"/>
              </w:rPr>
            </w:pPr>
            <w:r>
              <w:rPr>
                <w:rFonts w:ascii="Times New Roman" w:hAnsi="Times New Roman" w:eastAsia="Times New Roman" w:cs="Times New Roman"/>
                <w:b/>
                <w:bCs/>
                <w:color w:val="auto"/>
                <w:sz w:val="24"/>
                <w:szCs w:val="24"/>
              </w:rPr>
              <w:t xml:space="preserve">8.178.000.000</w:t>
            </w:r>
            <w:r>
              <w:rPr>
                <w:rFonts w:ascii="Times New Roman" w:hAnsi="Times New Roman" w:cs="Times New Roman"/>
                <w:b/>
                <w:bCs/>
                <w:color w:val="auto"/>
                <w:sz w:val="24"/>
                <w:szCs w:val="24"/>
              </w:rPr>
            </w:r>
            <w:r>
              <w:rPr>
                <w:rFonts w:ascii="Times New Roman" w:hAnsi="Times New Roman" w:cs="Times New Roman"/>
                <w:b/>
                <w:bCs/>
                <w:color w:val="auto"/>
                <w:sz w:val="24"/>
                <w:szCs w:val="24"/>
              </w:rPr>
            </w:r>
          </w:p>
        </w:tc>
      </w:tr>
      <w:tr>
        <w:trPr>
          <w:trHeight w:val="552"/>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19</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Đơn giá QSD căn hộ (đồng/m2)</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b/>
                <w:bCs/>
                <w:color w:val="auto"/>
                <w:sz w:val="24"/>
                <w:szCs w:val="24"/>
              </w:rPr>
            </w:pPr>
            <w:r>
              <w:rPr>
                <w:rFonts w:ascii="Times New Roman" w:hAnsi="Times New Roman" w:eastAsia="Times New Roman" w:cs="Times New Roman"/>
                <w:b/>
                <w:bCs/>
                <w:color w:val="auto"/>
                <w:sz w:val="24"/>
                <w:szCs w:val="24"/>
              </w:rPr>
              <w:t xml:space="preserve">63.085.938</w:t>
            </w:r>
            <w:r>
              <w:rPr>
                <w:rFonts w:ascii="Times New Roman" w:hAnsi="Times New Roman" w:cs="Times New Roman"/>
                <w:b/>
                <w:bCs/>
                <w:color w:val="auto"/>
                <w:sz w:val="24"/>
                <w:szCs w:val="24"/>
              </w:rPr>
            </w:r>
            <w:r>
              <w:rPr>
                <w:rFonts w:ascii="Times New Roman" w:hAnsi="Times New Roman" w:cs="Times New Roman"/>
                <w:b/>
                <w:bCs/>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b/>
                <w:bCs/>
                <w:color w:val="auto"/>
                <w:sz w:val="24"/>
                <w:szCs w:val="24"/>
              </w:rPr>
            </w:pPr>
            <w:r>
              <w:rPr>
                <w:rFonts w:ascii="Times New Roman" w:hAnsi="Times New Roman" w:eastAsia="Times New Roman" w:cs="Times New Roman"/>
                <w:b/>
                <w:bCs/>
                <w:color w:val="auto"/>
                <w:sz w:val="24"/>
                <w:szCs w:val="24"/>
              </w:rPr>
              <w:t xml:space="preserve">72.675.926</w:t>
            </w:r>
            <w:r>
              <w:rPr>
                <w:rFonts w:ascii="Times New Roman" w:hAnsi="Times New Roman" w:cs="Times New Roman"/>
                <w:b/>
                <w:bCs/>
                <w:color w:val="auto"/>
                <w:sz w:val="24"/>
                <w:szCs w:val="24"/>
              </w:rPr>
            </w:r>
            <w:r>
              <w:rPr>
                <w:rFonts w:ascii="Times New Roman" w:hAnsi="Times New Roman" w:cs="Times New Roman"/>
                <w:b/>
                <w:bCs/>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b/>
                <w:bCs/>
                <w:color w:val="auto"/>
                <w:sz w:val="24"/>
                <w:szCs w:val="24"/>
              </w:rPr>
            </w:pPr>
            <w:r>
              <w:rPr>
                <w:rFonts w:ascii="Times New Roman" w:hAnsi="Times New Roman" w:eastAsia="Times New Roman" w:cs="Times New Roman"/>
                <w:b/>
                <w:bCs/>
                <w:color w:val="auto"/>
                <w:sz w:val="24"/>
                <w:szCs w:val="24"/>
              </w:rPr>
              <w:t xml:space="preserve">77.885.714</w:t>
            </w:r>
            <w:r>
              <w:rPr>
                <w:rFonts w:ascii="Times New Roman" w:hAnsi="Times New Roman" w:cs="Times New Roman"/>
                <w:b/>
                <w:bCs/>
                <w:color w:val="auto"/>
                <w:sz w:val="24"/>
                <w:szCs w:val="24"/>
              </w:rPr>
            </w:r>
            <w:r>
              <w:rPr>
                <w:rFonts w:ascii="Times New Roman" w:hAnsi="Times New Roman" w:cs="Times New Roman"/>
                <w:b/>
                <w:bCs/>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B</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b/>
                <w:color w:val="auto"/>
                <w:sz w:val="24"/>
                <w:szCs w:val="24"/>
              </w:rPr>
              <w:t xml:space="preserve">NHẬN XÉT</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1</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Tính chất giao dịch</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2</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Pháp lý</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3</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Vị trí</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4</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Diện tích sàn (m²)</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Lợi thế hơn</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Lợi thế hơn</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5</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Mặt tiếp giáp</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Kém lợi thế hơn</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Kém lợi thế hơn</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6</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Tầng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Lợi thế hơn</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Lợi thế hơn</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7</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Hướng ban công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8</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Cấu trúc</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76"/>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55"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9</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8" w:type="dxa"/>
            <w:vAlign w:val="center"/>
            <w:textDirection w:val="lrTb"/>
            <w:noWrap w:val="false"/>
          </w:tcPr>
          <w:p>
            <w:pPr>
              <w:pBdr/>
              <w:spacing w:after="0" w:before="0" w:line="240" w:lineRule="auto"/>
              <w:ind w:right="0" w:firstLine="0" w:left="142"/>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Nội thất</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 </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38" w:type="dxa"/>
            <w:vAlign w:val="center"/>
            <w:textDirection w:val="lrTb"/>
            <w:noWrap w:val="false"/>
          </w:tcPr>
          <w:p>
            <w:pPr>
              <w:pBdr/>
              <w:spacing w:after="0" w:before="0" w:line="240" w:lineRule="auto"/>
              <w:ind/>
              <w:jc w:val="center"/>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Tương đồng</w:t>
            </w:r>
            <w:r>
              <w:rPr>
                <w:rFonts w:ascii="Times New Roman" w:hAnsi="Times New Roman" w:cs="Times New Roman"/>
                <w:color w:val="auto"/>
                <w:sz w:val="24"/>
                <w:szCs w:val="24"/>
              </w:rPr>
            </w:r>
            <w:r>
              <w:rPr>
                <w:rFonts w:ascii="Times New Roman" w:hAnsi="Times New Roman" w:cs="Times New Roman"/>
                <w:color w:val="auto"/>
                <w:sz w:val="24"/>
                <w:szCs w:val="24"/>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58"/>
        <w:gridCol w:w="1007"/>
        <w:gridCol w:w="1624"/>
        <w:gridCol w:w="1671"/>
        <w:gridCol w:w="1716"/>
        <w:gridCol w:w="1574"/>
      </w:tblGrid>
      <w:tr>
        <w:trPr>
          <w:trHeight w:val="63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1019"/>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8.075.000.000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7.849.000.000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8.178.000.000</w:t>
            </w:r>
            <w:r/>
          </w:p>
        </w:tc>
      </w:tr>
      <w:tr>
        <w:trPr>
          <w:trHeight w:val="564"/>
        </w:trPr>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63.085.938</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72.675.926</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77.885.714</w:t>
            </w:r>
            <w:r/>
          </w:p>
        </w:tc>
      </w:tr>
      <w:tr>
        <w:trPr>
          <w:trHeight w:val="525"/>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4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Tính chất giao dịch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72.675.926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77.885.714 </w:t>
            </w:r>
            <w:r/>
          </w:p>
        </w:tc>
      </w:tr>
      <w:tr>
        <w:trPr>
          <w:trHeight w:val="1055"/>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Pháp lý</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Giấy chứng nhận Quyền sử dụng đất </w:t>
            </w:r>
            <w:r/>
          </w:p>
        </w:tc>
      </w:tr>
      <w:tr>
        <w:trPr>
          <w:trHeight w:val="36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72.675.926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77.885.714 </w:t>
            </w:r>
            <w:r/>
          </w:p>
        </w:tc>
      </w:tr>
      <w:tr>
        <w:trPr>
          <w:trHeight w:val="117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Vị trí</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Phường Nam Từ Liêm,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Phường Nam Từ Liêm,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Phường Nam Từ Liêm, Thành phố Hà Nội</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Phường Nam Từ Liêm, Thành phố Hà Nội</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72.675.926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77.885.714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Diện tích sàn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b/>
                <w:color w:val="000000"/>
                <w:sz w:val="22"/>
              </w:rPr>
              <w:t xml:space="preserve">(m²</w:t>
            </w:r>
            <w: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126,0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128,0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108,0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105,0</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-8,00%</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-5.814.074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-6.230.857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66.861.852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71.654.857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Mặt tiếp giáp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góc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góc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4.360.556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4.673.143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63.085.938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71.222.407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76.328.000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Tầng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thấp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thấp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trung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-4,00%</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-2.523.438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-3.115.429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60.562.500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71.222.407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73.212.571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Hướng ban công</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Bắc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Nam</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Nam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Đông Nam</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60.562.500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71.222.407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73.212.571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Cấu trúc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 phòng ngủ, 2 nhà vệ sinh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 phòng ngủ, 2 nhà vệ sinh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 phòng ngủ, 2 nhà vệ sinh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 phòng ngủ, 2 nhà vệ sinh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60.562.500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71.222.407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73.212.571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Nội thất</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đầy đủ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Tỷ lệ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sau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60.562.500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71.222.407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73.212.571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tcPr>
          <w:p>
            <w:pPr>
              <w:pBdr/>
              <w:spacing w:after="0" w:before="0" w:line="240" w:lineRule="auto"/>
              <w:ind w:right="0" w:firstLine="0" w:left="142"/>
              <w:rPr/>
            </w:pPr>
            <w:r>
              <w:rPr>
                <w:rFonts w:ascii="Times New Roman" w:hAnsi="Times New Roman" w:eastAsia="Times New Roman" w:cs="Times New Roman"/>
                <w:b/>
                <w:color w:val="000000"/>
                <w:sz w:val="22"/>
              </w:rPr>
              <w:t xml:space="preserve">Mức giá chỉ dẫn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60.562.500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71.222.407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73.212.571 </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Giá trị trung bình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496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68.000.0000</w:t>
            </w: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Mức độ chênh lệch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-11,4%</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7,1%</w:t>
            </w:r>
            <w:r/>
          </w:p>
        </w:tc>
      </w:tr>
      <w:tr>
        <w:trPr>
          <w:trHeight w:val="828"/>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2.523.438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10.174.630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14.019.429 </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số lần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76"/>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Biên độ điều chỉnh</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- 5%</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- 8%</w:t>
            </w:r>
            <w:r/>
          </w:p>
        </w:tc>
        <w:tc>
          <w:tcPr>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- 8%</w:t>
            </w:r>
            <w:r/>
          </w:p>
        </w:tc>
      </w:tr>
      <w:tr>
        <w:trPr>
          <w:trHeight w:val="552"/>
        </w:trPr>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858" w:type="dxa"/>
            <w:vAlign w:val="center"/>
            <w:textDirection w:val="lrTb"/>
            <w:noWrap w:val="false"/>
          </w:tcPr>
          <w:p>
            <w:pPr>
              <w:pBdr/>
              <w:spacing w:after="0" w:before="0" w:line="240" w:lineRule="auto"/>
              <w:ind w:right="0" w:firstLine="0" w:left="142"/>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00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671"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2.523.438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7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1.453.519 </w:t>
            </w:r>
            <w:r/>
          </w:p>
        </w:tc>
        <w:tc>
          <w:tcPr>
            <w:shd w:val="clear" w:color="ffffff" w:fill="ffffff"/>
            <w:tcBorders>
              <w:top w:val="single" w:color="000000" w:sz="4" w:space="0"/>
              <w:left w:val="single" w:color="000000" w:sz="4" w:space="0"/>
              <w:bottom w:val="single" w:color="000000" w:sz="4" w:space="0"/>
              <w:right w:val="single" w:color="000000" w:sz="4" w:space="0"/>
            </w:tcBorders>
            <w:tcMar>
              <w:left w:w="15" w:type="dxa"/>
              <w:top w:w="15" w:type="dxa"/>
              <w:right w:w="15" w:type="dxa"/>
              <w:bottom w:w="0" w:type="dxa"/>
            </w:tcMar>
            <w:tcW w:w="157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4.673.143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w:t>
      </w:r>
      <w:r>
        <w:t xml:space="preserve">-11,4% đến</w:t>
      </w:r>
      <w:r>
        <w:t xml:space="preserve"> </w:t>
      </w:r>
      <w:r>
        <w:t xml:space="preserve"> 7,1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 </w:t>
      </w:r>
      <w:r>
        <w:rPr>
          <w:b/>
          <w:bCs/>
        </w:rPr>
        <w:t xml:space="preserve">68</w:t>
      </w:r>
      <w:r>
        <w:rPr>
          <w:b/>
          <w:bCs/>
          <w:color w:val="000000" w:themeColor="text1"/>
          <w:lang w:val="vi-VN"/>
        </w:rPr>
        <w:t xml:space="preserve">.000.000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3/2026</w:t>
      </w:r>
      <w:r>
        <w:t xml:space="preserve"> </w:t>
      </w:r>
      <w:r>
        <w:t xml:space="preserve">ước tính </w:t>
      </w:r>
      <w:r>
        <w:t xml:space="preserve">như sau</w:t>
      </w:r>
      <w:r>
        <w:t xml:space="preserve">:</w:t>
      </w:r>
      <w:r/>
    </w:p>
    <w:tbl>
      <w:tblPr>
        <w:tblW w:w="495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2801"/>
        <w:gridCol w:w="1701"/>
        <w:gridCol w:w="2089"/>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801"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01"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089"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591" w:type="dxa"/>
            <w:vAlign w:val="center"/>
            <w:textDirection w:val="lrTb"/>
            <w:noWrap w:val="false"/>
          </w:tcPr>
          <w:p>
            <w:pPr>
              <w:pBdr/>
              <w:spacing w:after="40" w:before="40" w:line="288" w:lineRule="auto"/>
              <w:ind/>
              <w:jc w:val="both"/>
              <w:rPr>
                <w:b/>
                <w:bCs/>
              </w:rPr>
            </w:pPr>
            <w:r>
              <w:rPr>
                <w:color w:val="000000"/>
              </w:rPr>
            </w:r>
            <w:r>
              <w:rPr>
                <w:b/>
                <w:bCs/>
                <w:color w:val="000000"/>
              </w:rPr>
              <w:t xml:space="preserve">Quyền sở hữu căn hộ chung cư số 707, Nhà A4, Khu đô thị mới Mỹ Đình I, Phường Từ Liêm, Thành phố Hà Nội theo Giấy chứng</w:t>
            </w:r>
            <w:r>
              <w:rPr>
                <w:b/>
                <w:bCs/>
                <w:color w:val="000000"/>
              </w:rPr>
              <w:t xml:space="preserve"> nhận quyền sử dụng đất quyền sở hữu nhà ở và tài sản khác gắn liền với đất số: DĐ 714822, số vào sổ cấp GCN: CS-NTL 26359 do Sở Tài nguyên và Môi trường Thành phố Hà Nội cấp ngày 22/02/2022; Chủ sở hữu căn hộ là Ông Chu Minh Hải (</w:t>
            </w:r>
            <w:r>
              <w:rPr>
                <w:b/>
                <w:bCs/>
                <w:i/>
                <w:iCs/>
                <w:color w:val="000000"/>
              </w:rPr>
              <w:t xml:space="preserve">Cập nhật ngày 05/8/2025</w:t>
            </w:r>
            <w:r>
              <w:rPr>
                <w:b/>
                <w:bCs/>
                <w:color w:val="000000"/>
              </w:rPr>
              <w:t xml:space="preserve">)</w:t>
            </w:r>
            <w:r>
              <w:rPr>
                <w:b/>
                <w:bCs/>
                <w:i/>
                <w:iCs/>
              </w:rPr>
              <w:t xml:space="preserve">.</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pPr>
            <w:r>
              <w:rPr>
                <w:b/>
                <w:bCs/>
              </w:rPr>
              <w:t xml:space="preserve">-</w:t>
            </w:r>
            <w:r/>
            <w:r/>
          </w:p>
        </w:tc>
        <w:tc>
          <w:tcPr>
            <w:shd w:val="clear" w:color="000000" w:fill="ffffff"/>
            <w:tcBorders/>
            <w:tcW w:w="2801" w:type="dxa"/>
            <w:vAlign w:val="center"/>
            <w:textDirection w:val="lrTb"/>
            <w:noWrap w:val="false"/>
          </w:tcPr>
          <w:p>
            <w:pPr>
              <w:pBdr/>
              <w:spacing w:after="40" w:before="40" w:line="288" w:lineRule="auto"/>
              <w:ind/>
              <w:rPr/>
            </w:pPr>
            <w:r>
              <w:rPr>
                <w:b/>
                <w:bCs/>
              </w:rPr>
              <w:t xml:space="preserve">Quyền sở hữu căn hộ chung cư.</w:t>
            </w:r>
            <w:r/>
            <w:r/>
          </w:p>
        </w:tc>
        <w:tc>
          <w:tcPr>
            <w:tcBorders/>
            <w:tcW w:w="1701" w:type="dxa"/>
            <w:vAlign w:val="center"/>
            <w:textDirection w:val="lrTb"/>
            <w:noWrap/>
          </w:tcPr>
          <w:p>
            <w:pPr>
              <w:pBdr/>
              <w:spacing w:after="40" w:before="40" w:line="288" w:lineRule="auto"/>
              <w:ind/>
              <w:jc w:val="center"/>
              <w:rPr>
                <w:color w:val="000000"/>
              </w:rPr>
            </w:pPr>
            <w:r>
              <w:rPr>
                <w:color w:val="000000" w:themeColor="text1"/>
              </w:rPr>
              <w:t xml:space="preserve">126,0</w:t>
            </w:r>
            <w:r>
              <w:rPr>
                <w:color w:val="000000"/>
              </w:rPr>
            </w:r>
            <w:r>
              <w:rPr>
                <w:color w:val="000000"/>
              </w:rPr>
            </w:r>
          </w:p>
        </w:tc>
        <w:tc>
          <w:tcPr>
            <w:shd w:val="clear" w:color="000000" w:fill="ffffff"/>
            <w:tcBorders/>
            <w:tcW w:w="2089" w:type="dxa"/>
            <w:vAlign w:val="center"/>
            <w:textDirection w:val="lrTb"/>
            <w:noWrap w:val="false"/>
          </w:tcPr>
          <w:p>
            <w:pPr>
              <w:pBdr/>
              <w:spacing w:after="40" w:before="40" w:line="288" w:lineRule="auto"/>
              <w:ind/>
              <w:jc w:val="center"/>
              <w:rPr/>
            </w:pPr>
            <w:r>
              <w:rPr>
                <w:color w:val="000000" w:themeColor="text1"/>
              </w:rPr>
              <w:t xml:space="preserve">68.000.000</w:t>
            </w:r>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8.568.000.000</w:t>
            </w:r>
            <w:r/>
            <w:r/>
          </w:p>
        </w:tc>
      </w:tr>
      <w:tr>
        <w:trPr>
          <w:trHeight w:val="20"/>
        </w:trPr>
        <w:tc>
          <w:tcPr>
            <w:gridSpan w:val="4"/>
            <w:tcBorders/>
            <w:tcW w:w="726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8.568.000.000</w:t>
            </w:r>
            <w:r>
              <w:rPr>
                <w:b/>
                <w:bCs/>
                <w:color w:val="000000"/>
              </w:rPr>
            </w:r>
            <w:r>
              <w:rPr>
                <w:b/>
                <w:bCs/>
                <w:color w:val="000000"/>
              </w:rPr>
            </w:r>
          </w:p>
        </w:tc>
      </w:tr>
      <w:tr>
        <w:trPr>
          <w:trHeight w:val="20"/>
        </w:trPr>
        <w:tc>
          <w:tcPr>
            <w:gridSpan w:val="4"/>
            <w:tcBorders/>
            <w:tcW w:w="7266"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8.568.000.000</w:t>
            </w:r>
            <w:r>
              <w:rPr>
                <w:b/>
                <w:bCs/>
                <w:color w:val="000000"/>
              </w:rPr>
            </w:r>
            <w:r>
              <w:rPr>
                <w:b/>
                <w:bCs/>
                <w:color w:val="000000"/>
              </w:rPr>
            </w:r>
          </w:p>
        </w:tc>
      </w:tr>
      <w:tr>
        <w:trPr>
          <w:trHeight w:val="20"/>
        </w:trPr>
        <w:tc>
          <w:tcPr>
            <w:gridSpan w:val="5"/>
            <w:tcBorders/>
            <w:tcW w:w="9430"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năm trăm sáu mươi tám triệu đồng chẵn</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34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34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34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34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34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34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34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34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34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34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34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34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7"/>
        <w:numPr>
          <w:ilvl w:val="0"/>
          <w:numId w:val="3"/>
        </w:numPr>
        <w:pBdr/>
        <w:tabs>
          <w:tab w:val="left" w:leader="none" w:pos="993"/>
        </w:tabs>
        <w:spacing w:after="120" w:before="120" w:line="34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34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34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34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34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348"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348" w:lineRule="auto"/>
        <w:ind w:left="0"/>
        <w:jc w:val="both"/>
        <w:rPr>
          <w:lang w:val="pt-BR"/>
        </w:rPr>
      </w:pPr>
      <w:r>
        <w:rPr>
          <w:highlight w:val="none"/>
          <w:lang w:val="pt-BR" w:bidi="pt-BR"/>
        </w:rPr>
      </w:r>
      <w:r>
        <w:rPr>
          <w:highlight w:val="none"/>
          <w:lang w:val="pt-BR" w:bidi="pt-BR"/>
        </w:rPr>
      </w:r>
      <w:r>
        <w:rPr>
          <w:highlight w:val="none"/>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275/2026/0494/VFI-CT.53.A</w:t>
      </w:r>
      <w:r>
        <w:rPr>
          <w:color w:val="ff0000"/>
          <w:lang w:val="vi-VN"/>
        </w:rPr>
        <w:t xml:space="preserve"> </w:t>
      </w:r>
      <w:r>
        <w:rPr>
          <w:color w:val="000000" w:themeColor="text1"/>
        </w:rPr>
        <w:t xml:space="preserve">ngày 30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275/2026/0494/VFI-BC.53.A</w:t>
      </w:r>
      <w:r>
        <w:rPr>
          <w:i/>
          <w:lang w:val="pt-BR"/>
        </w:rPr>
        <w:t xml:space="preserve"> </w:t>
      </w:r>
      <w:r>
        <w:rPr>
          <w:i/>
          <w:lang w:val="pt-BR"/>
        </w:rPr>
        <w:t xml:space="preserve">ngày 30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71993" cy="229602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286041" name=""/>
                              <pic:cNvPicPr>
                                <a:picLocks noChangeAspect="1"/>
                              </pic:cNvPicPr>
                              <pic:nvPr/>
                            </pic:nvPicPr>
                            <pic:blipFill rotWithShape="1">
                              <a:blip r:embed="rId20"/>
                              <a:stretch/>
                            </pic:blipFill>
                            <pic:spPr bwMode="auto">
                              <a:xfrm flipH="0" flipV="0">
                                <a:off x="0" y="0"/>
                                <a:ext cx="1671992" cy="229602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1.65pt;height:180.7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6529" cy="2134896"/>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28261" name=""/>
                              <pic:cNvPicPr>
                                <a:picLocks noChangeAspect="1"/>
                              </pic:cNvPicPr>
                              <pic:nvPr/>
                            </pic:nvPicPr>
                            <pic:blipFill rotWithShape="1">
                              <a:blip r:embed="rId21"/>
                              <a:stretch/>
                            </pic:blipFill>
                            <pic:spPr bwMode="auto">
                              <a:xfrm flipH="0" flipV="0">
                                <a:off x="0" y="0"/>
                                <a:ext cx="2846528" cy="213489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4.14pt;height:168.1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03134" cy="202735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983117" name=""/>
                              <pic:cNvPicPr>
                                <a:picLocks noChangeAspect="1"/>
                              </pic:cNvPicPr>
                              <pic:nvPr/>
                            </pic:nvPicPr>
                            <pic:blipFill rotWithShape="1">
                              <a:blip r:embed="rId22"/>
                              <a:stretch/>
                            </pic:blipFill>
                            <pic:spPr bwMode="auto">
                              <a:xfrm flipH="0" flipV="0">
                                <a:off x="0" y="0"/>
                                <a:ext cx="2703133" cy="20273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2.85pt;height:159.6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64377" cy="2148283"/>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57410" name=""/>
                              <pic:cNvPicPr>
                                <a:picLocks noChangeAspect="1"/>
                              </pic:cNvPicPr>
                              <pic:nvPr/>
                            </pic:nvPicPr>
                            <pic:blipFill rotWithShape="1">
                              <a:blip r:embed="rId23"/>
                              <a:stretch/>
                            </pic:blipFill>
                            <pic:spPr bwMode="auto">
                              <a:xfrm flipH="0" flipV="0">
                                <a:off x="0" y="0"/>
                                <a:ext cx="2864377" cy="21482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5.54pt;height:169.1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89235" cy="194192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21976" name=""/>
                              <pic:cNvPicPr>
                                <a:picLocks noChangeAspect="1"/>
                              </pic:cNvPicPr>
                              <pic:nvPr/>
                            </pic:nvPicPr>
                            <pic:blipFill rotWithShape="1">
                              <a:blip r:embed="rId24"/>
                              <a:stretch/>
                            </pic:blipFill>
                            <pic:spPr bwMode="auto">
                              <a:xfrm flipH="0" flipV="0">
                                <a:off x="0" y="0"/>
                                <a:ext cx="2589233" cy="19419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3.88pt;height:152.91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55273" cy="199145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778546" name=""/>
                              <pic:cNvPicPr>
                                <a:picLocks noChangeAspect="1"/>
                              </pic:cNvPicPr>
                              <pic:nvPr/>
                            </pic:nvPicPr>
                            <pic:blipFill rotWithShape="1">
                              <a:blip r:embed="rId25"/>
                              <a:stretch/>
                            </pic:blipFill>
                            <pic:spPr bwMode="auto">
                              <a:xfrm flipH="0" flipV="0">
                                <a:off x="0" y="0"/>
                                <a:ext cx="2655272" cy="199145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9.08pt;height:156.81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275/2026/0494/VFI-BC.53.A</w:t>
      </w:r>
      <w:r>
        <w:rPr>
          <w:i/>
          <w:lang w:val="pt-BR"/>
        </w:rPr>
        <w:t xml:space="preserve"> ngày </w:t>
      </w:r>
      <w:r>
        <w:rPr>
          <w:i/>
          <w:lang w:val="pt-BR"/>
        </w:rPr>
        <w:t xml:space="preserve">30 tháng 3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4"/>
        <w:gridCol w:w="3102"/>
        <w:gridCol w:w="6871"/>
      </w:tblGrid>
      <w:tr>
        <w:trPr>
          <w:trHeight w:val="276"/>
        </w:trPr>
        <w:tc>
          <w:tcPr>
            <w:gridSpan w:val="3"/>
            <w:tcBorders/>
            <w:tcMar>
              <w:left w:w="15" w:type="dxa"/>
              <w:top w:w="15" w:type="dxa"/>
              <w:right w:w="15" w:type="dxa"/>
              <w:bottom w:w="0" w:type="dxa"/>
            </w:tcMar>
            <w:tcW w:w="1059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SÁNH-TSSS1</w:t>
            </w:r>
            <w:r/>
          </w:p>
        </w:tc>
      </w:tr>
      <w:tr>
        <w:trPr>
          <w:trHeight w:val="276"/>
        </w:trPr>
        <w:tc>
          <w:tcPr>
            <w:tcBorders/>
            <w:tcMar>
              <w:left w:w="15" w:type="dxa"/>
              <w:top w:w="15" w:type="dxa"/>
              <w:right w:w="15" w:type="dxa"/>
              <w:bottom w:w="0" w:type="dxa"/>
            </w:tcMar>
            <w:tcW w:w="624" w:type="dxa"/>
            <w:vAlign w:val="bottom"/>
            <w:textDirection w:val="lrTb"/>
            <w:noWrap/>
          </w:tcPr>
          <w:p>
            <w:pPr>
              <w:pBdr/>
              <w:spacing w:after="0" w:before="0" w:line="240" w:lineRule="auto"/>
              <w:ind/>
              <w:rPr/>
            </w:pPr>
            <w:r/>
            <w:r/>
          </w:p>
        </w:tc>
        <w:tc>
          <w:tcPr>
            <w:tcBorders/>
            <w:tcMar>
              <w:left w:w="15" w:type="dxa"/>
              <w:top w:w="15" w:type="dxa"/>
              <w:right w:w="15" w:type="dxa"/>
              <w:bottom w:w="0" w:type="dxa"/>
            </w:tcMar>
            <w:tcW w:w="3102" w:type="dxa"/>
            <w:vAlign w:val="bottom"/>
            <w:textDirection w:val="lrTb"/>
            <w:noWrap w:val="false"/>
          </w:tcPr>
          <w:p>
            <w:pPr>
              <w:pBdr/>
              <w:spacing w:after="0" w:before="0" w:line="240" w:lineRule="auto"/>
              <w:ind/>
              <w:rPr/>
            </w:pPr>
            <w:r/>
            <w:r/>
          </w:p>
        </w:tc>
        <w:tc>
          <w:tcPr>
            <w:tcBorders/>
            <w:tcMar>
              <w:left w:w="15" w:type="dxa"/>
              <w:top w:w="15" w:type="dxa"/>
              <w:right w:w="15" w:type="dxa"/>
              <w:bottom w:w="0" w:type="dxa"/>
            </w:tcMar>
            <w:tcW w:w="6871"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2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10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687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https://batdongsan.com.vn/ban-can-ho-chung-cu-duong-ham-nghi-phuong-cau-dien-prj-khu-do-thi-my-dinh-i/em-sinh-chuyen-ban-c3-nguyen-co-thach-dang-co-quy-5-tich-1128m2-gia-tu-8-ty-pr44651480 - SĐT: 0912.700518</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8.500.000.000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8.075.000.000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nhà A4 Khu đô thị mới Mỹ Đình 1, phường Từ Liêm, Hà Nội</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128,0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góc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Nam</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nhà vệ sinh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4"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310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15" w:type="dxa"/>
              <w:top w:w="15" w:type="dxa"/>
              <w:right w:w="15" w:type="dxa"/>
              <w:bottom w:w="0" w:type="dxa"/>
            </w:tcMar>
            <w:tcW w:w="687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after="120"/>
        <w:ind/>
        <w:jc w:val="center"/>
        <w:rPr>
          <w:b/>
          <w:bCs/>
          <w:lang w:val="pt-BR"/>
        </w:rPr>
      </w:pPr>
      <w:r>
        <w:rPr>
          <w:b/>
          <w:bCs/>
          <w:iCs/>
          <w:highlight w:val="none"/>
          <w:lang w:val="pt-BR" w:bidi="pt-BR"/>
        </w:rPr>
      </w:r>
      <w:r>
        <w:rPr>
          <w:b/>
          <w:bCs/>
          <w:lang w:val="pt-BR"/>
        </w:rPr>
      </w:r>
      <w:r>
        <w:rPr>
          <w:b/>
          <w:b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242428"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a:off x="0" y="0"/>
                                <a:ext cx="624242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91.5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2856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52856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77.84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0"/>
        <w:gridCol w:w="2520"/>
        <w:gridCol w:w="7500"/>
      </w:tblGrid>
      <w:tr>
        <w:trPr>
          <w:trHeight w:val="276"/>
        </w:trPr>
        <w:tc>
          <w:tcPr>
            <w:gridSpan w:val="3"/>
            <w:tcBorders/>
            <w:tcMar>
              <w:left w:w="0" w:type="dxa"/>
              <w:top w:w="0" w:type="dxa"/>
              <w:right w:w="0" w:type="dxa"/>
              <w:bottom w:w="0" w:type="dxa"/>
            </w:tcMar>
            <w:tcW w:w="10640"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SÁNH-TSSS2</w:t>
            </w:r>
            <w:r/>
          </w:p>
        </w:tc>
      </w:tr>
      <w:tr>
        <w:trPr>
          <w:trHeight w:val="276"/>
        </w:trPr>
        <w:tc>
          <w:tcPr>
            <w:tcBorders/>
            <w:tcMar>
              <w:left w:w="0" w:type="dxa"/>
              <w:top w:w="0" w:type="dxa"/>
              <w:right w:w="0" w:type="dxa"/>
              <w:bottom w:w="0" w:type="dxa"/>
            </w:tcMar>
            <w:tcW w:w="620" w:type="dxa"/>
            <w:vAlign w:val="bottom"/>
            <w:textDirection w:val="lrTb"/>
            <w:noWrap/>
          </w:tcPr>
          <w:p>
            <w:pPr>
              <w:pBdr/>
              <w:spacing w:after="0" w:before="0" w:line="240" w:lineRule="auto"/>
              <w:ind/>
              <w:rPr/>
            </w:pPr>
            <w:r/>
            <w:r/>
          </w:p>
        </w:tc>
        <w:tc>
          <w:tcPr>
            <w:tcBorders/>
            <w:tcMar>
              <w:left w:w="0" w:type="dxa"/>
              <w:top w:w="0" w:type="dxa"/>
              <w:right w:w="0" w:type="dxa"/>
              <w:bottom w:w="0" w:type="dxa"/>
            </w:tcMar>
            <w:tcW w:w="2520" w:type="dxa"/>
            <w:vAlign w:val="bottom"/>
            <w:textDirection w:val="lrTb"/>
            <w:noWrap w:val="false"/>
          </w:tcPr>
          <w:p>
            <w:pPr>
              <w:pBdr/>
              <w:spacing w:after="0" w:before="0" w:line="240" w:lineRule="auto"/>
              <w:ind/>
              <w:rPr/>
            </w:pPr>
            <w:r/>
            <w:r/>
          </w:p>
        </w:tc>
        <w:tc>
          <w:tcPr>
            <w:tcBorders/>
            <w:tcMar>
              <w:left w:w="0" w:type="dxa"/>
              <w:top w:w="0" w:type="dxa"/>
              <w:right w:w="0" w:type="dxa"/>
              <w:bottom w:w="0" w:type="dxa"/>
            </w:tcMar>
            <w:tcW w:w="7500"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2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0" w:type="dxa"/>
              <w:top w:w="0" w:type="dxa"/>
              <w:right w:w="0" w:type="dxa"/>
              <w:bottom w:w="0" w:type="dxa"/>
            </w:tcMar>
            <w:tcW w:w="252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0" w:type="dxa"/>
              <w:top w:w="0" w:type="dxa"/>
              <w:right w:w="0" w:type="dxa"/>
              <w:bottom w:w="0" w:type="dxa"/>
            </w:tcMar>
            <w:tcW w:w="7500"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 0987.325056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8.350.000.000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7.849.000.000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nhà A4 Khu đô thị mới Mỹ Đình 1, phường Từ Liêm, Hà Nội</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108,0</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thấp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nhà vệ sinh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 </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0" w:type="dxa"/>
              <w:top w:w="0" w:type="dxa"/>
              <w:right w:w="0" w:type="dxa"/>
              <w:bottom w:w="0" w:type="dxa"/>
            </w:tcMar>
            <w:tcW w:w="750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810"/>
        </w:trPr>
        <w:tc>
          <w:tcPr>
            <w:tcBorders>
              <w:left w:val="single" w:color="000000" w:sz="5" w:space="0"/>
              <w:bottom w:val="single" w:color="000000" w:sz="5" w:space="0"/>
              <w:right w:val="single" w:color="000000" w:sz="5" w:space="0"/>
            </w:tcBorders>
            <w:tcMar>
              <w:left w:w="0" w:type="dxa"/>
              <w:top w:w="0" w:type="dxa"/>
              <w:right w:w="0" w:type="dxa"/>
              <w:bottom w:w="0" w:type="dxa"/>
            </w:tcMar>
            <w:tcW w:w="62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0" w:type="dxa"/>
              <w:top w:w="0" w:type="dxa"/>
              <w:right w:w="0" w:type="dxa"/>
              <w:bottom w:w="0" w:type="dxa"/>
            </w:tcMar>
            <w:tcW w:w="252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tcMar>
              <w:left w:w="0" w:type="dxa"/>
              <w:top w:w="0" w:type="dxa"/>
              <w:right w:w="0" w:type="dxa"/>
              <w:bottom w:w="0" w:type="dxa"/>
            </w:tcMar>
            <w:tcW w:w="7500" w:type="dxa"/>
            <w:vAlign w:val="bottom"/>
            <w:textDirection w:val="lrTb"/>
            <w:noWrap/>
          </w:tcPr>
          <w:p>
            <w:pPr>
              <w:pBdr/>
              <w:spacing w:after="0" w:before="0" w:line="240" w:lineRule="auto"/>
              <w:ind/>
              <w:rPr/>
            </w:pPr>
            <w:r>
              <mc:AlternateContent>
                <mc:Choice Requires="wpg">
                  <w:drawing>
                    <wp:inline xmlns:wp="http://schemas.openxmlformats.org/drawingml/2006/wordprocessingDrawing" distT="0" distB="0" distL="0" distR="0">
                      <wp:extent cx="2628900" cy="21240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67130" name=""/>
                              <pic:cNvPicPr>
                                <a:picLocks noChangeAspect="1"/>
                              </pic:cNvPicPr>
                              <pic:nvPr/>
                            </pic:nvPicPr>
                            <pic:blipFill rotWithShape="1">
                              <a:blip r:embed="rId28"/>
                              <a:stretch/>
                            </pic:blipFill>
                            <pic:spPr bwMode="auto">
                              <a:xfrm>
                                <a:off x="0" y="0"/>
                                <a:ext cx="2628900" cy="21240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7.00pt;height:167.25pt;mso-wrap-distance-left:0.00pt;mso-wrap-distance-top:0.00pt;mso-wrap-distance-right:0.00pt;mso-wrap-distance-bottom:0.00pt;z-index:1;" stroked="false">
                      <v:imagedata r:id="rId28" o:title=""/>
                      <o:lock v:ext="edit" rotation="t"/>
                    </v:shape>
                  </w:pict>
                </mc:Fallback>
              </mc:AlternateContent>
            </w:r>
            <w:r/>
          </w:p>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880"/>
            </w:tblGrid>
            <w:tr>
              <w:trPr/>
              <w:tc>
                <w:tcPr>
                  <w:tcBorders>
                    <w:bottom w:val="single" w:color="000000" w:sz="5" w:space="0"/>
                    <w:right w:val="single" w:color="000000" w:sz="5" w:space="0"/>
                  </w:tcBorders>
                  <w:tcMar>
                    <w:left w:w="0" w:type="dxa"/>
                    <w:top w:w="0" w:type="dxa"/>
                    <w:right w:w="0" w:type="dxa"/>
                    <w:bottom w:w="0" w:type="dxa"/>
                  </w:tcMar>
                  <w:tcW w:w="688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ind/>
              <w:rPr/>
            </w:pPr>
            <w:r/>
            <w:r/>
          </w:p>
        </w:tc>
      </w:tr>
    </w:tbl>
    <w:p>
      <w:pPr>
        <w:pBdr/>
        <w:spacing w:after="200" w:line="276" w:lineRule="auto"/>
        <w:ind/>
        <w:rPr>
          <w:b/>
          <w:bCs/>
          <w:iCs/>
          <w:lang w:val="pt-BR"/>
        </w:rPr>
      </w:pPr>
      <w:r>
        <w:rPr>
          <w:b/>
          <w:bCs/>
          <w:iCs/>
          <w:lang w:val="pt-BR"/>
        </w:rPr>
      </w:r>
      <w:r>
        <w:rPr>
          <w:color w:val="000000"/>
          <w:sz w:val="22"/>
          <w:szCs w:val="22"/>
        </w:rPr>
        <mc:AlternateContent>
          <mc:Choice Requires="wpg">
            <w:drawing>
              <wp:inline xmlns:wp="http://schemas.openxmlformats.org/drawingml/2006/wordprocessingDrawing" distT="0" distB="0" distL="0" distR="0">
                <wp:extent cx="2304710" cy="3914902"/>
                <wp:effectExtent l="0" t="0" r="0" b="0"/>
                <wp:docPr id="15" name=""/>
                <wp:cNvGraphicFramePr/>
                <a:graphic xmlns:a="http://schemas.openxmlformats.org/drawingml/2006/main">
                  <a:graphicData uri="http://schemas.openxmlformats.org/drawingml/2006/picture">
                    <pic:pic xmlns:pic="http://schemas.openxmlformats.org/drawingml/2006/picture">
                      <pic:nvPicPr>
                        <pic:cNvPr id="2140259832" name="" descr=""/>
                        <pic:cNvPicPr/>
                        <pic:nvPr/>
                      </pic:nvPicPr>
                      <pic:blipFill rotWithShape="1">
                        <a:blip r:embed="rId29"/>
                        <a:stretch/>
                      </pic:blipFill>
                      <pic:spPr bwMode="auto">
                        <a:xfrm rot="0" flipH="0" flipV="0">
                          <a:off x="0" y="0"/>
                          <a:ext cx="2304709" cy="39149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1.47pt;height:308.26pt;mso-wrap-distance-left:0.00pt;mso-wrap-distance-top:0.00pt;mso-wrap-distance-right:0.00pt;mso-wrap-distance-bottom:0.00pt;rotation:0;z-index:1;" stroked="false">
                <v:imagedata r:id="rId29"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2447925" cy="3914902"/>
                <wp:effectExtent l="0" t="0" r="0" b="0"/>
                <wp:docPr id="16" name=""/>
                <wp:cNvGraphicFramePr/>
                <a:graphic xmlns:a="http://schemas.openxmlformats.org/drawingml/2006/main">
                  <a:graphicData uri="http://schemas.openxmlformats.org/drawingml/2006/picture">
                    <pic:pic xmlns:pic="http://schemas.openxmlformats.org/drawingml/2006/picture">
                      <pic:nvPicPr>
                        <pic:cNvPr id="1998114249" name="" descr=""/>
                        <pic:cNvPicPr/>
                        <pic:nvPr/>
                      </pic:nvPicPr>
                      <pic:blipFill rotWithShape="1">
                        <a:blip r:embed="rId30"/>
                        <a:stretch/>
                      </pic:blipFill>
                      <pic:spPr bwMode="auto">
                        <a:xfrm rot="0" flipH="0" flipV="0">
                          <a:off x="0" y="0"/>
                          <a:ext cx="2447924" cy="391490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92.75pt;height:308.26pt;mso-wrap-distance-left:0.00pt;mso-wrap-distance-top:0.00pt;mso-wrap-distance-right:0.00pt;mso-wrap-distance-bottom:0.00pt;rotation:0;z-index:1;" stroked="false">
                <v:imagedata r:id="rId30"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Trần Thị Thanh Tâm</w:t>
            </w:r>
            <w:r/>
          </w:p>
          <w:p>
            <w:pPr>
              <w:pBdr/>
              <w:spacing/>
              <w:ind/>
              <w:jc w:val="center"/>
              <w:rPr/>
            </w:pPr>
            <w:r/>
            <w:r/>
          </w:p>
        </w:tc>
      </w:tr>
    </w:tbl>
    <w:tbl>
      <w:tblPr>
        <w:tblStyle w:val="1031"/>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25"/>
        <w:gridCol w:w="3111"/>
        <w:gridCol w:w="6861"/>
      </w:tblGrid>
      <w:tr>
        <w:trPr>
          <w:trHeight w:val="276"/>
        </w:trPr>
        <w:tc>
          <w:tcPr>
            <w:gridSpan w:val="3"/>
            <w:tcBorders/>
            <w:tcMar>
              <w:left w:w="15" w:type="dxa"/>
              <w:top w:w="15" w:type="dxa"/>
              <w:right w:w="15" w:type="dxa"/>
              <w:bottom w:w="0" w:type="dxa"/>
            </w:tcMar>
            <w:tcW w:w="10598" w:type="dxa"/>
            <w:vAlign w:val="bottom"/>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PHIẾU ĐIỀU TRA, KHẢO SÁT TÀI SẢN SO SÁNH-TSSS3</w:t>
            </w:r>
            <w:r/>
          </w:p>
        </w:tc>
      </w:tr>
      <w:tr>
        <w:trPr>
          <w:trHeight w:val="276"/>
        </w:trPr>
        <w:tc>
          <w:tcPr>
            <w:tcBorders/>
            <w:tcMar>
              <w:left w:w="15" w:type="dxa"/>
              <w:top w:w="15" w:type="dxa"/>
              <w:right w:w="15" w:type="dxa"/>
              <w:bottom w:w="0" w:type="dxa"/>
            </w:tcMar>
            <w:tcW w:w="625" w:type="dxa"/>
            <w:vAlign w:val="bottom"/>
            <w:textDirection w:val="lrTb"/>
            <w:noWrap/>
          </w:tcPr>
          <w:p>
            <w:pPr>
              <w:pBdr/>
              <w:spacing w:after="0" w:before="0" w:line="240" w:lineRule="auto"/>
              <w:ind/>
              <w:rPr/>
            </w:pPr>
            <w:r/>
            <w:r/>
          </w:p>
        </w:tc>
        <w:tc>
          <w:tcPr>
            <w:tcBorders/>
            <w:tcMar>
              <w:left w:w="15" w:type="dxa"/>
              <w:top w:w="15" w:type="dxa"/>
              <w:right w:w="15" w:type="dxa"/>
              <w:bottom w:w="0" w:type="dxa"/>
            </w:tcMar>
            <w:tcW w:w="3111" w:type="dxa"/>
            <w:vAlign w:val="bottom"/>
            <w:textDirection w:val="lrTb"/>
            <w:noWrap w:val="false"/>
          </w:tcPr>
          <w:p>
            <w:pPr>
              <w:pBdr/>
              <w:spacing w:after="0" w:before="0" w:line="240" w:lineRule="auto"/>
              <w:ind/>
              <w:rPr/>
            </w:pPr>
            <w:r/>
            <w:r/>
          </w:p>
        </w:tc>
        <w:tc>
          <w:tcPr>
            <w:tcBorders/>
            <w:tcMar>
              <w:left w:w="15" w:type="dxa"/>
              <w:top w:w="15" w:type="dxa"/>
              <w:right w:w="15" w:type="dxa"/>
              <w:bottom w:w="0" w:type="dxa"/>
            </w:tcMar>
            <w:tcW w:w="6861" w:type="dxa"/>
            <w:vAlign w:val="bottom"/>
            <w:textDirection w:val="lrTb"/>
            <w:noWrap/>
          </w:tcPr>
          <w:p>
            <w:pPr>
              <w:pBdr/>
              <w:spacing w:after="0" w:before="0" w:line="240" w:lineRule="auto"/>
              <w:ind/>
              <w:rPr/>
            </w:pPr>
            <w:r/>
            <w:r/>
          </w:p>
        </w:tc>
      </w:tr>
      <w:tr>
        <w:trPr>
          <w:trHeight w:val="276"/>
        </w:trPr>
        <w:tc>
          <w:tcPr>
            <w:tcBorders>
              <w:top w:val="single" w:color="000000" w:sz="5" w:space="0"/>
              <w:left w:val="single" w:color="000000" w:sz="5" w:space="0"/>
              <w:bottom w:val="single" w:color="000000" w:sz="5" w:space="0"/>
              <w:right w:val="single" w:color="000000" w:sz="5" w:space="0"/>
            </w:tcBorders>
            <w:tcMar>
              <w:left w:w="15" w:type="dxa"/>
              <w:top w:w="15" w:type="dxa"/>
              <w:right w:w="15" w:type="dxa"/>
              <w:bottom w:w="0" w:type="dxa"/>
            </w:tcMar>
            <w:tcW w:w="62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3111"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5" w:space="0"/>
              <w:bottom w:val="single" w:color="000000" w:sz="5" w:space="0"/>
              <w:right w:val="single" w:color="000000" w:sz="5" w:space="0"/>
            </w:tcBorders>
            <w:tcMar>
              <w:left w:w="15" w:type="dxa"/>
              <w:top w:w="15" w:type="dxa"/>
              <w:right w:w="15" w:type="dxa"/>
              <w:bottom w:w="0" w:type="dxa"/>
            </w:tcMar>
            <w:tcW w:w="686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828"/>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SĐT:</w:t>
              <w:br/>
              <w:t xml:space="preserve">0987.325056</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8.700.000.000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8.178.000.000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3/2026</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Giấy chứng nhận Quyền sử dụng đất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52"/>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nhà A4 Khu đô thị mới Mỹ Đình 1, phường Từ Liêm, Hà Nội</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105,0</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trung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Hướng ban công</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Đông Nam</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 phòng ngủ, 2 nhà vệ sinh </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5" w:space="0"/>
              <w:bottom w:val="single" w:color="000000" w:sz="5" w:space="0"/>
              <w:right w:val="single" w:color="000000" w:sz="5" w:space="0"/>
            </w:tcBorders>
            <w:tcMar>
              <w:left w:w="15" w:type="dxa"/>
              <w:top w:w="15" w:type="dxa"/>
              <w:right w:w="15" w:type="dxa"/>
              <w:bottom w:w="0" w:type="dxa"/>
            </w:tcMar>
            <w:tcW w:w="62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5" w:space="0"/>
              <w:right w:val="single" w:color="000000" w:sz="5" w:space="0"/>
            </w:tcBorders>
            <w:tcMar>
              <w:left w:w="15" w:type="dxa"/>
              <w:top w:w="15" w:type="dxa"/>
              <w:right w:w="15" w:type="dxa"/>
              <w:bottom w:w="0" w:type="dxa"/>
            </w:tcMar>
            <w:tcW w:w="3111"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5" w:space="0"/>
              <w:right w:val="single" w:color="000000" w:sz="5" w:space="0"/>
            </w:tcBorders>
            <w:tcMar>
              <w:left w:w="15" w:type="dxa"/>
              <w:top w:w="15" w:type="dxa"/>
              <w:right w:w="15"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bl>
    <w:p>
      <w:pPr>
        <w:pBdr/>
        <w:spacing/>
        <w:ind/>
        <w:rPr/>
      </w:pPr>
      <w: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12.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2.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Trần Thị Thanh Tâm</w:t>
            </w:r>
            <w:r>
              <w:rPr>
                <w:highlight w:val="none"/>
              </w:rPr>
            </w:r>
            <w:r>
              <w:rPr>
                <w:highlight w:val="none"/>
              </w:rP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w:t>
      </w:r>
      <w:r>
        <w:rPr>
          <w:b/>
          <w:bCs/>
          <w:iCs/>
          <w:highlight w:val="none"/>
          <w:lang w:val="pt-BR"/>
        </w:rPr>
      </w:r>
      <w:r>
        <w:rPr>
          <w:b/>
          <w:bCs/>
          <w:i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8719678" cy="581905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40956" name=""/>
                        <pic:cNvPicPr>
                          <a:picLocks noChangeAspect="1"/>
                        </pic:cNvPicPr>
                        <pic:nvPr/>
                      </pic:nvPicPr>
                      <pic:blipFill rotWithShape="1">
                        <a:blip r:embed="rId33"/>
                        <a:stretch/>
                      </pic:blipFill>
                      <pic:spPr bwMode="auto">
                        <a:xfrm rot="5399976" flipH="0" flipV="0">
                          <a:off x="0" y="0"/>
                          <a:ext cx="8719678" cy="5819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686.59pt;height:458.19pt;mso-wrap-distance-left:0.00pt;mso-wrap-distance-top:0.00pt;mso-wrap-distance-right:0.00pt;mso-wrap-distance-bottom:0.00pt;rotation:89;z-index:1;" stroked="false">
                <v:imagedata r:id="rId33" o:title=""/>
                <o:lock v:ext="edit" rotation="t"/>
              </v:shape>
            </w:pict>
          </mc:Fallback>
        </mc:AlternateContent>
      </w:r>
      <w:r>
        <w:rPr>
          <w:highlight w:val="none"/>
        </w:rPr>
      </w:r>
      <w:r>
        <w:rPr>
          <w:highlight w:val="none"/>
        </w:rPr>
      </w:r>
    </w:p>
    <w:p>
      <w:pPr>
        <w:pBdr/>
        <w:spacing w:after="200" w:line="276" w:lineRule="auto"/>
        <w:ind/>
        <w:jc w:val="center"/>
        <w:rPr>
          <w:b/>
          <w:bCs/>
        </w:rPr>
      </w:pPr>
      <w:r>
        <w:rPr>
          <w:highlight w:val="none"/>
        </w:rPr>
      </w:r>
      <w:r>
        <w:rPr>
          <w:b/>
          <w:bCs/>
        </w:rPr>
      </w:r>
      <w:r>
        <w:rPr>
          <w:b/>
          <w:bCs/>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mc:AlternateContent>
          <mc:Choice Requires="wpg">
            <w:drawing>
              <wp:inline xmlns:wp="http://schemas.openxmlformats.org/drawingml/2006/wordprocessingDrawing" distT="0" distB="0" distL="0" distR="0">
                <wp:extent cx="7644650" cy="5733488"/>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747318" name=""/>
                        <pic:cNvPicPr>
                          <a:picLocks noChangeAspect="1"/>
                        </pic:cNvPicPr>
                        <pic:nvPr/>
                      </pic:nvPicPr>
                      <pic:blipFill rotWithShape="1">
                        <a:blip r:embed="rId34"/>
                        <a:stretch/>
                      </pic:blipFill>
                      <pic:spPr bwMode="auto">
                        <a:xfrm rot="5399976" flipH="0" flipV="0">
                          <a:off x="0" y="0"/>
                          <a:ext cx="7644650" cy="57334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601.94pt;height:451.46pt;mso-wrap-distance-left:0.00pt;mso-wrap-distance-top:0.00pt;mso-wrap-distance-right:0.00pt;mso-wrap-distance-bottom:0.00pt;rotation:89;z-index:1;" stroked="false">
                <v:imagedata r:id="rId34"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b/>
          <w:bCs/>
          <w:highlight w:val="none"/>
        </w:rPr>
      </w:pPr>
      <w:r>
        <w:rPr>
          <w:b/>
          <w:bCs/>
          <w:highlight w:val="none"/>
        </w:rPr>
        <w:t xml:space="preserve">BIÊN BẢN KHÁO SÁT</w:t>
      </w:r>
      <w:r>
        <w:rPr>
          <w:b/>
          <w:bCs/>
          <w:highlight w:val="none"/>
        </w:rPr>
      </w:r>
      <w:r>
        <w:rPr>
          <w:b/>
          <w:bCs/>
          <w:highlight w:val="none"/>
        </w:rPr>
      </w:r>
    </w:p>
    <w:p>
      <w:pPr>
        <w:pBdr/>
        <w:spacing w:after="200" w:line="276" w:lineRule="auto"/>
        <w:ind/>
        <w:jc w:val="center"/>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204780" name=""/>
                        <pic:cNvPicPr>
                          <a:picLocks noChangeAspect="1"/>
                        </pic:cNvPicPr>
                        <pic:nvPr/>
                      </pic:nvPicPr>
                      <pic:blipFill rotWithShape="1">
                        <a:blip r:embed="rId35"/>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5" o:title=""/>
                <o:lock v:ext="edit" rotation="t"/>
              </v:shape>
            </w:pict>
          </mc:Fallback>
        </mc:AlternateContent>
      </w:r>
      <w:r>
        <w:rPr>
          <w:b/>
          <w:bCs/>
          <w:highlight w:val="none"/>
        </w:rPr>
      </w:r>
      <w:r>
        <w:rPr>
          <w:b/>
          <w:bCs/>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44EFEF7"/>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batdongsan.com.vn/ban-can-ho-chung-cu-duong-ham-nghi-phuong-cau-dien-prj-khu-do-thi-my-dinh-i/em-sinh-chuyen-ban-c3-nguyen-co-thach-dang-co-quy-5-tich-1128m2-gia-tu-8-ty-pr44651480" TargetMode="External"/><Relationship Id="rId19" Type="http://schemas.openxmlformats.org/officeDocument/2006/relationships/hyperlink" Target="https://batdongsan.com.vn/ban-can-ho-chung-cu-duong-to-huu-phuong-trung-van-prj-c37-bo-cong-an-bac-ha-tower/chuyen-doi-kinh-doanh-ban-goc-115m-a-nha-pho-xinh-pr39358507" TargetMode="Externa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 Id="rId35" Type="http://schemas.openxmlformats.org/officeDocument/2006/relationships/image" Target="media/image19.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283</cp:revision>
  <dcterms:created xsi:type="dcterms:W3CDTF">2025-09-15T09:58:00Z</dcterms:created>
  <dcterms:modified xsi:type="dcterms:W3CDTF">2026-03-31T02:29:14Z</dcterms:modified>
</cp:coreProperties>
</file>