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-60614</wp:posOffset>
                </wp:positionH>
                <wp:positionV relativeFrom="paragraph">
                  <wp:posOffset>116554</wp:posOffset>
                </wp:positionV>
                <wp:extent cx="5804729" cy="3217606"/>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804728" cy="3217605"/>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275/2026/0442/VFI-CT.21.A</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CỔ PHẦN NHỰA VÀ CƠ KHÍ HẢI PHÒNG</w:t>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Cs/>
                                <w:i/>
                                <w:iCs/>
                              </w:rPr>
                            </w:r>
                            <w:r>
                              <w:rPr>
                                <w:rFonts w:ascii="Times New Roman" w:hAnsi="Times New Roman" w:eastAsia="Times New Roman" w:cs="Times New Roman"/>
                                <w:color w:val="000000"/>
                                <w:sz w:val="24"/>
                                <w:highlight w:val="white"/>
                              </w:rPr>
                              <w:t xml:space="preserve">Q</w:t>
                            </w:r>
                            <w:r>
                              <w:rPr>
                                <w:rFonts w:ascii="Times New Roman" w:hAnsi="Times New Roman" w:eastAsia="Times New Roman" w:cs="Times New Roman"/>
                                <w:color w:val="000000"/>
                                <w:sz w:val="24"/>
                              </w:rPr>
                              <w:t xml:space="preserve">uyền sử dụng đất và tài sản gắn liền với đất tại thửa đất số: 93A/1, tờ bản đồ số 02 có địa chỉ: Khu dân cư Phương Lưu 4, phường Đông Hải 1, quận Hải An </w:t>
                            </w:r>
                            <w:r>
                              <w:rPr>
                                <w:rFonts w:ascii="Times New Roman" w:hAnsi="Times New Roman" w:eastAsia="Times New Roman" w:cs="Times New Roman"/>
                                <w:i/>
                                <w:color w:val="000000"/>
                                <w:sz w:val="24"/>
                              </w:rPr>
                              <w:t xml:space="preserve">(Nay là phường Đông Hải, thành phố Hải Phòng)</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BK 455588, số vào sổ cấp GCN: CH 02515 do Uỷ ban nhân dân quận Hải An cấp ngày 16/11/2012; Chủ sử dụng đất là Ông Lê Phương Hoàng </w:t>
                            </w:r>
                            <w:r>
                              <w:rPr>
                                <w:rFonts w:ascii="Times New Roman" w:hAnsi="Times New Roman" w:eastAsia="Times New Roman" w:cs="Times New Roman"/>
                                <w:i/>
                                <w:color w:val="000000"/>
                                <w:sz w:val="24"/>
                              </w:rPr>
                              <w:t xml:space="preserve">(cập nhật ngày 09/9/2022)</w:t>
                            </w:r>
                            <w:r>
                              <w:rPr>
                                <w:bCs/>
                                <w:i/>
                                <w:iCs/>
                              </w:rPr>
                              <w:t xml:space="preserve">.</w:t>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3/2026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4.77pt;mso-position-horizontal:absolute;mso-position-vertical-relative:text;margin-top:9.18pt;mso-position-vertical:absolute;width:457.07pt;height:253.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275/2026/0442/VFI-CT.21.A</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CỔ PHẦN NHỰA VÀ CƠ KHÍ HẢI PHÒNG</w:t>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Cs/>
                          <w:i/>
                          <w:iCs/>
                        </w:rPr>
                      </w:r>
                      <w:r>
                        <w:rPr>
                          <w:rFonts w:ascii="Times New Roman" w:hAnsi="Times New Roman" w:eastAsia="Times New Roman" w:cs="Times New Roman"/>
                          <w:color w:val="000000"/>
                          <w:sz w:val="24"/>
                          <w:highlight w:val="white"/>
                        </w:rPr>
                        <w:t xml:space="preserve">Q</w:t>
                      </w:r>
                      <w:r>
                        <w:rPr>
                          <w:rFonts w:ascii="Times New Roman" w:hAnsi="Times New Roman" w:eastAsia="Times New Roman" w:cs="Times New Roman"/>
                          <w:color w:val="000000"/>
                          <w:sz w:val="24"/>
                        </w:rPr>
                        <w:t xml:space="preserve">uyền sử dụng đất và tài sản gắn liền với đất tại thửa đất số: 93A/1, tờ bản đồ số 02 có địa chỉ: Khu dân cư Phương Lưu 4, phường Đông Hải 1, quận Hải An </w:t>
                      </w:r>
                      <w:r>
                        <w:rPr>
                          <w:rFonts w:ascii="Times New Roman" w:hAnsi="Times New Roman" w:eastAsia="Times New Roman" w:cs="Times New Roman"/>
                          <w:i/>
                          <w:color w:val="000000"/>
                          <w:sz w:val="24"/>
                        </w:rPr>
                        <w:t xml:space="preserve">(Nay là phường Đông Hải, thành phố Hải Phòng)</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BK 455588, số vào sổ cấp GCN: CH 02515 do Uỷ ban nhân dân quận Hải An cấp ngày 16/11/2012; Chủ sử dụng đất là Ông Lê Phương Hoàng </w:t>
                      </w:r>
                      <w:r>
                        <w:rPr>
                          <w:rFonts w:ascii="Times New Roman" w:hAnsi="Times New Roman" w:eastAsia="Times New Roman" w:cs="Times New Roman"/>
                          <w:i/>
                          <w:color w:val="000000"/>
                          <w:sz w:val="24"/>
                        </w:rPr>
                        <w:t xml:space="preserve">(cập nhật ngày 09/9/2022)</w:t>
                      </w:r>
                      <w:r>
                        <w:rPr>
                          <w:bCs/>
                          <w:i/>
                          <w:iCs/>
                        </w:rPr>
                        <w:t xml:space="preserve">.</w:t>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3/2026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right"/>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w:t>
            </w:r>
            <w:r>
              <w:rPr>
                <w:rStyle w:val="854"/>
                <w:rFonts w:ascii="Times New Roman" w:hAnsi="Times New Roman"/>
                <w:color w:val="000000" w:themeColor="text1"/>
                <w:lang w:val="pt-BR"/>
              </w:rPr>
              <w:t xml:space="preserve">: </w:t>
            </w:r>
            <w:r>
              <w:rPr>
                <w:rStyle w:val="854"/>
                <w:rFonts w:ascii="Times New Roman" w:hAnsi="Times New Roman"/>
                <w:color w:val="000000" w:themeColor="text1"/>
                <w:lang w:val="pt-BR"/>
              </w:rPr>
              <w:t xml:space="preserve">275/2026/0442/VFI-CT.21.A</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w:t>
            </w:r>
            <w:r>
              <w:rPr>
                <w:rStyle w:val="854"/>
                <w:rFonts w:ascii="Times New Roman" w:hAnsi="Times New Roman"/>
                <w:i/>
                <w:color w:val="auto"/>
              </w:rPr>
              <w:t xml:space="preserve"> </w:t>
            </w:r>
            <w:r>
              <w:rPr>
                <w:rStyle w:val="854"/>
                <w:rFonts w:ascii="Times New Roman" w:hAnsi="Times New Roman"/>
                <w:i/>
                <w:color w:val="auto"/>
              </w:rPr>
              <w:t xml:space="preserve">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21 tháng 3 năm 2026</w:t>
            </w:r>
            <w:r>
              <w:rPr>
                <w:color w:val="000000" w:themeColor="text1"/>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NHỰA VÀ CƠ KHÍ HẢI PHÒNG</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275/2026/0442/VFI-HĐTĐ.21.A</w:t>
      </w:r>
      <w:r>
        <w:rPr>
          <w:spacing w:val="-4"/>
          <w:lang w:val="vi-VN"/>
        </w:rPr>
        <w:t xml:space="preserve"> ký ngày </w:t>
      </w:r>
      <w:r>
        <w:rPr>
          <w:color w:val="000000" w:themeColor="text1"/>
          <w:spacing w:val="-4"/>
        </w:rPr>
        <w:t xml:space="preserve">18 tháng 3 năm 2026</w:t>
      </w:r>
      <w:r>
        <w:rPr>
          <w:spacing w:val="-4"/>
          <w:lang w:val="vi-VN"/>
        </w:rPr>
        <w:t xml:space="preserve"> </w:t>
      </w:r>
      <w:r>
        <w:rPr>
          <w:spacing w:val="-4"/>
          <w:lang w:val="vi-VN"/>
        </w:rPr>
        <w:t xml:space="preserve">giữa </w:t>
      </w:r>
      <w:r>
        <w:rPr>
          <w:color w:val="000000" w:themeColor="text1"/>
          <w:spacing w:val="-4"/>
        </w:rPr>
        <w:t xml:space="preserve">Công ty Cổ phần Nhựa và Cơ khí Hải Phòng</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275/2026/0442/VFI-BC.21.A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21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430"/>
        <w:gridCol w:w="463"/>
        <w:gridCol w:w="6632"/>
        <w:gridCol w:w="5"/>
      </w:tblGrid>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4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rPr/>
            </w:pPr>
            <w:r>
              <w:rPr>
                <w:rFonts w:ascii="Times New Roman" w:hAnsi="Times New Roman" w:eastAsia="Times New Roman" w:cs="Times New Roman"/>
                <w:b/>
                <w:color w:val="000000"/>
                <w:sz w:val="24"/>
              </w:rPr>
              <w:t xml:space="preserve">CÔNG TY CỔ PHẦN NHỰA VÀ CƠ KHÍ HẢI PHÒNG</w:t>
            </w:r>
            <w:r/>
          </w:p>
        </w:tc>
        <w:tc>
          <w:tcPr>
            <w:tcBorders/>
            <w:tcMar>
              <w:left w:w="0" w:type="dxa"/>
              <w:top w:w="0" w:type="dxa"/>
              <w:right w:w="0" w:type="dxa"/>
              <w:bottom w:w="0" w:type="dxa"/>
            </w:tcMar>
            <w:tcW w:w="5" w:type="dxa"/>
            <w:vAlign w:val="center"/>
            <w:textDirection w:val="lrTb"/>
            <w:noWrap w:val="false"/>
          </w:tcPr>
          <w:p>
            <w:pPr>
              <w:pBdr/>
              <w:spacing w:after="0" w:before="0" w:line="240"/>
              <w:ind/>
              <w:rPr/>
            </w:pPr>
            <w: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4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pPr>
            <w:r>
              <w:rPr>
                <w:rFonts w:ascii="Times New Roman" w:hAnsi="Times New Roman" w:eastAsia="Times New Roman" w:cs="Times New Roman"/>
                <w:color w:val="000000"/>
                <w:sz w:val="24"/>
              </w:rPr>
              <w:t xml:space="preserve">Km 104+200 QL5, phường Đông Hải, thành phố Hải Phòng</w:t>
            </w:r>
            <w:r/>
          </w:p>
        </w:tc>
        <w:tc>
          <w:tcPr>
            <w:tcBorders/>
            <w:tcMar>
              <w:left w:w="0" w:type="dxa"/>
              <w:top w:w="0" w:type="dxa"/>
              <w:right w:w="0" w:type="dxa"/>
              <w:bottom w:w="0" w:type="dxa"/>
            </w:tcMar>
            <w:tcW w:w="5" w:type="dxa"/>
            <w:vAlign w:val="center"/>
            <w:textDirection w:val="lrTb"/>
            <w:noWrap w:val="false"/>
          </w:tcPr>
          <w:p>
            <w:pPr>
              <w:pBdr/>
              <w:spacing w:after="0" w:before="0" w:line="240"/>
              <w:ind/>
              <w:rPr/>
            </w:pPr>
            <w: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Mã số thuế</w:t>
            </w:r>
            <w:r/>
          </w:p>
        </w:tc>
        <w:tc>
          <w:tcPr>
            <w:shd w:val="clear" w:color="auto" w:fill="auto"/>
            <w:tcBorders/>
            <w:tcW w:w="4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rPr/>
            </w:pPr>
            <w:r>
              <w:rPr>
                <w:rFonts w:ascii="Times New Roman" w:hAnsi="Times New Roman" w:eastAsia="Times New Roman" w:cs="Times New Roman"/>
                <w:color w:val="000000"/>
                <w:sz w:val="24"/>
              </w:rPr>
              <w:t xml:space="preserve">0200773494</w:t>
            </w:r>
            <w:r/>
          </w:p>
        </w:tc>
        <w:tc>
          <w:tcPr>
            <w:tcBorders/>
            <w:tcMar>
              <w:left w:w="0" w:type="dxa"/>
              <w:top w:w="0" w:type="dxa"/>
              <w:right w:w="0" w:type="dxa"/>
              <w:bottom w:w="0" w:type="dxa"/>
            </w:tcMar>
            <w:tcW w:w="5" w:type="dxa"/>
            <w:vAlign w:val="center"/>
            <w:textDirection w:val="lrTb"/>
            <w:noWrap w:val="false"/>
          </w:tcPr>
          <w:p>
            <w:pPr>
              <w:pBdr/>
              <w:spacing w:after="0" w:before="0" w:line="240"/>
              <w:ind/>
              <w:rPr/>
            </w:pPr>
            <w:r/>
            <w:r/>
          </w:p>
        </w:tc>
      </w:tr>
      <w:tr>
        <w:trPr>
          <w:trHeight w:val="20"/>
        </w:trPr>
        <w:tc>
          <w:tcPr>
            <w:shd w:val="clear" w:color="ffffff" w:fill="ffffff"/>
            <w:tcBorders/>
            <w:tcW w:w="243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shd w:val="clear" w:color="ffffff" w:fill="ffffff"/>
            <w:tcBorders/>
            <w:tcW w:w="46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Lê Phương Hoàng</w:t>
            </w:r>
            <w:r/>
          </w:p>
        </w:tc>
        <w:tc>
          <w:tcPr>
            <w:tcBorders/>
            <w:tcMar>
              <w:left w:w="0" w:type="dxa"/>
              <w:top w:w="0" w:type="dxa"/>
              <w:right w:w="0" w:type="dxa"/>
              <w:bottom w:w="0" w:type="dxa"/>
            </w:tcMar>
            <w:tcW w:w="5" w:type="dxa"/>
            <w:vAlign w:val="center"/>
            <w:textDirection w:val="lrTb"/>
            <w:noWrap w:val="false"/>
          </w:tcPr>
          <w:p>
            <w:pPr>
              <w:pBdr/>
              <w:spacing w:after="0" w:before="0" w:line="240"/>
              <w:ind/>
              <w:rPr/>
            </w:pPr>
            <w: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Chức vụ</w:t>
            </w:r>
            <w:r/>
          </w:p>
        </w:tc>
        <w:tc>
          <w:tcPr>
            <w:shd w:val="clear" w:color="auto" w:fill="auto"/>
            <w:tcBorders/>
            <w:tcW w:w="46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Tổng Giám đốc</w:t>
            </w:r>
            <w:r/>
          </w:p>
        </w:tc>
        <w:tc>
          <w:tcPr>
            <w:tcBorders/>
            <w:tcMar>
              <w:left w:w="0" w:type="dxa"/>
              <w:top w:w="0" w:type="dxa"/>
              <w:right w:w="0" w:type="dxa"/>
              <w:bottom w:w="0" w:type="dxa"/>
            </w:tcMar>
            <w:tcW w:w="5" w:type="dxa"/>
            <w:vAlign w:val="center"/>
            <w:textDirection w:val="lrTb"/>
            <w:noWrap w:val="false"/>
          </w:tcPr>
          <w:p>
            <w:pPr>
              <w:pBdr/>
              <w:spacing w:after="0" w:before="0" w:line="240"/>
              <w:ind/>
              <w:rPr/>
            </w:pPr>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w:t>
            </w:r>
            <w:r/>
          </w:p>
        </w:tc>
        <w:tc>
          <w:tcPr>
            <w:tcBorders/>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Ông Vũ Văn Quân</w:t>
            </w:r>
            <w:r/>
          </w:p>
        </w:tc>
      </w:tr>
      <w:tr>
        <w:trPr>
          <w:trHeight w:val="20"/>
        </w:trPr>
        <w:tc>
          <w:tcPr>
            <w:tcBorders/>
            <w:tcW w:w="226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Chức vụ</w:t>
            </w:r>
            <w:r/>
          </w:p>
        </w:tc>
        <w:tc>
          <w:tcPr>
            <w:tcBorders/>
            <w:tcW w:w="28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W w:w="711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Chủ tịch HĐQT kiêm Tổng Giám đốc</w:t>
            </w: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i/>
          <w:iCs/>
        </w:rPr>
      </w:r>
      <w:r>
        <w:rPr>
          <w:rFonts w:ascii="Times New Roman" w:hAnsi="Times New Roman" w:eastAsia="Times New Roman" w:cs="Times New Roman"/>
          <w:color w:val="000000"/>
          <w:sz w:val="24"/>
          <w:highlight w:val="white"/>
        </w:rPr>
        <w:t xml:space="preserve">Q</w:t>
      </w:r>
      <w:r>
        <w:rPr>
          <w:rFonts w:ascii="Times New Roman" w:hAnsi="Times New Roman" w:eastAsia="Times New Roman" w:cs="Times New Roman"/>
          <w:color w:val="000000"/>
          <w:sz w:val="24"/>
        </w:rPr>
        <w:t xml:space="preserve">uyền sử dụng đất và tài sản gắn liền với đất tại thửa đất số: 93A/1, tờ bản đồ số 02 có địa chỉ: Khu dân cư Phương Lưu 4, phường Đông Hải 1, quận Hải An </w:t>
      </w:r>
      <w:r>
        <w:rPr>
          <w:rFonts w:ascii="Times New Roman" w:hAnsi="Times New Roman" w:eastAsia="Times New Roman" w:cs="Times New Roman"/>
          <w:i/>
          <w:color w:val="000000"/>
          <w:sz w:val="24"/>
        </w:rPr>
        <w:t xml:space="preserve">(Nay là phường Đông Hải, thành phố Hải Phòng)</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BK 455588, số vào sổ cấp GCN: CH 02515 do Uỷ ban nhân dân quận Hải An cấp ngày 16/11/2012; Chủ sử dụng đất là Ông Lê Phương Hoàng </w:t>
      </w:r>
      <w:r>
        <w:rPr>
          <w:rFonts w:ascii="Times New Roman" w:hAnsi="Times New Roman" w:eastAsia="Times New Roman" w:cs="Times New Roman"/>
          <w:i/>
          <w:color w:val="000000"/>
          <w:sz w:val="24"/>
        </w:rPr>
        <w:t xml:space="preserve">(cập nhật ngày 09/9/2022)</w:t>
      </w:r>
      <w:r>
        <w:rPr>
          <w:i/>
          <w:iCs/>
        </w:rPr>
        <w:t xml:space="preserve">.</w:t>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3/2026</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3/2026</w:t>
      </w:r>
      <w:r>
        <w:rPr>
          <w:lang w:val="vi-VN"/>
        </w:rPr>
        <w:t xml:space="preserve"> ước tính</w:t>
      </w:r>
      <w:r>
        <w:t xml:space="preserve"> </w:t>
      </w:r>
      <w:r>
        <w:rPr>
          <w:lang w:val="vi-VN"/>
        </w:rPr>
        <w:t xml:space="preserve">như sau:</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7"/>
        <w:gridCol w:w="2519"/>
        <w:gridCol w:w="1556"/>
        <w:gridCol w:w="1679"/>
        <w:gridCol w:w="1162"/>
        <w:gridCol w:w="1873"/>
      </w:tblGrid>
      <w:tr>
        <w:trPr>
          <w:trHeight w:val="729"/>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5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5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Diện tích </w:t>
              <w:br/>
              <w:t xml:space="preserve"> (m²)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67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w:t>
              <w:br/>
              <w:t xml:space="preserve"> (đồng/m²)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1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CLCL </w:t>
              <w:br/>
              <w:t xml:space="preserve"> (%)</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8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Thành tiền </w:t>
              <w:br/>
              <w:t xml:space="preserve"> (đồng)</w:t>
            </w:r>
            <w:r/>
          </w:p>
        </w:tc>
      </w:tr>
      <w:tr>
        <w:trPr>
          <w:trHeight w:val="1749"/>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6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93A/1, tờ bản đồ số 02 có địa chỉ: Khu dân cư Phương Lưu 4, phường Đông Hải 1, quận Hải An </w:t>
            </w:r>
            <w:r>
              <w:rPr>
                <w:rFonts w:ascii="Times New Roman" w:hAnsi="Times New Roman" w:eastAsia="Times New Roman" w:cs="Times New Roman"/>
                <w:b/>
                <w:i/>
                <w:color w:val="000000"/>
                <w:sz w:val="24"/>
              </w:rPr>
              <w:t xml:space="preserve">(Nay là phường Đông Hải, thành phố Hải Phòng)</w:t>
            </w:r>
            <w:r>
              <w:rPr>
                <w:rFonts w:ascii="Times New Roman" w:hAnsi="Times New Roman" w:eastAsia="Times New Roman" w:cs="Times New Roman"/>
                <w:b/>
                <w:color w:val="000000"/>
                <w:sz w:val="24"/>
              </w:rPr>
              <w:t xml:space="preserve"> theo Giấy chứng nhận quyền sử dụng đất quyền sở hữu nhà ở và tài sản khác gắn liền với đất số: BK 455588, số vào sổ cấp GCN: CH 02515 do Uỷ ban nhân dân quận Hải An cấp ngày 16/11/2012; Chủ sử dụng đất là Ông Lê Phương Hoàng </w:t>
            </w:r>
            <w:r>
              <w:rPr>
                <w:rFonts w:ascii="Times New Roman" w:hAnsi="Times New Roman" w:eastAsia="Times New Roman" w:cs="Times New Roman"/>
                <w:b/>
                <w:i/>
                <w:color w:val="000000"/>
                <w:sz w:val="24"/>
              </w:rPr>
              <w:t xml:space="preserve">(cập nhật ngày 09/9/2022).</w:t>
            </w:r>
            <w:r/>
          </w:p>
        </w:tc>
        <w:tc>
          <w:tcPr>
            <w:shd w:val="clear" w:color="ffffff" w:fill="ffffff"/>
            <w:tcBorders>
              <w:bottom w:val="single" w:color="000000" w:sz="8" w:space="0"/>
              <w:right w:val="single" w:color="000000" w:sz="8" w:space="0"/>
            </w:tcBorders>
            <w:tcMar>
              <w:left w:w="0" w:type="dxa"/>
              <w:top w:w="0" w:type="dxa"/>
              <w:right w:w="0" w:type="dxa"/>
              <w:bottom w:w="0" w:type="dxa"/>
            </w:tcMar>
            <w:tcW w:w="18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8" w:space="0"/>
              <w:right w:val="single" w:color="000000" w:sz="8" w:space="0"/>
            </w:tcBorders>
            <w:tcMar>
              <w:left w:w="0" w:type="dxa"/>
              <w:top w:w="0" w:type="dxa"/>
              <w:right w:w="0" w:type="dxa"/>
              <w:bottom w:w="0" w:type="dxa"/>
            </w:tcMar>
            <w:tcW w:w="25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Đất ở đô thị</w:t>
            </w:r>
            <w:r/>
          </w:p>
        </w:tc>
        <w:tc>
          <w:tcPr>
            <w:tcBorders>
              <w:bottom w:val="single" w:color="000000" w:sz="8" w:space="0"/>
              <w:right w:val="single" w:color="000000" w:sz="8" w:space="0"/>
            </w:tcBorders>
            <w:tcMar>
              <w:left w:w="0" w:type="dxa"/>
              <w:top w:w="0" w:type="dxa"/>
              <w:right w:w="0" w:type="dxa"/>
              <w:bottom w:w="0" w:type="dxa"/>
            </w:tcMar>
            <w:tcW w:w="1556"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70,4</w:t>
            </w:r>
            <w:r/>
          </w:p>
        </w:tc>
        <w:tc>
          <w:tcPr>
            <w:shd w:val="clear" w:color="ffffff" w:fill="ffffff"/>
            <w:tcBorders>
              <w:bottom w:val="single" w:color="000000" w:sz="8" w:space="0"/>
              <w:right w:val="single" w:color="000000" w:sz="8" w:space="0"/>
            </w:tcBorders>
            <w:tcMar>
              <w:left w:w="0" w:type="dxa"/>
              <w:top w:w="0" w:type="dxa"/>
              <w:right w:w="0" w:type="dxa"/>
              <w:bottom w:w="0" w:type="dxa"/>
            </w:tcMar>
            <w:tcW w:w="167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76.000.000</w:t>
            </w:r>
            <w:r/>
          </w:p>
        </w:tc>
        <w:tc>
          <w:tcPr>
            <w:shd w:val="clear" w:color="ffffff" w:fill="ffffff"/>
            <w:tcBorders>
              <w:bottom w:val="single" w:color="000000" w:sz="8" w:space="0"/>
              <w:right w:val="single" w:color="000000" w:sz="8" w:space="0"/>
            </w:tcBorders>
            <w:tcMar>
              <w:left w:w="0" w:type="dxa"/>
              <w:top w:w="0" w:type="dxa"/>
              <w:right w:w="0" w:type="dxa"/>
              <w:bottom w:w="0" w:type="dxa"/>
            </w:tcMar>
            <w:tcW w:w="11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18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5.350.400.000</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8" w:space="0"/>
              <w:right w:val="single" w:color="000000" w:sz="8" w:space="0"/>
            </w:tcBorders>
            <w:tcMar>
              <w:left w:w="0" w:type="dxa"/>
              <w:top w:w="0" w:type="dxa"/>
              <w:right w:w="0" w:type="dxa"/>
              <w:bottom w:w="0" w:type="dxa"/>
            </w:tcMar>
            <w:tcW w:w="25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Nhà 04 tầng</w:t>
            </w:r>
            <w:r/>
          </w:p>
        </w:tc>
        <w:tc>
          <w:tcPr>
            <w:tcBorders>
              <w:bottom w:val="single" w:color="000000" w:sz="8" w:space="0"/>
              <w:right w:val="single" w:color="000000" w:sz="8" w:space="0"/>
            </w:tcBorders>
            <w:tcMar>
              <w:left w:w="0" w:type="dxa"/>
              <w:top w:w="0" w:type="dxa"/>
              <w:right w:w="0" w:type="dxa"/>
              <w:bottom w:w="0" w:type="dxa"/>
            </w:tcMar>
            <w:tcW w:w="1556"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281,0</w:t>
            </w:r>
            <w:r/>
          </w:p>
        </w:tc>
        <w:tc>
          <w:tcPr>
            <w:shd w:val="clear" w:color="ffffff" w:fill="ffffff"/>
            <w:tcBorders>
              <w:bottom w:val="single" w:color="000000" w:sz="8" w:space="0"/>
              <w:right w:val="single" w:color="000000" w:sz="8" w:space="0"/>
            </w:tcBorders>
            <w:tcMar>
              <w:left w:w="0" w:type="dxa"/>
              <w:top w:w="0" w:type="dxa"/>
              <w:right w:w="0" w:type="dxa"/>
              <w:bottom w:w="0" w:type="dxa"/>
            </w:tcMar>
            <w:tcW w:w="167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7.274.004</w:t>
            </w:r>
            <w:r/>
          </w:p>
        </w:tc>
        <w:tc>
          <w:tcPr>
            <w:shd w:val="clear" w:color="ffffff" w:fill="ffffff"/>
            <w:tcBorders>
              <w:bottom w:val="single" w:color="000000" w:sz="8" w:space="0"/>
              <w:right w:val="single" w:color="000000" w:sz="8" w:space="0"/>
            </w:tcBorders>
            <w:tcMar>
              <w:left w:w="0" w:type="dxa"/>
              <w:top w:w="0" w:type="dxa"/>
              <w:right w:w="0" w:type="dxa"/>
              <w:bottom w:w="0" w:type="dxa"/>
            </w:tcMar>
            <w:tcW w:w="11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94%</w:t>
            </w:r>
            <w:r/>
          </w:p>
        </w:tc>
        <w:tc>
          <w:tcPr>
            <w:shd w:val="clear" w:color="ffffff" w:fill="ffffff"/>
            <w:tcBorders>
              <w:bottom w:val="single" w:color="000000" w:sz="8" w:space="0"/>
              <w:right w:val="single" w:color="000000" w:sz="8" w:space="0"/>
            </w:tcBorders>
            <w:tcMar>
              <w:left w:w="0" w:type="dxa"/>
              <w:top w:w="0" w:type="dxa"/>
              <w:right w:w="0" w:type="dxa"/>
              <w:bottom w:w="0" w:type="dxa"/>
            </w:tcMar>
            <w:tcW w:w="18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1.921.355.417</w:t>
            </w:r>
            <w:r/>
          </w:p>
        </w:tc>
      </w:tr>
      <w:tr>
        <w:trPr>
          <w:trHeight w:val="312"/>
        </w:trPr>
        <w:tc>
          <w:tcPr>
            <w:gridSpan w:val="5"/>
            <w:tcBorders>
              <w:left w:val="single" w:color="000000" w:sz="8" w:space="0"/>
              <w:bottom w:val="single" w:color="000000" w:sz="8" w:space="0"/>
              <w:right w:val="single" w:color="000000" w:sz="8" w:space="0"/>
            </w:tcBorders>
            <w:tcMar>
              <w:left w:w="0" w:type="dxa"/>
              <w:top w:w="0" w:type="dxa"/>
              <w:right w:w="0" w:type="dxa"/>
              <w:bottom w:w="0" w:type="dxa"/>
            </w:tcMar>
            <w:tcW w:w="765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0" w:type="dxa"/>
              <w:top w:w="0" w:type="dxa"/>
              <w:right w:w="0" w:type="dxa"/>
              <w:bottom w:w="0" w:type="dxa"/>
            </w:tcMar>
            <w:tcW w:w="187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7.271.755.417</w:t>
            </w:r>
            <w:r/>
          </w:p>
        </w:tc>
      </w:tr>
      <w:tr>
        <w:trPr>
          <w:trHeight w:val="312"/>
        </w:trPr>
        <w:tc>
          <w:tcPr>
            <w:gridSpan w:val="5"/>
            <w:tcBorders>
              <w:left w:val="single" w:color="000000" w:sz="8" w:space="0"/>
              <w:bottom w:val="single" w:color="000000" w:sz="8" w:space="0"/>
              <w:right w:val="single" w:color="000000" w:sz="8" w:space="0"/>
            </w:tcBorders>
            <w:tcMar>
              <w:left w:w="0" w:type="dxa"/>
              <w:top w:w="0" w:type="dxa"/>
              <w:right w:w="0" w:type="dxa"/>
              <w:bottom w:w="0" w:type="dxa"/>
            </w:tcMar>
            <w:tcW w:w="765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0" w:type="dxa"/>
              <w:top w:w="0" w:type="dxa"/>
              <w:right w:w="0" w:type="dxa"/>
              <w:bottom w:w="0" w:type="dxa"/>
            </w:tcMar>
            <w:tcW w:w="187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7.272.000.000</w:t>
            </w:r>
            <w:r/>
          </w:p>
        </w:tc>
      </w:tr>
      <w:tr>
        <w:trPr>
          <w:trHeight w:val="309"/>
        </w:trPr>
        <w:tc>
          <w:tcPr>
            <w:gridSpan w:val="6"/>
            <w:tcBorders>
              <w:left w:val="single" w:color="000000" w:sz="8" w:space="0"/>
              <w:bottom w:val="single" w:color="000000" w:sz="8" w:space="0"/>
              <w:right w:val="single" w:color="000000" w:sz="8" w:space="0"/>
            </w:tcBorders>
            <w:tcMar>
              <w:left w:w="0" w:type="dxa"/>
              <w:top w:w="0" w:type="dxa"/>
              <w:right w:w="0" w:type="dxa"/>
              <w:bottom w:w="0" w:type="dxa"/>
            </w:tcMar>
            <w:tcW w:w="952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i/>
                <w:color w:val="000000"/>
                <w:sz w:val="24"/>
              </w:rPr>
              <w:t xml:space="preserve">(Bằng chữ: Bảy tỷ, hai trăm bảy mươi hai triệu đồng chẵn./.)</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5000" w:type="pct"/>
        <w:tblBorders/>
        <w:tblLayout w:type="fixed"/>
        <w:tblLook w:val="01E0" w:firstRow="1" w:lastRow="1" w:firstColumn="1" w:lastColumn="1" w:noHBand="0" w:noVBand="0"/>
      </w:tblPr>
      <w:tblGrid>
        <w:gridCol w:w="4422"/>
        <w:gridCol w:w="5102"/>
      </w:tblGrid>
      <w:tr>
        <w:trPr>
          <w:trHeight w:val="20"/>
        </w:trPr>
        <w:tc>
          <w:tcPr>
            <w:tcBorders/>
            <w:tcW w:w="4422"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5102"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54"/>
        </w:trPr>
        <w:tc>
          <w:tcPr>
            <w:tcBorders/>
            <w:tcW w:w="4422"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4422"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w:t>
            </w:r>
            <w:r>
              <w:rPr>
                <w:rFonts w:eastAsia="Calibri"/>
                <w:lang w:val="pt-BR"/>
              </w:rPr>
              <w:t xml:space="preserve">XII17.1825</w:t>
            </w:r>
            <w:r>
              <w:rPr>
                <w:rFonts w:eastAsia="Calibri"/>
                <w:b/>
                <w:lang w:val="pt-BR"/>
              </w:rPr>
            </w:r>
          </w:p>
        </w:tc>
      </w:tr>
    </w:tbl>
    <w:p>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w:t>
            </w:r>
            <w:r>
              <w:rPr>
                <w:rStyle w:val="854"/>
                <w:rFonts w:ascii="Times New Roman" w:hAnsi="Times New Roman"/>
                <w:color w:val="000000" w:themeColor="text1"/>
                <w:lang w:val="pt-BR"/>
              </w:rPr>
              <w:t xml:space="preserve">: </w:t>
            </w:r>
            <w:r>
              <w:rPr>
                <w:rStyle w:val="854"/>
                <w:rFonts w:ascii="Times New Roman" w:hAnsi="Times New Roman"/>
                <w:color w:val="000000" w:themeColor="text1"/>
                <w:lang w:val="pt-BR"/>
              </w:rPr>
              <w:t xml:space="preserve">275/2026/0442/VFI-CT.21.A</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w:t>
            </w:r>
            <w:r>
              <w:rPr>
                <w:rStyle w:val="854"/>
                <w:rFonts w:ascii="Times New Roman" w:hAnsi="Times New Roman"/>
                <w:i/>
                <w:color w:val="auto"/>
              </w:rPr>
              <w:t xml:space="preserve"> </w:t>
            </w:r>
            <w:r>
              <w:rPr>
                <w:rStyle w:val="854"/>
                <w:rFonts w:ascii="Times New Roman" w:hAnsi="Times New Roman"/>
                <w:i/>
                <w:color w:val="auto"/>
              </w:rPr>
              <w:t xml:space="preserve">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21 tháng 3 năm 2026</w:t>
            </w:r>
            <w:r>
              <w:rPr>
                <w:color w:val="000000" w:themeColor="text1"/>
                <w:sz w:val="24"/>
                <w:szCs w:val="24"/>
                <w:lang w:val="vi-VN"/>
              </w:rPr>
            </w:r>
          </w:p>
        </w:tc>
      </w:tr>
    </w:tbl>
    <w:p>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275/2026/0442/VFI-CT.21.A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21 tháng 3 năm 2026</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w:t>
            </w:r>
            <w:r/>
          </w:p>
        </w:tc>
        <w:tc>
          <w:tcPr>
            <w:tcBorders/>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Ông Vũ Văn Quân</w:t>
            </w:r>
            <w:r/>
          </w:p>
        </w:tc>
      </w:tr>
      <w:tr>
        <w:trPr>
          <w:trHeight w:val="20"/>
        </w:trPr>
        <w:tc>
          <w:tcPr>
            <w:tcBorders/>
            <w:tcW w:w="255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Chức vụ</w:t>
            </w:r>
            <w:r/>
          </w:p>
        </w:tc>
        <w:tc>
          <w:tcPr>
            <w:tcBorders/>
            <w:tcW w:w="28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W w:w="694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Chủ tịch HĐQT kiêm Tổng Giám đốc</w:t>
            </w: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p>
    <w:tbl>
      <w:tblPr>
        <w:tblW w:w="9747" w:type="dxa"/>
        <w:tblBorders/>
        <w:tblLook w:val="04A0" w:firstRow="1" w:lastRow="0" w:firstColumn="1" w:lastColumn="0" w:noHBand="0" w:noVBand="1"/>
      </w:tblPr>
      <w:tblGrid>
        <w:gridCol w:w="2518"/>
        <w:gridCol w:w="284"/>
        <w:gridCol w:w="6945"/>
        <w:gridCol w:w="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rPr/>
            </w:pPr>
            <w:r>
              <w:rPr>
                <w:rFonts w:ascii="Times New Roman" w:hAnsi="Times New Roman" w:eastAsia="Times New Roman" w:cs="Times New Roman"/>
                <w:b/>
                <w:color w:val="000000"/>
                <w:sz w:val="24"/>
              </w:rPr>
              <w:t xml:space="preserve">CÔNG TY CỔ PHẦN NHỰA VÀ CƠ KHÍ HẢI PHÒNG</w:t>
            </w:r>
            <w:r/>
          </w:p>
        </w:tc>
        <w:tc>
          <w:tcPr>
            <w:tcBorders/>
            <w:tcMar>
              <w:left w:w="0" w:type="dxa"/>
              <w:top w:w="0" w:type="dxa"/>
              <w:right w:w="0" w:type="dxa"/>
              <w:bottom w:w="0" w:type="dxa"/>
            </w:tcMar>
            <w:tcW w:w="5" w:type="dxa"/>
            <w:vAlign w:val="center"/>
            <w:textDirection w:val="lrTb"/>
            <w:noWrap w:val="false"/>
          </w:tcPr>
          <w:p>
            <w:pPr>
              <w:pBdr/>
              <w:spacing w:after="0" w:before="0" w:line="240"/>
              <w:ind/>
              <w:rPr/>
            </w:pPr>
            <w: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pPr>
            <w:r>
              <w:rPr>
                <w:rFonts w:ascii="Times New Roman" w:hAnsi="Times New Roman" w:eastAsia="Times New Roman" w:cs="Times New Roman"/>
                <w:color w:val="000000"/>
                <w:sz w:val="24"/>
              </w:rPr>
              <w:t xml:space="preserve">Km 104+200 QL5, phường Đông Hải, thành phố Hải Phòng</w:t>
            </w:r>
            <w:r/>
          </w:p>
        </w:tc>
        <w:tc>
          <w:tcPr>
            <w:tcBorders/>
            <w:tcMar>
              <w:left w:w="0" w:type="dxa"/>
              <w:top w:w="0" w:type="dxa"/>
              <w:right w:w="0" w:type="dxa"/>
              <w:bottom w:w="0" w:type="dxa"/>
            </w:tcMar>
            <w:tcW w:w="5" w:type="dxa"/>
            <w:vAlign w:val="center"/>
            <w:textDirection w:val="lrTb"/>
            <w:noWrap w:val="false"/>
          </w:tcPr>
          <w:p>
            <w:pPr>
              <w:pBdr/>
              <w:spacing w:after="0" w:before="0" w:line="240"/>
              <w:ind/>
              <w:rPr/>
            </w:pPr>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Mã số thuế</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64" w:lineRule="auto"/>
              <w:ind w:right="0" w:firstLine="0" w:left="0"/>
              <w:rPr/>
            </w:pPr>
            <w:r>
              <w:rPr>
                <w:rFonts w:ascii="Times New Roman" w:hAnsi="Times New Roman" w:eastAsia="Times New Roman" w:cs="Times New Roman"/>
                <w:color w:val="000000"/>
                <w:sz w:val="24"/>
              </w:rPr>
              <w:t xml:space="preserve">0200773494</w:t>
            </w:r>
            <w:r/>
          </w:p>
        </w:tc>
        <w:tc>
          <w:tcPr>
            <w:tcBorders/>
            <w:tcMar>
              <w:left w:w="0" w:type="dxa"/>
              <w:top w:w="0" w:type="dxa"/>
              <w:right w:w="0" w:type="dxa"/>
              <w:bottom w:w="0" w:type="dxa"/>
            </w:tcMar>
            <w:tcW w:w="5" w:type="dxa"/>
            <w:vAlign w:val="center"/>
            <w:textDirection w:val="lrTb"/>
            <w:noWrap w:val="false"/>
          </w:tcPr>
          <w:p>
            <w:pPr>
              <w:pBdr/>
              <w:spacing w:after="0" w:before="0" w:line="240"/>
              <w:ind/>
              <w:rPr/>
            </w:pPr>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Lê Phương Hoàng</w:t>
            </w:r>
            <w:r/>
          </w:p>
        </w:tc>
        <w:tc>
          <w:tcPr>
            <w:tcBorders/>
            <w:tcMar>
              <w:left w:w="0" w:type="dxa"/>
              <w:top w:w="0" w:type="dxa"/>
              <w:right w:w="0" w:type="dxa"/>
              <w:bottom w:w="0" w:type="dxa"/>
            </w:tcMar>
            <w:tcW w:w="5" w:type="dxa"/>
            <w:vAlign w:val="center"/>
            <w:textDirection w:val="lrTb"/>
            <w:noWrap w:val="false"/>
          </w:tcPr>
          <w:p>
            <w:pPr>
              <w:pBdr/>
              <w:spacing w:after="0" w:before="0" w:line="240"/>
              <w:ind/>
              <w:rPr/>
            </w:pPr>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Chức vụ</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Tổng Giám đốc</w:t>
            </w:r>
            <w:r/>
          </w:p>
        </w:tc>
        <w:tc>
          <w:tcPr>
            <w:tcBorders/>
            <w:tcMar>
              <w:left w:w="0" w:type="dxa"/>
              <w:top w:w="0" w:type="dxa"/>
              <w:right w:w="0" w:type="dxa"/>
              <w:bottom w:w="0" w:type="dxa"/>
            </w:tcMar>
            <w:tcW w:w="5" w:type="dxa"/>
            <w:vAlign w:val="center"/>
            <w:textDirection w:val="lrTb"/>
            <w:noWrap w:val="false"/>
          </w:tcPr>
          <w:p>
            <w:pPr>
              <w:pBdr/>
              <w:spacing w:after="0" w:before="0" w:line="240"/>
              <w:ind/>
              <w:rPr/>
            </w:pPr>
            <w:r/>
            <w:r/>
          </w:p>
        </w:tc>
      </w:tr>
      <w:tr>
        <w:trPr>
          <w:gridAfter w:val="1"/>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highlight w:val="white"/>
              </w:rPr>
              <w:t xml:space="preserve">Q</w:t>
            </w:r>
            <w:r>
              <w:rPr>
                <w:rFonts w:ascii="Times New Roman" w:hAnsi="Times New Roman" w:eastAsia="Times New Roman" w:cs="Times New Roman"/>
                <w:color w:val="000000"/>
                <w:sz w:val="24"/>
              </w:rPr>
              <w:t xml:space="preserve">uyền sử dụng đất và tài sản gắn liền với đất tại thửa đất số: 93A/1, tờ bản đồ số 02 có địa chỉ: Khu dân cư Phương Lưu 4, phường Đông Hải 1, quận Hải An </w:t>
            </w:r>
            <w:r>
              <w:rPr>
                <w:rFonts w:ascii="Times New Roman" w:hAnsi="Times New Roman" w:eastAsia="Times New Roman" w:cs="Times New Roman"/>
                <w:i/>
                <w:color w:val="000000"/>
                <w:sz w:val="24"/>
              </w:rPr>
              <w:t xml:space="preserve">(Nay là phường Đông Hải, thành phố Hải Phòng)</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BK 455588, số vào sổ cấp GCN: CH 02515 do Uỷ ban nhân dân quận Hải An cấp ngày 16/11/2012; Chủ sử dụng đất là Ông Lê Phương Hoàng </w:t>
            </w:r>
            <w:r>
              <w:rPr>
                <w:rFonts w:ascii="Times New Roman" w:hAnsi="Times New Roman" w:eastAsia="Times New Roman" w:cs="Times New Roman"/>
                <w:i/>
                <w:color w:val="000000"/>
                <w:sz w:val="24"/>
              </w:rPr>
              <w:t xml:space="preserve">(cập nhật ngày 09/9/2022).</w:t>
            </w:r>
            <w:r/>
          </w:p>
        </w:tc>
      </w:tr>
      <w:tr>
        <w:trPr>
          <w:gridAfter w:val="1"/>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gridAfter w:val="1"/>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gridAfter w:val="1"/>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3/2026</w:t>
            </w:r>
            <w:r>
              <w:rPr>
                <w:lang w:val="pt-BR"/>
              </w:rPr>
              <w:t xml:space="preserve">.</w:t>
            </w:r>
            <w:r>
              <w:rPr>
                <w:bCs/>
                <w:spacing w:val="-4"/>
                <w:lang w:val="pt-BR"/>
              </w:rPr>
            </w:r>
          </w:p>
        </w:tc>
      </w:tr>
      <w:tr>
        <w:trPr>
          <w:gridAfter w:val="1"/>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Đông Hải, thành phố Hải Phòng</w:t>
            </w:r>
            <w:r>
              <w:rPr>
                <w:color w:val="ee0000"/>
                <w:lang w:val="pt-BR"/>
              </w:rPr>
            </w:r>
          </w:p>
        </w:tc>
      </w:tr>
      <w:tr>
        <w:trPr>
          <w:gridAfter w:val="1"/>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(20.852011, 106.715149)</w:t>
            </w:r>
            <w:r>
              <w:rPr>
                <w:rFonts w:ascii="Times New Roman" w:hAnsi="Times New Roman" w:cs="Times New Roman"/>
                <w:color w:val="auto"/>
                <w:sz w:val="24"/>
                <w:szCs w:val="24"/>
              </w:rPr>
            </w:r>
          </w:p>
        </w:tc>
      </w:tr>
      <w:tr>
        <w:trPr>
          <w:gridAfter w:val="1"/>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3/2026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p>
    <w:p>
      <w:pPr>
        <w:pStyle w:val="856"/>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p>
    <w:p>
      <w:pPr>
        <w:pStyle w:val="856"/>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lang w:val="pt-BR"/>
        </w:rPr>
      </w: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BK 455588, số vào sổ cấp GCN: CH 02515 do Uỷ ban nhân dân quận Hải An cấp ngày 16/11/2012; Chủ sử dụng đất là Ông Lê Phương Hoàng </w:t>
      </w:r>
      <w:r>
        <w:rPr>
          <w:rFonts w:ascii="Times New Roman" w:hAnsi="Times New Roman" w:eastAsia="Times New Roman" w:cs="Times New Roman"/>
          <w:i/>
          <w:color w:val="000000"/>
          <w:sz w:val="24"/>
        </w:rPr>
        <w:t xml:space="preserve">(cập nhật ngày 09/9/2022)</w:t>
      </w:r>
      <w:r>
        <w:rPr>
          <w:lang w:val="pt-BR"/>
        </w:rPr>
        <w:t xml:space="preserve">.</w:t>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r>
      <w:r>
        <w:rPr>
          <w:rFonts w:ascii="Times New Roman" w:hAnsi="Times New Roman" w:eastAsia="Times New Roman" w:cs="Times New Roman"/>
          <w:color w:val="000000"/>
          <w:spacing w:val="-4"/>
          <w:sz w:val="24"/>
        </w:rPr>
        <w:t xml:space="preserve">Hợp đồng dịch vụ thẩm định giá số: 275/2026/0442/VFI-HĐTĐ.21.A ký ngày 18 tháng 3 năm 2026 giữa Công ty Cổ phần Nhựa và Cơ khí Hải Phòng</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rPr>
          <w:color w:val="000000" w:themeColor="text1"/>
          <w:lang w:val="pt-BR"/>
        </w:rPr>
        <w:t xml:space="preserve">.</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Bất động sản Hải Phòng năm 2025 đang chứng kiến sự trỗi dậy mạnh mẽ nhờ vào hàng loạt đại dự án tỷ đô được triển khai. Những dự án này không chỉ làm thay đổi diện mạo thành phố cảng mà còn tạo ra cơ hội đầu tư hấp dẫn cho nhiều doanh nghiệp và cá nhân. Với</w:t>
      </w:r>
      <w:r>
        <w:rPr>
          <w:rFonts w:ascii="Times New Roman" w:hAnsi="Times New Roman" w:eastAsia="Times New Roman" w:cs="Times New Roman"/>
          <w:color w:val="000000"/>
          <w:sz w:val="24"/>
        </w:rPr>
        <w:t xml:space="preserve"> tiềm năng phát triển mạnh mẽ, bất động sản Hải Phòng hứa hẹn sẽ trở thành một trong những thị trường sôi động nhất tại Việt Nam.</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Số lượng dự án bất động sản tăng gần gấp đôi trong 5 năm qua</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Sự xuất hiện của nhiều ông lớn đã khiến số lượng dự án bất động sản tại Hải Phòng tăng gần gấp đôi trong vòng 5 năm qua. Từ sau Tết, anh Nguyễn Văn Tiến, một môi giới có gần mười năm kinh nghiệm tại Hải Phòng, cho biết đã liên tục tiếp xúc với các nhà đầu</w:t>
      </w:r>
      <w:r>
        <w:rPr>
          <w:rFonts w:ascii="Times New Roman" w:hAnsi="Times New Roman" w:eastAsia="Times New Roman" w:cs="Times New Roman"/>
          <w:color w:val="000000"/>
          <w:sz w:val="24"/>
        </w:rPr>
        <w:t xml:space="preserve"> tư từ nhiều địa phương như Hà Nội, Hải Dương, Hưng Yên, và cả từ phía Nam, tìm kiếm cơ hội mua bất động sản. Khu vực Thuỷ Nguyên, An Dương và Dương Kinh là những điểm đến được họ chú ý nhiều nhất.</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anh Tiến, sự thay đổi này là rất rõ rệt so với 3-4 năm trước bởi bất động sản Hải Phòng trước đây khá khép kín, với ít sự tham gia của nhà đầu tư từ tỉnh khác, nhất là khi so sánh với Quảng Ninh. Quảng Ninh đã phát triển thị trường sớm hơn, với sự đa</w:t>
      </w:r>
      <w:r>
        <w:rPr>
          <w:rFonts w:ascii="Times New Roman" w:hAnsi="Times New Roman" w:eastAsia="Times New Roman" w:cs="Times New Roman"/>
          <w:color w:val="000000"/>
          <w:sz w:val="24"/>
        </w:rPr>
        <w:t xml:space="preserve"> dạng về sản phẩm phục vụ nhu cầu ở, dịch vụ và nghỉ dưỡng cao cấp.</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Giao dịch và giá nhà đất tăng 10–30% tùy khu vực trong quý I/2025</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Trong quý I/2025, ông Nguyễn Quang Văn - Chủ tịch Hiệp hội Bất động sản Hải Phòng, cho biết các sàn giao dịch trong thành phố ghi nhận lượng giao dịch tăng khoảng 30% so với cùng kỳ năm 2024, với giá cả biến động 10-30% tùy thuộc vào từng phân khúc và khu</w:t>
      </w:r>
      <w:r>
        <w:rPr>
          <w:rFonts w:ascii="Times New Roman" w:hAnsi="Times New Roman" w:eastAsia="Times New Roman" w:cs="Times New Roman"/>
          <w:color w:val="000000"/>
          <w:sz w:val="24"/>
        </w:rPr>
        <w:t xml:space="preserve"> vực. Đặc biệt, giá đất nền thay đổi mạnh mẽ tại Thủy Nguyên, Tràng Cát và Dương Kinh. Hiệp hội Môi giới Bất động sản Việt Nam (VARS) cũng cho hay lượng giao dịch và giá bán thứ cấp tại Hải Phòng đang có xu hướng tăng bình quân từ 5-10%, riêng Thủy Nguyên </w:t>
      </w:r>
      <w:r>
        <w:rPr>
          <w:rFonts w:ascii="Times New Roman" w:hAnsi="Times New Roman" w:eastAsia="Times New Roman" w:cs="Times New Roman"/>
          <w:color w:val="000000"/>
          <w:sz w:val="24"/>
        </w:rPr>
        <w:t xml:space="preserve">ghi nhận mức tăng lên tới 30%. Các dự án nhà thấp tầng và nhà xã hội mới mở bán cũng đạt tỷ lệ hấp thụ trên 60%.</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Thị trường thu hút nhà đầu tư khắp cả nước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đánh giá từ các đơn vị nghiên cứu và giới chuyên gia, một trong những lý do chủ yếu khiến Hải Phòng trở thành một trong những thị trường bất động sản sôi động và được chú ý hàng đầu tại miền Bắc, nhất là Hà Nội, Hưng Yên và miền Nam với hàng loạt dự </w:t>
      </w:r>
      <w:r>
        <w:rPr>
          <w:rFonts w:ascii="Times New Roman" w:hAnsi="Times New Roman" w:eastAsia="Times New Roman" w:cs="Times New Roman"/>
          <w:color w:val="000000"/>
          <w:sz w:val="24"/>
        </w:rPr>
        <w:t xml:space="preserve">án khu đô thị và chung cư cao cấp. Trong khoảng một năm qua, số lượng dự án khu đô thị, chung cư thương mại và nhà xã hội được đầu tư tại thành phố cảng cũng nằm trong nhóm cao nhất toàn quốc.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Hạ tầng và vị thế kinh tế tạo lực đẩy cho thị trường địa ốc Hải Phòng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Savills cho biết Hải Phòng đang có nhiều yếu tố thuận lợi để thị trường địa ốc tiếp tục phát triển trong thời gian tới. Thành phố này nằm trong vùng tam giác kinh tế phát triển cùng với Hà Nội và Quảng Ninh, sở hữu hệ thống cảng biển lớn nhất miền Bắc và </w:t>
      </w:r>
      <w:r>
        <w:rPr>
          <w:rFonts w:ascii="Times New Roman" w:hAnsi="Times New Roman" w:eastAsia="Times New Roman" w:cs="Times New Roman"/>
          <w:color w:val="000000"/>
          <w:sz w:val="24"/>
        </w:rPr>
        <w:t xml:space="preserve">hạ tầng giao thông đa dạng.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Trong tháng vừa qua, Hải Phòng đã đưa vào hoạt động thêm 2 bến cảng nước sâu (số 3 và 4) thuộc cụm cảng Lạch Huyện, với tổng giá trị 7.000 tỷ đồng, có khả năng xử lý sản lượng hàng hóa lên tới 1,5 triệu TEU mỗi năm. Trước đó, bến cảng số 5 và 6 cũng đã ch</w:t>
      </w:r>
      <w:r>
        <w:rPr>
          <w:rFonts w:ascii="Times New Roman" w:hAnsi="Times New Roman" w:eastAsia="Times New Roman" w:cs="Times New Roman"/>
          <w:color w:val="000000"/>
          <w:sz w:val="24"/>
        </w:rPr>
        <w:t xml:space="preserve">ính thức hoạt động, cho phép đón cùng lúc 2 tàu container lớn nhất thế giới hiện nay.</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Sân bay quốc tế Cát Bi cũng đang được mở rộng sân đỗ và sẽ xây dựng nhà ga hành khách T2, được thiết kế với công suất 5 triệu hành khách mỗi năm khi hoàn thành. Một tuyến giao thông quan trọng khác, có vai trò lớn trong sự phát triển của thành phố trong t</w:t>
      </w:r>
      <w:r>
        <w:rPr>
          <w:rFonts w:ascii="Times New Roman" w:hAnsi="Times New Roman" w:eastAsia="Times New Roman" w:cs="Times New Roman"/>
          <w:color w:val="000000"/>
          <w:sz w:val="24"/>
        </w:rPr>
        <w:t xml:space="preserve">ương lai, là đường sắt Lào Cai - Hà Nội - Hải Phòng, với tổng mức đầu tư dự kiến là 11 tỷ USD. Mới đây, Thủ tướng đã yêu cầu khởi công dự án này vào cuối năm nay.</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Trong lĩnh vực bất động sản khu công nghiệp, Hải Phòng cũng là một trong những địa phương phát triển mạnh mẽ nhất cả nước, với các khu công nghiệp như Tràng Duệ, VSIP, Đình Vũ, Deep C thu hút nhiều doanh nghiệp nổi tiếng trong và ngoài nước.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Sáp nhập Hải Dương – Hải Phòng: Gia tăng nhu cầu nhà ở, dịch vụ</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Savills còn cho rằng việc hợp nhất với Hải Dương sẽ đóng góp đáng kể vào việc tăng cường nhu cầu về nhà ở, khách sạn và văn phòng tại Hải Phòng. Sự mở rộng này không chỉ tạo ra nhiều cơ hội đầu tư mới mà còn thu hút thêm nguồn lực và lao động từ các khu v</w:t>
      </w:r>
      <w:r>
        <w:rPr>
          <w:rFonts w:ascii="Times New Roman" w:hAnsi="Times New Roman" w:eastAsia="Times New Roman" w:cs="Times New Roman"/>
          <w:color w:val="000000"/>
          <w:sz w:val="24"/>
        </w:rPr>
        <w:t xml:space="preserve">ực lân cận, góp phần làm phong phú thêm thị trường bất động sản.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Bên cạnh đó, việc hợp nhất sẽ giúp cải thiện hạ tầng giao thông và dịch vụ công cộng, từ đó nâng cao chất lượng cuộc sống cho cư dân. Điều này sẽ kích thích sự phát triển bền vững của thị trường bất động sản trong tương lai, tạo điều kiện cho các nhà đầu </w:t>
      </w:r>
      <w:r>
        <w:rPr>
          <w:rFonts w:ascii="Times New Roman" w:hAnsi="Times New Roman" w:eastAsia="Times New Roman" w:cs="Times New Roman"/>
          <w:color w:val="000000"/>
          <w:sz w:val="24"/>
        </w:rPr>
        <w:t xml:space="preserve">tư và doanh nghiệp khai thác tiềm năng phát triển của thành phố.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Việc gia tăng nhu cầu về bất động sản cũng sẽ thúc đẩy các dự án xây dựng mới, đáp ứng nhu cầu ngày càng cao của người dân và doanh nghiệp, từ đó tạo nên một thị trường bất động sản sôi động và đầy triển vọng.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Hải Phòng hấp dẫn doanh nghiệp và người dân đến an cư, đầu tư</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Hiện nay, Hải Phòng có diện tích tự nhiên vượt quá 1.500 km² và dân số đạt hơn 2,1 triệu người. Năm 2024, thành phố ghi nhận tốc độ tăng trưởng tổng sản phẩm trên địa bàn (GRDP) khoảng 11%, xếp thứ ba trong cả nước. Đây cũng là năm thứ mười liên tiếp Hải </w:t>
      </w:r>
      <w:r>
        <w:rPr>
          <w:rFonts w:ascii="Times New Roman" w:hAnsi="Times New Roman" w:eastAsia="Times New Roman" w:cs="Times New Roman"/>
          <w:color w:val="000000"/>
          <w:sz w:val="24"/>
        </w:rPr>
        <w:t xml:space="preserve">Phòng duy trì được mức tăng trưởng hai con số.</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Nhìn chung, trong năm 2025, bất động sản Hải Phòng dự kiến sẽ tiếp tục bùng nổ mạnh mẽ nhờ vào sự phát triển của các đại dự án tỷ đô, tạo ra nhiều cơ hội đầu tư hấp dẫn. Sự chuyển mình này không chỉ nâng cao giá trị bất động sản mà còn góp phần định hình </w:t>
      </w:r>
      <w:r>
        <w:rPr>
          <w:rFonts w:ascii="Times New Roman" w:hAnsi="Times New Roman" w:eastAsia="Times New Roman" w:cs="Times New Roman"/>
          <w:color w:val="000000"/>
          <w:sz w:val="24"/>
        </w:rPr>
        <w:t xml:space="preserve">tương lai kinh tế vững mạnh cho thành phố cảng.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rPr>
        <w:t xml:space="preserve">(Nguồn tham khảo: https://onehousing.vn/blog/bat-dong-san-hai-phong-nam-2025-troi-day-manh-me-nho-loat-dai-du-an-ty-do-n17t)</w:t>
      </w: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93A/1, tờ bản đồ số 02 có địa chỉ: Khu dân cư Phương Lưu 4, phường Đông Hải 1, quận Hải An (Nay là phường Đông Hải, thành phố Hải Phòng) theo Giấy chứng nhận quyền sử dụng đất quyền sở hữu nhà </w:t>
            </w:r>
            <w:r>
              <w:rPr>
                <w:rFonts w:ascii="Times New Roman" w:hAnsi="Times New Roman" w:eastAsia="Times New Roman" w:cs="Times New Roman"/>
                <w:b/>
                <w:color w:val="000000"/>
                <w:sz w:val="24"/>
              </w:rPr>
              <w:t xml:space="preserve">ở và tài sản khác gắn liền với đất số: BK 455588, số vào sổ cấp GCN: CH 02515 do Uỷ ban nhân dân quận Hải An cấp ngày 16/11/2012; Chủ sử dụng đất là Ông Lê Phương Hoàng (cập nhật ngày 09/9/2022).</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93A/1</w:t>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02</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Khu dân cư Phương Lưu 4, phường Đông Hải 1, quận Hải An </w:t>
            </w:r>
            <w:r>
              <w:rPr>
                <w:rFonts w:ascii="Times New Roman" w:hAnsi="Times New Roman" w:eastAsia="Times New Roman" w:cs="Times New Roman"/>
                <w:i/>
                <w:color w:val="000000"/>
                <w:sz w:val="24"/>
              </w:rPr>
              <w:t xml:space="preserve">(Nay là phường Đông Hải, thành phố Hải Phòng)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70,4</w:t>
            </w: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đô thị</w:t>
            </w: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Nhận chuyển nhượng đất do tặng cho quyền sử dụng đất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nhựa</w:t>
            </w: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02 mặt tiền (lô góc)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5m</w:t>
            </w: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5m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tại số 164 Phương Lưu, phường Đông Hải, thành phố Hải Phòng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Hướng Tây Nam: Tiếp giáp mặt đường Phương Lưu</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Hướng Tây Bắc: Tiếp giáp đường lát gạch đỏ khoảng 1,5m</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(20.852011, 106.715149)</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405448" cy="2975696"/>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155915" name=""/>
                              <pic:cNvPicPr>
                                <a:picLocks noChangeAspect="1"/>
                              </pic:cNvPicPr>
                              <pic:nvPr/>
                            </pic:nvPicPr>
                            <pic:blipFill rotWithShape="1">
                              <a:blip r:embed="rId17"/>
                              <a:stretch/>
                            </pic:blipFill>
                            <pic:spPr bwMode="auto">
                              <a:xfrm flipH="0" flipV="0">
                                <a:off x="0" y="0"/>
                                <a:ext cx="5405448" cy="29756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5.63pt;height:234.31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70,4</w:t>
            </w: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4,60</w:t>
            </w: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15,3m-17m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đối vuông vức</w:t>
            </w: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Nam</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nước: Nước máy,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thoát nước: Rãnh có nắp,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điện: Điện lưới, </w:t>
            </w:r>
            <w:r/>
          </w:p>
          <w:p>
            <w:pPr>
              <w:pBdr/>
              <w:spacing/>
              <w:ind/>
              <w:rPr>
                <w:color w:val="000000"/>
              </w:rPr>
            </w:pPr>
            <w:r>
              <w:rPr>
                <w:rFonts w:ascii="Times New Roman" w:hAnsi="Times New Roman" w:eastAsia="Times New Roman" w:cs="Times New Roman"/>
                <w:color w:val="000000"/>
                <w:sz w:val="24"/>
              </w:rPr>
              <w:t xml:space="preserve">Hạ tầng thông tin liên lạc: Điện thoại, Mạng internet, Truyền hình cáp</w:t>
            </w: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đúc</w:t>
            </w: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ở/kinh doanh</w:t>
            </w: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Tại thời điểm khảo sát dưới sự hướng dẫn của Khách hàng, CTXD gắn liền với đất là Nhà 04 tầng BTCT, xây hết đất, diện tích sử dụng khoảng 281m2, xây dựng năm 2023.</w:t>
              <w:br/>
              <w:t xml:space="preserve"> + Công trình chưa được chứng nhận trên GCN.</w:t>
            </w:r>
            <w:r/>
          </w:p>
        </w:tc>
      </w:tr>
    </w:tbl>
    <w:p>
      <w:pPr>
        <w:pBdr/>
        <w:spacing w:line="235" w:lineRule="auto"/>
        <w:ind w:left="646"/>
        <w:jc w:val="both"/>
        <w:rPr>
          <w:u w:val="single"/>
        </w:rPr>
      </w:pPr>
      <w:r>
        <w:rPr>
          <w:u w:val="single"/>
        </w:rPr>
      </w:r>
      <w:r>
        <w:rPr>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r>
        <w:rPr>
          <w:b/>
          <w:bCs/>
          <w:shd w:val="clear" w:color="auto" w:fill="ffffff"/>
        </w:rPr>
      </w:r>
      <w:r>
        <w:rPr>
          <w:b/>
          <w:bCs/>
          <w:shd w:val="clear" w:color="auto" w:fill="ffffff"/>
        </w:rP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2"/>
        <w:gridCol w:w="1984"/>
        <w:gridCol w:w="2197"/>
        <w:gridCol w:w="2197"/>
        <w:gridCol w:w="1203"/>
        <w:gridCol w:w="1203"/>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trên sổ</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Khu dân cư Phương Lưu 4, phường Đông Hải 1, quận Hải An </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Khu dân cư Phương Lưu 4, phường Đông Hải 1, quận Hải An ✔</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thực tế</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Số 164 Phương Lưu, phường Đông Hải, thành phố Hải Phòng</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Số 164 Phương Lưu, phường Đông Hải, thành phố Hải Phòng ✔</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 ✔</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Loại đất</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 ✔</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 ✔</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70,4</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70,4 ✔</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tiền</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4,6</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4,6 ✔</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Chiều sâu</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15,3m-17m</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15,3m-17m ✔</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02 mặt tiền (lô góc)</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02 mặt tiền (lô góc) ✔</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dạng thửa đất</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đối vuông vức ✔</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Nam</w:t>
            </w:r>
            <w:r/>
          </w:p>
        </w:tc>
        <w:tc>
          <w:tcPr>
            <w:tcBorders>
              <w:bottom w:val="single" w:color="000000" w:sz="8" w:space="0"/>
              <w:right w:val="single" w:color="000000" w:sz="8"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Nam ✔</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1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Tại thời điểm khảo sát dưới sự hướng dẫn của Khách hàng, CTXD gắn liền với đất là Nhà 04 tầng BTCT, xây hết đất, diện tích sử dụng khoảng 281m2, xây dựng năm 2023</w:t>
      </w:r>
      <w:r>
        <w:rPr>
          <w:rFonts w:ascii="Times New Roman" w:hAnsi="Times New Roman" w:eastAsia="Times New Roman" w:cs="Times New Roman"/>
          <w:color w:val="000000"/>
          <w:spacing w:val="-2"/>
          <w:sz w:val="24"/>
        </w:rPr>
        <w:t xml:space="preserve">. Công trình chưa được chứng nhận trên GCN, đồng thời Tổ thẩm định cũng không được cung cấp bất kỳ hồ sơ pháp lý nào liên quan đến công trình xây dựng hiện có này. Theo đề nghị của Khách hàng/Ngân hàng, tổ thẩm định xác định giá trị công trình xây dựng the</w:t>
      </w:r>
      <w:r>
        <w:rPr>
          <w:rFonts w:ascii="Times New Roman" w:hAnsi="Times New Roman" w:eastAsia="Times New Roman" w:cs="Times New Roman"/>
          <w:color w:val="000000"/>
          <w:spacing w:val="-2"/>
          <w:sz w:val="24"/>
        </w:rPr>
        <w:t xml:space="preserve">o hiện trạng thực tế với giả định thông số đo đạc được là chính xác.</w:t>
      </w: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p>
    <w:p>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pPr>
        <w:pStyle w:val="856"/>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p>
    <w:p>
      <w:pPr>
        <w:pStyle w:val="856"/>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1843"/>
        <w:gridCol w:w="1736"/>
        <w:gridCol w:w="1736"/>
        <w:gridCol w:w="1736"/>
        <w:gridCol w:w="1736"/>
        <w:gridCol w:w="57"/>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189"/>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36"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Khu dân cư Phương Lưu 4, phường Đông Hải 1, quận Hải An (Nay là phường Đông Hải, thành phố Hải Phòng)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Mặt đường Phương Lưu, phường Đông Hải, thành phố Hải Phòng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Mặt đường Phương Lưu, phường Đông Hải, thành phố Hải Phòng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Mặt đường Phương Lưu, phường Ngô Quyền, thành phố Hải Phòng</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14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https://www.facebook.com/groups/hoimuabannhadatgiarehaiphongvn/permalink/25886159517753770/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https://www.facebook.com/groups/1244393759013603/permalink/25912870331739270/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https://www.facebook.com/groups/1244393759013603/permalink/26017442224615413/</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0934.305.988 </w:t>
              <w:br/>
              <w:t xml:space="preserve"> (Sale Phạm Thuỷ)</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0862219799</w:t>
              <w:br/>
              <w:t xml:space="preserve"> (Sale Nga)</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0862219799</w:t>
              <w:br/>
              <w:t xml:space="preserve"> (Sale Nga)</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3/2026</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3/2026</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3/2026</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15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đô thị</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đô thị</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đô thị</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đô thị</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1174"/>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tại số 164 Phương Lưu, phường Đông Hải, thành phố Hải Phòng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tại mặt đường Phương Lưu, phường Đông Hải, thành phố Hải Phòng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tại mặt đường Phương Lưu, phường Đông Hải, thành phố Hải Phòng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tại mặt đường Phương Lưu, phường Ngô Quyền, thành phố Hải Phòng</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Khoảng 5m</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Khoảng 5m</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Khoảng 5m</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Khoảng 5m</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359"/>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70,4</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69,7</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52</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13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4,60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4,4</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02 mặt tiền (lô góc)</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02 mặt tiền (lô góc)</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02 mặt tiền (lô góc)</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01 mặt tiền</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552"/>
        </w:trPr>
        <w:tc>
          <w:tcPr>
            <w:tcBorders>
              <w:left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ở/kinh doanh</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ở/kinh doanh</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ở/kinh doanh</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ở/kinh doanh</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552"/>
        </w:trPr>
        <w:tc>
          <w:tcPr>
            <w:tcBorders>
              <w:left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phong thủy</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lỗi phong thủy</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lỗi phong thủy</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Đối diện chùa Phương Lưu</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lỗi phong thủy</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739"/>
        </w:trPr>
        <w:tc>
          <w:tcPr>
            <w:tcBorders>
              <w:left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 </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395"/>
        </w:trPr>
        <w:tc>
          <w:tcPr>
            <w:tcBorders>
              <w:left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276"/>
        </w:trPr>
        <w:tc>
          <w:tcPr>
            <w:tcBorders>
              <w:left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2,5 tầng</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04 tầng</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12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tầng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sàn sử dụng (m²)</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208</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289"/>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8.000.000.000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4.739.600.000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6.480.000.000</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7.040.000.000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4.170.848.000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5.702.400.000</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1.169.595.000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1.564.162.080</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138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xây dựng theo Quyết định số 409/QĐ-BXD ngày 11/4/2025 của Bộ Xây Dựng (đồng/m²)</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7.797.300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7.915.800</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Tỷ lệ % CLCL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95%</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5.870.405.000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4.170.848.000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4.138.237.920</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73.380.063</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59.840.000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79.581.498</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phong thủy</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1765"/>
        <w:gridCol w:w="1030"/>
        <w:gridCol w:w="1522"/>
        <w:gridCol w:w="1522"/>
        <w:gridCol w:w="1522"/>
        <w:gridCol w:w="152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5.870.405.000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4.170.848.000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4.138.237.920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73.380.063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59.840.000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79.581.498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72.405.400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59.840.000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79.581.498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tại số 164 Phương Lưu, phường Đông Hải, thành phố Hải Phòng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tại mặt đường Phương Lưu, phường Đông Hải, thành phố Hải Phòng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tại mặt đường Phương Lưu, phường Đông Hải, thành phố Hải Phòng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tại mặt đường Phương Lưu, phường Ngô Quyền, thành phố Hải Phòng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72.405.400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59.840.000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79.581.498</w:t>
            </w:r>
            <w:r/>
          </w:p>
        </w:tc>
      </w:tr>
      <w:tr>
        <w:trPr>
          <w:trHeight w:val="34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Khoảng 5m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Khoảng 5m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Khoảng 5m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Khoảng 5m</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72.405.400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59.840.000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79.581.498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80,0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69,7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52,0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2.935.203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-6.366.520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76.315.266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59.840.000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73.214.978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3.669.003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2.992.000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79.984.269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62.832.000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73.214.978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02 mặt tiền (lô góc)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02 mặt tiền (lô góc)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02 mặt tiền (lô góc)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7.958.150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79.984.269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62.832.000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81.173.128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-3.669.003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-3.979.075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76.315.266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62.832.000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77.194.053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Yếu tố phong thủy</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Không lỗi phong thủy</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Không lỗi phong thủy</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Đối diện chùa Phương Lưu</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Không lỗi phong thủy</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11.968.000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76.315.266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74.800.000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77.194.053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76.315.266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74.800.000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77.194.053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5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76.103.106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0,28%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10.273.209</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14.960.000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18.303.745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 - 5%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- 20%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- 10%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2.935.203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14.960.000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2.387.445</w:t>
            </w: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w:t>
      </w:r>
      <w:r>
        <w:t xml:space="preserve">-1,71</w:t>
      </w:r>
      <w:r>
        <w:t xml:space="preserve">% </w:t>
      </w:r>
      <w:r>
        <w:t xml:space="preserve">đến</w:t>
      </w:r>
      <w:r>
        <w:t xml:space="preserve"> </w:t>
      </w:r>
      <w:r>
        <w:t xml:space="preserve">1,43</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76.315.266</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25.443.510</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74.800.000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24.930.840</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77.194.053</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25.728.778</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76.103.128</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76.000.000</w:t>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76.000.000</w:t>
      </w:r>
      <w:r>
        <w:rPr>
          <w:b/>
          <w:bCs/>
          <w:color w:val="000000" w:themeColor="text1"/>
        </w:rPr>
        <w:t xml:space="preserve"> </w:t>
      </w:r>
      <w:r>
        <w:rPr>
          <w:b/>
          <w:bCs/>
        </w:rPr>
        <w:t xml:space="preserve">đồng</w:t>
      </w:r>
      <w:r>
        <w:rPr>
          <w:b/>
          <w:bCs/>
        </w:rPr>
        <w:t xml:space="preserve">/m².</w:t>
      </w:r>
      <w:r>
        <w:rPr>
          <w:b/>
          <w:bCs/>
        </w:rPr>
      </w:r>
    </w:p>
    <w:p>
      <w:pPr>
        <w:pStyle w:val="856"/>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04 tầng, cân nhắc và xem xét với mức độ hoàn thiện của công trình xây dựng hiện có, Tổ thẩm định nhận thấy đơn giá vận dụng theo Quyết định số 409/QĐ-BXD ngày 11/4/2025 của Bộ Xây dựng</w:t>
      </w:r>
      <w:r>
        <w:rPr>
          <w:rFonts w:ascii="Times New Roman" w:hAnsi="Times New Roman" w:eastAsia="Times New Roman" w:cs="Times New Roman"/>
          <w:color w:val="000000"/>
          <w:sz w:val="24"/>
        </w:rPr>
        <w:t xml:space="preserve"> về việc Công bố suất vốn đầu tư xây dựng công trình và giá xây dựng tổng hợp bộ phận kết cấu công trình năm 2024 là khá phù hợp với thị trường, theo đó</w:t>
      </w:r>
      <w:r>
        <w:rPr>
          <w:rFonts w:ascii="Times New Roman" w:hAnsi="Times New Roman" w:eastAsia="Times New Roman" w:cs="Times New Roman"/>
          <w:color w:val="000000"/>
          <w:spacing w:val="-4"/>
          <w:sz w:val="24"/>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i/>
          <w:color w:val="000000"/>
          <w:spacing w:val="3"/>
          <w:sz w:val="24"/>
          <w:highlight w:val="white"/>
        </w:rPr>
        <w:t xml:space="preserve">“Suất vốn đầu tư Nhà từ 4 đến 5 tầng, kết cấu khung chịu lực BTCT; tường bao xây gạch; sàn, mái BTCT đổ tại chỗ, không có tầng hầm - Diện tích xây dựng từ 70 - dưới 90m² có đơn giá đã bao gồm VAT là: </w:t>
      </w:r>
      <w:r>
        <w:rPr>
          <w:rFonts w:ascii="Times New Roman" w:hAnsi="Times New Roman" w:eastAsia="Times New Roman" w:cs="Times New Roman"/>
          <w:b/>
          <w:i/>
          <w:color w:val="000000"/>
          <w:sz w:val="24"/>
        </w:rPr>
        <w:t xml:space="preserve">7.673.000</w:t>
      </w:r>
      <w:r>
        <w:rPr>
          <w:rFonts w:ascii="Times New Roman" w:hAnsi="Times New Roman" w:eastAsia="Times New Roman" w:cs="Times New Roman"/>
          <w:i/>
          <w:color w:val="000000"/>
          <w:spacing w:val="3"/>
          <w:sz w:val="24"/>
        </w:rPr>
        <w:t xml:space="preserve"> </w:t>
      </w:r>
      <w:r>
        <w:rPr>
          <w:rFonts w:ascii="Times New Roman" w:hAnsi="Times New Roman" w:eastAsia="Times New Roman" w:cs="Times New Roman"/>
          <w:i/>
          <w:color w:val="000000"/>
          <w:spacing w:val="3"/>
          <w:sz w:val="24"/>
          <w:highlight w:val="white"/>
        </w:rPr>
        <w:t xml:space="preserve">đồng/m².</w:t>
      </w: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i/>
          <w:color w:val="000000"/>
          <w:sz w:val="24"/>
          <w:highlight w:val="white"/>
        </w:rPr>
        <w:t xml:space="preserve">Hệ số điều chỉnh vùng cho Suất vốn đầu tư: Thành phố Hải Phòng thuộc vùng 2 có hệ số điều chỉnh là 0,948.”</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i/>
          <w:color w:val="000000"/>
          <w:spacing w:val="3"/>
          <w:sz w:val="24"/>
          <w:highlight w:val="white"/>
        </w:rPr>
        <w:t xml:space="preserve">Do đó, Tổ thẩm định xác định đơn giá xây mới của công trình xây dựng là: (Suất vốn đầu tư) x (Hệ số vùng) = </w:t>
      </w:r>
      <w:r>
        <w:rPr>
          <w:rFonts w:ascii="Times New Roman" w:hAnsi="Times New Roman" w:eastAsia="Times New Roman" w:cs="Times New Roman"/>
          <w:b/>
          <w:i/>
          <w:color w:val="000000"/>
          <w:sz w:val="24"/>
        </w:rPr>
        <w:t xml:space="preserve">7.673.000 </w:t>
      </w:r>
      <w:r>
        <w:rPr>
          <w:rFonts w:ascii="Times New Roman" w:hAnsi="Times New Roman" w:eastAsia="Times New Roman" w:cs="Times New Roman"/>
          <w:i/>
          <w:color w:val="000000"/>
          <w:spacing w:val="3"/>
          <w:sz w:val="24"/>
          <w:highlight w:val="white"/>
        </w:rPr>
        <w:t xml:space="preserve">x</w:t>
      </w:r>
      <w:r>
        <w:rPr>
          <w:rFonts w:ascii="Times New Roman" w:hAnsi="Times New Roman" w:eastAsia="Times New Roman" w:cs="Times New Roman"/>
          <w:b/>
          <w:i/>
          <w:color w:val="000000"/>
          <w:spacing w:val="3"/>
          <w:sz w:val="24"/>
          <w:highlight w:val="white"/>
        </w:rPr>
        <w:t xml:space="preserve">0,948 = 7.274.004 đồng/m².</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Tổ thẩm định giả định rằng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hoàn th</w:t>
      </w:r>
      <w:r>
        <w:rPr>
          <w:rFonts w:ascii="Times New Roman" w:hAnsi="Times New Roman" w:eastAsia="Times New Roman" w:cs="Times New Roman"/>
          <w:color w:val="000000"/>
          <w:spacing w:val="2"/>
          <w:sz w:val="24"/>
        </w:rPr>
        <w:t xml:space="preserve">ành đưa vào sử dụng khoảng năm 2023, do vậy, Tổ thẩm định xác định tuổi đời hiệu quả của công trình là khoảng 3 năm.</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Tổ thẩm định xác định tuổi đời kinh tế của tài sản thẩm định ước tính là 50 năm.</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445"/>
        <w:gridCol w:w="1843"/>
        <w:gridCol w:w="1417"/>
        <w:gridCol w:w="1701"/>
        <w:gridCol w:w="1701"/>
        <w:gridCol w:w="1248"/>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4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4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Nhà 04 tầng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6%</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xác định tỉ lệ hao mòn của tài sản thẩm định là: </w:t>
      </w:r>
      <w:r>
        <w:rPr>
          <w:rFonts w:ascii="Times New Roman" w:hAnsi="Times New Roman" w:eastAsia="Times New Roman" w:cs="Times New Roman"/>
          <w:b/>
          <w:color w:val="000000"/>
          <w:sz w:val="24"/>
        </w:rPr>
        <w:t xml:space="preserve">6,0%</w:t>
      </w:r>
      <w:r>
        <w:rPr>
          <w:rFonts w:ascii="Times New Roman" w:hAnsi="Times New Roman" w:eastAsia="Times New Roman" w:cs="Times New Roman"/>
          <w:color w:val="000000"/>
          <w:sz w:val="24"/>
        </w:rPr>
        <w:t xml:space="preserve">, tương đương tỷ lệ chất lượng còn lại của tài sản là: </w:t>
      </w:r>
      <w:r>
        <w:rPr>
          <w:rFonts w:ascii="Times New Roman" w:hAnsi="Times New Roman" w:eastAsia="Times New Roman" w:cs="Times New Roman"/>
          <w:b/>
          <w:color w:val="000000"/>
          <w:sz w:val="24"/>
        </w:rPr>
        <w:t xml:space="preserve">94,0%.</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860"/>
        <w:tblInd w:w="5"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fixed"/>
        <w:tblLook w:val="04A0" w:firstRow="1" w:lastRow="0" w:firstColumn="1" w:lastColumn="0" w:noHBand="0" w:noVBand="1"/>
      </w:tblPr>
      <w:tblGrid>
        <w:gridCol w:w="1015"/>
        <w:gridCol w:w="54"/>
        <w:gridCol w:w="1080"/>
        <w:gridCol w:w="182"/>
        <w:gridCol w:w="1235"/>
        <w:gridCol w:w="1559"/>
        <w:gridCol w:w="350"/>
        <w:gridCol w:w="587"/>
        <w:gridCol w:w="56"/>
        <w:gridCol w:w="1559"/>
        <w:gridCol w:w="1679"/>
        <w:gridCol w:w="165"/>
      </w:tblGrid>
      <w:tr>
        <w:trPr>
          <w:gridAfter w:val="1"/>
          <w:trHeight w:val="794"/>
        </w:trPr>
        <w:tc>
          <w:tcPr>
            <w:gridSpan w:val="2"/>
            <w:tcBorders/>
            <w:tcMar>
              <w:left w:w="108" w:type="dxa"/>
              <w:top w:w="0" w:type="dxa"/>
              <w:right w:w="108" w:type="dxa"/>
              <w:bottom w:w="0" w:type="dxa"/>
            </w:tcMar>
            <w:tcW w:w="10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gridSpan w:val="2"/>
            <w:tcBorders/>
            <w:tcMar>
              <w:left w:w="108" w:type="dxa"/>
              <w:top w:w="0" w:type="dxa"/>
              <w:right w:w="108" w:type="dxa"/>
              <w:bottom w:w="0" w:type="dxa"/>
            </w:tcMar>
            <w:tcW w:w="12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gridSpan w:val="3"/>
            <w:tcBorders/>
            <w:tcMar>
              <w:left w:w="108" w:type="dxa"/>
              <w:top w:w="0" w:type="dxa"/>
              <w:right w:w="108" w:type="dxa"/>
              <w:bottom w:w="0" w:type="dxa"/>
            </w:tcMar>
            <w:tcW w:w="314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gridSpan w:val="3"/>
            <w:tcBorders/>
            <w:tcMar>
              <w:left w:w="108" w:type="dxa"/>
              <w:top w:w="0" w:type="dxa"/>
              <w:right w:w="108" w:type="dxa"/>
              <w:bottom w:w="0" w:type="dxa"/>
            </w:tcMar>
            <w:tcW w:w="32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Tổng giá trị hao mòn </w:t>
            </w:r>
            <w:r/>
          </w:p>
        </w:tc>
      </w:tr>
      <w:tr>
        <w:trPr>
          <w:trHeight w:val="936"/>
        </w:trPr>
        <w:tc>
          <w:tcPr>
            <w:tcBorders>
              <w:left w:val="single" w:color="000000" w:sz="8" w:space="0"/>
              <w:bottom w:val="single" w:color="000000" w:sz="8" w:space="0"/>
              <w:right w:val="single" w:color="000000" w:sz="8" w:space="0"/>
            </w:tcBorders>
            <w:tcMar>
              <w:left w:w="0" w:type="dxa"/>
              <w:top w:w="0" w:type="dxa"/>
              <w:right w:w="0" w:type="dxa"/>
              <w:bottom w:w="0" w:type="dxa"/>
            </w:tcMar>
            <w:tcW w:w="10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gridSpan w:val="2"/>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sàn (m²</w:t>
            </w:r>
            <w:r>
              <w:rPr>
                <w:rFonts w:ascii="Times New Roman" w:hAnsi="Times New Roman" w:eastAsia="Times New Roman" w:cs="Times New Roman"/>
                <w:b/>
                <w:color w:val="000000"/>
                <w:sz w:val="28"/>
              </w:rPr>
              <w:t xml:space="preserve">)</w:t>
            </w:r>
            <w:r/>
          </w:p>
        </w:tc>
        <w:tc>
          <w:tcPr>
            <w:gridSpan w:val="2"/>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xây dựng mới (đồng/m²)</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Chi phí thay thế (đồng)</w:t>
            </w:r>
            <w:r/>
          </w:p>
        </w:tc>
        <w:tc>
          <w:tcPr>
            <w:gridSpan w:val="3"/>
            <w:tcBorders>
              <w:bottom w:val="single" w:color="000000" w:sz="8" w:space="0"/>
              <w:right w:val="single" w:color="000000" w:sz="8" w:space="0"/>
            </w:tcBorders>
            <w:tcMar>
              <w:left w:w="0" w:type="dxa"/>
              <w:top w:w="0" w:type="dxa"/>
              <w:right w:w="0"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Tỷ lệ hao mòn (%)</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hao mòn (đồng)</w:t>
            </w:r>
            <w:r/>
          </w:p>
        </w:tc>
        <w:tc>
          <w:tcPr>
            <w:gridSpan w:val="2"/>
            <w:tcBorders>
              <w:bottom w:val="single" w:color="000000" w:sz="8" w:space="0"/>
              <w:right w:val="single" w:color="000000" w:sz="8" w:space="0"/>
            </w:tcBorders>
            <w:tcMar>
              <w:left w:w="0" w:type="dxa"/>
              <w:top w:w="0" w:type="dxa"/>
              <w:right w:w="0"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thẩm định tại thời điểm thẩm định giá (đồng)</w:t>
            </w:r>
            <w:r/>
          </w:p>
        </w:tc>
      </w:tr>
      <w:tr>
        <w:trPr>
          <w:trHeight w:val="300"/>
        </w:trPr>
        <w:tc>
          <w:tcPr>
            <w:tcBorders>
              <w:left w:val="single" w:color="000000" w:sz="8" w:space="0"/>
              <w:bottom w:val="single" w:color="000000" w:sz="8" w:space="0"/>
              <w:right w:val="single" w:color="000000" w:sz="8" w:space="0"/>
            </w:tcBorders>
            <w:tcMar>
              <w:left w:w="0" w:type="dxa"/>
              <w:top w:w="0" w:type="dxa"/>
              <w:right w:w="0" w:type="dxa"/>
              <w:bottom w:w="0" w:type="dxa"/>
            </w:tcMar>
            <w:tcW w:w="10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w:t>
            </w:r>
            <w:r/>
          </w:p>
        </w:tc>
        <w:tc>
          <w:tcPr>
            <w:gridSpan w:val="2"/>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w:t>
            </w:r>
            <w:r/>
          </w:p>
        </w:tc>
        <w:tc>
          <w:tcPr>
            <w:gridSpan w:val="2"/>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 = (2) * (3)</w:t>
            </w:r>
            <w:r/>
          </w:p>
        </w:tc>
        <w:tc>
          <w:tcPr>
            <w:gridSpan w:val="3"/>
            <w:tcBorders>
              <w:bottom w:val="single" w:color="000000" w:sz="8" w:space="0"/>
              <w:right w:val="single" w:color="000000" w:sz="8" w:space="0"/>
            </w:tcBorders>
            <w:tcMar>
              <w:left w:w="0" w:type="dxa"/>
              <w:top w:w="0" w:type="dxa"/>
              <w:right w:w="0"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(6)=(4)*(5)</w:t>
            </w:r>
            <w:r/>
          </w:p>
        </w:tc>
        <w:tc>
          <w:tcPr>
            <w:gridSpan w:val="2"/>
            <w:tcBorders>
              <w:bottom w:val="single" w:color="000000" w:sz="8" w:space="0"/>
              <w:right w:val="single" w:color="000000" w:sz="8" w:space="0"/>
            </w:tcBorders>
            <w:tcMar>
              <w:left w:w="0" w:type="dxa"/>
              <w:top w:w="0" w:type="dxa"/>
              <w:right w:w="0"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 = (4) - (6)</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10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Nhà 04 tầng</w:t>
            </w:r>
            <w:r/>
          </w:p>
        </w:tc>
        <w:tc>
          <w:tcPr>
            <w:gridSpan w:val="2"/>
            <w:tcBorders>
              <w:bottom w:val="single" w:color="000000" w:sz="8" w:space="0"/>
              <w:right w:val="single" w:color="000000" w:sz="8" w:space="0"/>
            </w:tcBorders>
            <w:tcMar>
              <w:left w:w="0" w:type="dxa"/>
              <w:top w:w="0" w:type="dxa"/>
              <w:right w:w="0"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281,0</w:t>
            </w:r>
            <w:r/>
          </w:p>
        </w:tc>
        <w:tc>
          <w:tcPr>
            <w:gridSpan w:val="2"/>
            <w:tcBorders>
              <w:bottom w:val="single" w:color="000000" w:sz="8" w:space="0"/>
              <w:right w:val="single" w:color="000000" w:sz="8" w:space="0"/>
            </w:tcBorders>
            <w:tcMar>
              <w:left w:w="0" w:type="dxa"/>
              <w:top w:w="0" w:type="dxa"/>
              <w:right w:w="0" w:type="dxa"/>
              <w:bottom w:w="0" w:type="dxa"/>
            </w:tcMar>
            <w:tcW w:w="141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7.274.004</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2.043.995.124</w:t>
            </w:r>
            <w:r/>
          </w:p>
        </w:tc>
        <w:tc>
          <w:tcPr>
            <w:gridSpan w:val="3"/>
            <w:tcBorders>
              <w:bottom w:val="single" w:color="000000" w:sz="8" w:space="0"/>
              <w:right w:val="single" w:color="000000" w:sz="8" w:space="0"/>
            </w:tcBorders>
            <w:tcMar>
              <w:left w:w="0" w:type="dxa"/>
              <w:top w:w="0" w:type="dxa"/>
              <w:right w:w="0"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122.639.707</w:t>
            </w:r>
            <w:r/>
          </w:p>
        </w:tc>
        <w:tc>
          <w:tcPr>
            <w:gridSpan w:val="2"/>
            <w:tcBorders>
              <w:bottom w:val="single" w:color="000000" w:sz="8" w:space="0"/>
              <w:right w:val="single" w:color="000000" w:sz="8" w:space="0"/>
            </w:tcBorders>
            <w:tcMar>
              <w:left w:w="0" w:type="dxa"/>
              <w:top w:w="0" w:type="dxa"/>
              <w:right w:w="0"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1.921.355.417</w:t>
            </w:r>
            <w:r/>
          </w:p>
        </w:tc>
      </w:tr>
    </w:tbl>
    <w:p>
      <w:pPr>
        <w:pStyle w:val="856"/>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p>
    <w:p>
      <w:pPr>
        <w:pStyle w:val="856"/>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color w:val="000000" w:themeColor="text1"/>
          <w:lang w:val="pt-BR"/>
        </w:rPr>
        <w:t xml:space="preserve">Tháng 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7"/>
        <w:gridCol w:w="2519"/>
        <w:gridCol w:w="1556"/>
        <w:gridCol w:w="1679"/>
        <w:gridCol w:w="1162"/>
        <w:gridCol w:w="1873"/>
      </w:tblGrid>
      <w:tr>
        <w:trPr>
          <w:trHeight w:val="729"/>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5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5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Diện tích </w:t>
              <w:br/>
              <w:t xml:space="preserve"> (m²)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67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w:t>
              <w:br/>
              <w:t xml:space="preserve"> (đồng/m²)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1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CLCL </w:t>
              <w:br/>
              <w:t xml:space="preserve"> (%)</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8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Thành tiền </w:t>
              <w:br/>
              <w:t xml:space="preserve"> (đồng)</w:t>
            </w:r>
            <w:r/>
          </w:p>
        </w:tc>
      </w:tr>
      <w:tr>
        <w:trPr>
          <w:trHeight w:val="1749"/>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6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93A/1, tờ bản đồ số 02 có địa chỉ: Khu dân cư Phương Lưu 4, phường Đông Hải 1, quận Hải An (Nay là phường Đông Hải, thành phố Hải Phòng) theo Giấy chứng nhận quyền sử dụng đất quyền sở hữu nhà </w:t>
            </w:r>
            <w:r>
              <w:rPr>
                <w:rFonts w:ascii="Times New Roman" w:hAnsi="Times New Roman" w:eastAsia="Times New Roman" w:cs="Times New Roman"/>
                <w:b/>
                <w:color w:val="000000"/>
                <w:sz w:val="24"/>
              </w:rPr>
              <w:t xml:space="preserve">ở và tài sản khác gắn liền với đất số: BK 455588, số vào sổ cấp GCN: CH 02515 do Uỷ ban nhân dân quận Hải An cấp ngày 16/11/2012; Chủ sử dụng đất là Ông Lê Phương Hoàng (cập nhật ngày 09/9/2022).</w:t>
            </w:r>
            <w:r/>
          </w:p>
        </w:tc>
        <w:tc>
          <w:tcPr>
            <w:shd w:val="clear" w:color="ffffff" w:fill="ffffff"/>
            <w:tcBorders>
              <w:bottom w:val="single" w:color="000000" w:sz="8" w:space="0"/>
              <w:right w:val="single" w:color="000000" w:sz="8" w:space="0"/>
            </w:tcBorders>
            <w:tcMar>
              <w:left w:w="0" w:type="dxa"/>
              <w:top w:w="0" w:type="dxa"/>
              <w:right w:w="0" w:type="dxa"/>
              <w:bottom w:w="0" w:type="dxa"/>
            </w:tcMar>
            <w:tcW w:w="18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8" w:space="0"/>
              <w:right w:val="single" w:color="000000" w:sz="8" w:space="0"/>
            </w:tcBorders>
            <w:tcMar>
              <w:left w:w="0" w:type="dxa"/>
              <w:top w:w="0" w:type="dxa"/>
              <w:right w:w="0" w:type="dxa"/>
              <w:bottom w:w="0" w:type="dxa"/>
            </w:tcMar>
            <w:tcW w:w="25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Đất ở đô thị</w:t>
            </w:r>
            <w:r/>
          </w:p>
        </w:tc>
        <w:tc>
          <w:tcPr>
            <w:tcBorders>
              <w:bottom w:val="single" w:color="000000" w:sz="8" w:space="0"/>
              <w:right w:val="single" w:color="000000" w:sz="8" w:space="0"/>
            </w:tcBorders>
            <w:tcMar>
              <w:left w:w="0" w:type="dxa"/>
              <w:top w:w="0" w:type="dxa"/>
              <w:right w:w="0" w:type="dxa"/>
              <w:bottom w:w="0" w:type="dxa"/>
            </w:tcMar>
            <w:tcW w:w="1556"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70,4</w:t>
            </w:r>
            <w:r/>
          </w:p>
        </w:tc>
        <w:tc>
          <w:tcPr>
            <w:shd w:val="clear" w:color="ffffff" w:fill="ffffff"/>
            <w:tcBorders>
              <w:bottom w:val="single" w:color="000000" w:sz="8" w:space="0"/>
              <w:right w:val="single" w:color="000000" w:sz="8" w:space="0"/>
            </w:tcBorders>
            <w:tcMar>
              <w:left w:w="0" w:type="dxa"/>
              <w:top w:w="0" w:type="dxa"/>
              <w:right w:w="0" w:type="dxa"/>
              <w:bottom w:w="0" w:type="dxa"/>
            </w:tcMar>
            <w:tcW w:w="167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76.000.000</w:t>
            </w:r>
            <w:r/>
          </w:p>
        </w:tc>
        <w:tc>
          <w:tcPr>
            <w:shd w:val="clear" w:color="ffffff" w:fill="ffffff"/>
            <w:tcBorders>
              <w:bottom w:val="single" w:color="000000" w:sz="8" w:space="0"/>
              <w:right w:val="single" w:color="000000" w:sz="8" w:space="0"/>
            </w:tcBorders>
            <w:tcMar>
              <w:left w:w="0" w:type="dxa"/>
              <w:top w:w="0" w:type="dxa"/>
              <w:right w:w="0" w:type="dxa"/>
              <w:bottom w:w="0" w:type="dxa"/>
            </w:tcMar>
            <w:tcW w:w="11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18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5.350.400.000</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8" w:space="0"/>
              <w:right w:val="single" w:color="000000" w:sz="8" w:space="0"/>
            </w:tcBorders>
            <w:tcMar>
              <w:left w:w="0" w:type="dxa"/>
              <w:top w:w="0" w:type="dxa"/>
              <w:right w:w="0" w:type="dxa"/>
              <w:bottom w:w="0" w:type="dxa"/>
            </w:tcMar>
            <w:tcW w:w="25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Nhà 04 tầng</w:t>
            </w:r>
            <w:r/>
          </w:p>
        </w:tc>
        <w:tc>
          <w:tcPr>
            <w:tcBorders>
              <w:bottom w:val="single" w:color="000000" w:sz="8" w:space="0"/>
              <w:right w:val="single" w:color="000000" w:sz="8" w:space="0"/>
            </w:tcBorders>
            <w:tcMar>
              <w:left w:w="0" w:type="dxa"/>
              <w:top w:w="0" w:type="dxa"/>
              <w:right w:w="0" w:type="dxa"/>
              <w:bottom w:w="0" w:type="dxa"/>
            </w:tcMar>
            <w:tcW w:w="1556"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281,0</w:t>
            </w:r>
            <w:r/>
          </w:p>
        </w:tc>
        <w:tc>
          <w:tcPr>
            <w:shd w:val="clear" w:color="ffffff" w:fill="ffffff"/>
            <w:tcBorders>
              <w:bottom w:val="single" w:color="000000" w:sz="8" w:space="0"/>
              <w:right w:val="single" w:color="000000" w:sz="8" w:space="0"/>
            </w:tcBorders>
            <w:tcMar>
              <w:left w:w="0" w:type="dxa"/>
              <w:top w:w="0" w:type="dxa"/>
              <w:right w:w="0" w:type="dxa"/>
              <w:bottom w:w="0" w:type="dxa"/>
            </w:tcMar>
            <w:tcW w:w="167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7.274.004</w:t>
            </w:r>
            <w:r/>
          </w:p>
        </w:tc>
        <w:tc>
          <w:tcPr>
            <w:shd w:val="clear" w:color="ffffff" w:fill="ffffff"/>
            <w:tcBorders>
              <w:bottom w:val="single" w:color="000000" w:sz="8" w:space="0"/>
              <w:right w:val="single" w:color="000000" w:sz="8" w:space="0"/>
            </w:tcBorders>
            <w:tcMar>
              <w:left w:w="0" w:type="dxa"/>
              <w:top w:w="0" w:type="dxa"/>
              <w:right w:w="0" w:type="dxa"/>
              <w:bottom w:w="0" w:type="dxa"/>
            </w:tcMar>
            <w:tcW w:w="11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94%</w:t>
            </w:r>
            <w:r/>
          </w:p>
        </w:tc>
        <w:tc>
          <w:tcPr>
            <w:shd w:val="clear" w:color="ffffff" w:fill="ffffff"/>
            <w:tcBorders>
              <w:bottom w:val="single" w:color="000000" w:sz="8" w:space="0"/>
              <w:right w:val="single" w:color="000000" w:sz="8" w:space="0"/>
            </w:tcBorders>
            <w:tcMar>
              <w:left w:w="0" w:type="dxa"/>
              <w:top w:w="0" w:type="dxa"/>
              <w:right w:w="0" w:type="dxa"/>
              <w:bottom w:w="0" w:type="dxa"/>
            </w:tcMar>
            <w:tcW w:w="18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1.921.355.417</w:t>
            </w:r>
            <w:r/>
          </w:p>
        </w:tc>
      </w:tr>
      <w:tr>
        <w:trPr>
          <w:trHeight w:val="312"/>
        </w:trPr>
        <w:tc>
          <w:tcPr>
            <w:gridSpan w:val="5"/>
            <w:tcBorders>
              <w:left w:val="single" w:color="000000" w:sz="8" w:space="0"/>
              <w:bottom w:val="single" w:color="000000" w:sz="8" w:space="0"/>
              <w:right w:val="single" w:color="000000" w:sz="8" w:space="0"/>
            </w:tcBorders>
            <w:tcMar>
              <w:left w:w="0" w:type="dxa"/>
              <w:top w:w="0" w:type="dxa"/>
              <w:right w:w="0" w:type="dxa"/>
              <w:bottom w:w="0" w:type="dxa"/>
            </w:tcMar>
            <w:tcW w:w="765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0" w:type="dxa"/>
              <w:top w:w="0" w:type="dxa"/>
              <w:right w:w="0" w:type="dxa"/>
              <w:bottom w:w="0" w:type="dxa"/>
            </w:tcMar>
            <w:tcW w:w="187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7.271.755.417</w:t>
            </w:r>
            <w:r/>
          </w:p>
        </w:tc>
      </w:tr>
      <w:tr>
        <w:trPr>
          <w:trHeight w:val="312"/>
        </w:trPr>
        <w:tc>
          <w:tcPr>
            <w:gridSpan w:val="5"/>
            <w:tcBorders>
              <w:left w:val="single" w:color="000000" w:sz="8" w:space="0"/>
              <w:bottom w:val="single" w:color="000000" w:sz="8" w:space="0"/>
              <w:right w:val="single" w:color="000000" w:sz="8" w:space="0"/>
            </w:tcBorders>
            <w:tcMar>
              <w:left w:w="0" w:type="dxa"/>
              <w:top w:w="0" w:type="dxa"/>
              <w:right w:w="0" w:type="dxa"/>
              <w:bottom w:w="0" w:type="dxa"/>
            </w:tcMar>
            <w:tcW w:w="765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0" w:type="dxa"/>
              <w:top w:w="0" w:type="dxa"/>
              <w:right w:w="0" w:type="dxa"/>
              <w:bottom w:w="0" w:type="dxa"/>
            </w:tcMar>
            <w:tcW w:w="1873"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7.272.000.000</w:t>
            </w:r>
            <w:r/>
          </w:p>
        </w:tc>
      </w:tr>
      <w:tr>
        <w:trPr>
          <w:trHeight w:val="309"/>
        </w:trPr>
        <w:tc>
          <w:tcPr>
            <w:gridSpan w:val="6"/>
            <w:tcBorders>
              <w:left w:val="single" w:color="000000" w:sz="8" w:space="0"/>
              <w:bottom w:val="single" w:color="000000" w:sz="8" w:space="0"/>
              <w:right w:val="single" w:color="000000" w:sz="8" w:space="0"/>
            </w:tcBorders>
            <w:tcMar>
              <w:left w:w="0" w:type="dxa"/>
              <w:top w:w="0" w:type="dxa"/>
              <w:right w:w="0" w:type="dxa"/>
              <w:bottom w:w="0" w:type="dxa"/>
            </w:tcMar>
            <w:tcW w:w="952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i/>
                <w:color w:val="000000"/>
                <w:sz w:val="24"/>
              </w:rPr>
              <w:t xml:space="preserve">(Bằng chữ: Bảy tỷ, hai trăm bảy mươi hai triệu đồng chẵn./.)</w:t>
            </w:r>
            <w:r/>
          </w:p>
        </w:tc>
      </w:tr>
    </w:tbl>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p>
    <w:p>
      <w:pPr>
        <w:numPr>
          <w:ilvl w:val="0"/>
          <w:numId w:val="42"/>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Tại thời điểm khảo sát dưới sự hướng dẫn của Khách hàng, CTXD gắn liền với đất là Nhà 04 tầng BTCT, xây hết đất, diện tích sử dụng khoảng 281m2, xây dựng năm 2023. Công trình chưa được chứng nhận trên GCN, đồng thời Tổ thẩm định cũng không được cung cấp bấ</w:t>
      </w:r>
      <w:r>
        <w:rPr>
          <w:rFonts w:ascii="Times New Roman" w:hAnsi="Times New Roman" w:eastAsia="Times New Roman" w:cs="Times New Roman"/>
          <w:color w:val="000000"/>
          <w:sz w:val="24"/>
        </w:rPr>
        <w:t xml:space="preserve">t kỳ hồ sơ pháp lý nào liên quan đến công trình xây dựng hiện có này. Theo đề nghị của Khách hàng/Ngân hàng, tổ thẩm định xác định giá trị công trình xây dựng theo hiện trạng thực tế với giả định thông số đo đạc được là chính xác.</w:t>
      </w: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3"/>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p>
    <w:p>
      <w:pPr>
        <w:pBdr/>
        <w:shd w:val="nil"/>
        <w:spacing/>
        <w:ind/>
        <w:rPr>
          <w:lang w:val="pt-BR"/>
        </w:rPr>
      </w:pPr>
      <w:r>
        <w:rPr>
          <w:highlight w:val="none"/>
          <w:lang w:val="vi-VN"/>
        </w:rPr>
        <w:br w:type="page" w:clear="all"/>
      </w:r>
      <w:r>
        <w:rPr>
          <w:highlight w:val="none"/>
          <w:lang w:val="vi-VN"/>
        </w:rPr>
      </w:r>
      <w:r>
        <w:rPr>
          <w:highlight w:val="none"/>
          <w:lang w:val="vi-VN"/>
        </w:rPr>
      </w:r>
    </w:p>
    <w:p>
      <w:pPr>
        <w:pStyle w:val="856"/>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275/2026/0442/VFI-CT.21.A</w:t>
      </w:r>
      <w:r>
        <w:rPr>
          <w:color w:val="ff0000"/>
          <w:lang w:val="vi-VN"/>
        </w:rPr>
        <w:t xml:space="preserve"> </w:t>
      </w:r>
      <w:r>
        <w:rPr>
          <w:color w:val="000000" w:themeColor="text1"/>
        </w:rPr>
        <w:t xml:space="preserve">ngày 21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p>
    <w:tbl>
      <w:tblPr>
        <w:tblW w:w="5000" w:type="pct"/>
        <w:tblBorders/>
        <w:tblLayout w:type="fixed"/>
        <w:tblLook w:val="01E0" w:firstRow="1" w:lastRow="1" w:firstColumn="1" w:lastColumn="1" w:noHBand="0" w:noVBand="0"/>
      </w:tblPr>
      <w:tblGrid>
        <w:gridCol w:w="4422"/>
        <w:gridCol w:w="5102"/>
      </w:tblGrid>
      <w:tr>
        <w:trPr>
          <w:trHeight w:val="20"/>
        </w:trPr>
        <w:tc>
          <w:tcPr>
            <w:tcBorders/>
            <w:tcW w:w="4422"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5102"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4422"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4422"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275/2026/0442/VFI-BC.21.A</w:t>
      </w:r>
      <w:r>
        <w:rPr>
          <w:i/>
        </w:rPr>
        <w:t xml:space="preserve"> </w:t>
      </w:r>
      <w:r>
        <w:rPr>
          <w:i/>
        </w:rPr>
        <w:t xml:space="preserve">ngày</w:t>
      </w:r>
      <w:r>
        <w:rPr>
          <w:i/>
          <w:lang w:val="pt-BR"/>
        </w:rPr>
        <w:t xml:space="preserve"> </w:t>
      </w:r>
      <w:r>
        <w:rPr>
          <w:i/>
          <w:lang w:val="pt-BR"/>
        </w:rPr>
        <w:t xml:space="preserve">21 tháng 3 năm 2026</w:t>
      </w:r>
      <w:r>
        <w:rPr>
          <w:i/>
          <w:lang w:val="pt-BR"/>
        </w:rPr>
        <w:t xml:space="preserve"> </w:t>
      </w:r>
      <w:r>
        <w:rPr>
          <w:i/>
          <w:lang w:val="pt-BR"/>
        </w:rPr>
        <w:t xml:space="preserve">của</w:t>
      </w:r>
      <w:r>
        <w:rPr>
          <w:i/>
          <w:lang w:val="pt-BR"/>
        </w:rPr>
        <w:t xml:space="preserve"> </w:t>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968400" cy="216000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35115" name=""/>
                              <pic:cNvPicPr>
                                <a:picLocks noChangeAspect="1"/>
                              </pic:cNvPicPr>
                              <pic:nvPr/>
                            </pic:nvPicPr>
                            <pic:blipFill rotWithShape="1">
                              <a:blip r:embed="rId18"/>
                              <a:stretch/>
                            </pic:blipFill>
                            <pic:spPr bwMode="auto">
                              <a:xfrm rot="0" flipH="0" flipV="0">
                                <a:off x="0" y="0"/>
                                <a:ext cx="9684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76.25pt;height:170.08pt;mso-wrap-distance-left:0.00pt;mso-wrap-distance-top:0.00pt;mso-wrap-distance-right:0.00pt;mso-wrap-distance-bottom:0.00pt;rotation:0;z-index:1;" stroked="false">
                      <v:imagedata r:id="rId18" o:title=""/>
                      <o:lock v:ext="edit" rotation="t"/>
                    </v:shape>
                  </w:pict>
                </mc:Fallback>
              </mc:AlternateContent>
            </w:r>
            <w:r/>
            <w:r>
              <w:rPr>
                <w:i/>
                <w:lang w:val="pt-BR"/>
              </w:rPr>
            </w:r>
            <w:r/>
            <w:r>
              <w:rPr>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623600" cy="21600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560174" name=""/>
                              <pic:cNvPicPr>
                                <a:picLocks noChangeAspect="1"/>
                              </pic:cNvPicPr>
                              <pic:nvPr/>
                            </pic:nvPicPr>
                            <pic:blipFill rotWithShape="1">
                              <a:blip r:embed="rId19"/>
                              <a:stretch/>
                            </pic:blipFill>
                            <pic:spPr bwMode="auto">
                              <a:xfrm rot="0" flipH="0" flipV="0">
                                <a:off x="0" y="0"/>
                                <a:ext cx="1623598"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7.84pt;height:170.08pt;mso-wrap-distance-left:0.00pt;mso-wrap-distance-top:0.00pt;mso-wrap-distance-right:0.00pt;mso-wrap-distance-bottom:0.00pt;rotation:0;z-index:1;" stroked="false">
                      <v:imagedata r:id="rId19" o:title=""/>
                      <o:lock v:ext="edit" rotation="t"/>
                    </v:shape>
                  </w:pict>
                </mc:Fallback>
              </mc:AlternateContent>
            </w:r>
            <w:r/>
            <w:r>
              <w:rPr>
                <w:i/>
                <w:lang w:val="pt-BR"/>
              </w:rPr>
            </w:r>
            <w:r/>
            <w:r>
              <w:rPr>
                <w:i/>
                <w:lang w:val="pt-BR"/>
              </w:rPr>
            </w:r>
            <w:r>
              <w:rPr>
                <w:b/>
                <w:bCs/>
                <w:i/>
                <w:lang w:val="pt-BR"/>
              </w:rPr>
            </w:r>
          </w:p>
        </w:tc>
      </w:tr>
      <w:tr>
        <w:trPr/>
        <w:tc>
          <w:tcPr>
            <w:tcBorders/>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c>
          <w:tcPr>
            <w:tcBorders/>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cạnh tài sản</w:t>
            </w:r>
            <w:r/>
          </w:p>
        </w:tc>
      </w:tr>
      <w:tr>
        <w:trPr/>
        <w:tc>
          <w:tcPr>
            <w:tcBorders/>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
              <mc:AlternateContent>
                <mc:Choice Requires="wpg">
                  <w:drawing>
                    <wp:inline xmlns:wp="http://schemas.openxmlformats.org/drawingml/2006/wordprocessingDrawing" distT="0" distB="0" distL="0" distR="0">
                      <wp:extent cx="2880000" cy="21600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511810" name=""/>
                              <pic:cNvPicPr>
                                <a:picLocks noChangeAspect="1"/>
                              </pic:cNvPicPr>
                              <pic:nvPr/>
                            </pic:nvPicPr>
                            <pic:blipFill rotWithShape="1">
                              <a:blip r:embed="rId20"/>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6.77pt;height:170.08pt;mso-wrap-distance-left:0.00pt;mso-wrap-distance-top:0.00pt;mso-wrap-distance-right:0.00pt;mso-wrap-distance-bottom:0.00pt;rotation:0;z-index:1;" stroked="false">
                      <v:imagedata r:id="rId20" o:title=""/>
                      <o:lock v:ext="edit" rotation="t"/>
                    </v:shape>
                  </w:pict>
                </mc:Fallback>
              </mc:AlternateContent>
            </w:r>
            <w:r/>
            <w:r/>
            <w:r/>
            <w:r/>
            <w:r/>
          </w:p>
        </w:tc>
        <w:tc>
          <w:tcPr>
            <w:tcBorders/>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
              <mc:AlternateContent>
                <mc:Choice Requires="wpg">
                  <w:drawing>
                    <wp:inline xmlns:wp="http://schemas.openxmlformats.org/drawingml/2006/wordprocessingDrawing" distT="0" distB="0" distL="0" distR="0">
                      <wp:extent cx="2880000" cy="21600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20726" name=""/>
                              <pic:cNvPicPr>
                                <a:picLocks noChangeAspect="1"/>
                              </pic:cNvPicPr>
                              <pic:nvPr/>
                            </pic:nvPicPr>
                            <pic:blipFill rotWithShape="1">
                              <a:blip r:embed="rId21"/>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77pt;height:170.08pt;mso-wrap-distance-left:0.00pt;mso-wrap-distance-top:0.00pt;mso-wrap-distance-right:0.00pt;mso-wrap-distance-bottom:0.00pt;rotation:0;z-index:1;" stroked="false">
                      <v:imagedata r:id="rId21" o:title=""/>
                      <o:lock v:ext="edit" rotation="t"/>
                    </v:shape>
                  </w:pict>
                </mc:Fallback>
              </mc:AlternateContent>
            </w:r>
            <w:r/>
            <w:r/>
          </w:p>
        </w:tc>
      </w:tr>
      <w:tr>
        <w:trPr/>
        <w:tc>
          <w:tcPr>
            <w:tcBorders/>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22635" name=""/>
                              <pic:cNvPicPr>
                                <a:picLocks noChangeAspect="1"/>
                              </pic:cNvPicPr>
                              <pic:nvPr/>
                            </pic:nvPicPr>
                            <pic:blipFill rotWithShape="1">
                              <a:blip r:embed="rId22"/>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77pt;height:170.08pt;mso-wrap-distance-left:0.00pt;mso-wrap-distance-top:0.00pt;mso-wrap-distance-right:0.00pt;mso-wrap-distance-bottom:0.00pt;rotation:0;z-index:1;" stroked="false">
                      <v:imagedata r:id="rId22" o:title=""/>
                      <o:lock v:ext="edit" rotation="t"/>
                    </v:shape>
                  </w:pict>
                </mc:Fallback>
              </mc:AlternateContent>
            </w:r>
            <w:r/>
            <w:r>
              <w:rPr>
                <w:i/>
                <w:lang w:val="pt-BR"/>
              </w:rPr>
            </w:r>
            <w:r/>
            <w:r>
              <w:rPr>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971603" name=""/>
                              <pic:cNvPicPr>
                                <a:picLocks noChangeAspect="1"/>
                              </pic:cNvPicPr>
                              <pic:nvPr/>
                            </pic:nvPicPr>
                            <pic:blipFill rotWithShape="1">
                              <a:blip r:embed="rId23"/>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6.77pt;height:170.08pt;mso-wrap-distance-left:0.00pt;mso-wrap-distance-top:0.00pt;mso-wrap-distance-right:0.00pt;mso-wrap-distance-bottom:0.00pt;rotation:0;z-index:1;" stroked="false">
                      <v:imagedata r:id="rId23" o:title=""/>
                      <o:lock v:ext="edit" rotation="t"/>
                    </v:shape>
                  </w:pict>
                </mc:Fallback>
              </mc:AlternateContent>
            </w:r>
            <w:r/>
            <w:r>
              <w:rPr>
                <w:i/>
                <w:lang w:val="pt-BR"/>
              </w:rPr>
            </w:r>
            <w:r/>
            <w:r>
              <w:rPr>
                <w:i/>
                <w:lang w:val="pt-BR"/>
              </w:rPr>
            </w:r>
            <w:r/>
            <w:r>
              <w:rPr>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275/2026/0442/VFI-BC.21.A</w:t>
      </w:r>
      <w:r>
        <w:rPr>
          <w:i/>
        </w:rPr>
        <w:t xml:space="preserve"> </w:t>
      </w:r>
      <w:r>
        <w:rPr>
          <w:i/>
        </w:rPr>
        <w:t xml:space="preserve">ngày</w:t>
      </w:r>
      <w:r>
        <w:rPr>
          <w:i/>
          <w:lang w:val="pt-BR"/>
        </w:rPr>
        <w:t xml:space="preserve"> </w:t>
      </w:r>
      <w:r>
        <w:rPr>
          <w:i/>
          <w:lang w:val="pt-BR"/>
        </w:rPr>
        <w:t xml:space="preserve">21 tháng 3 năm 2026</w:t>
      </w:r>
      <w:r>
        <w:rPr>
          <w:i/>
          <w:lang w:val="pt-BR"/>
        </w:rPr>
        <w:t xml:space="preserve"> </w:t>
      </w:r>
      <w:r>
        <w:rPr>
          <w:i/>
          <w:lang w:val="pt-BR"/>
        </w:rPr>
        <w:t xml:space="preserve">của</w:t>
      </w:r>
      <w:r>
        <w:rPr>
          <w:i/>
          <w:lang w:val="pt-BR"/>
        </w:rPr>
        <w:t xml:space="preserve"> </w:t>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mc:AlternateContent>
          <mc:Choice Requires="wpg">
            <w:drawing>
              <wp:inline xmlns:wp="http://schemas.openxmlformats.org/drawingml/2006/wordprocessingDrawing" distT="0" distB="0" distL="0" distR="0">
                <wp:extent cx="5001058" cy="6736479"/>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62478" name=""/>
                        <pic:cNvPicPr>
                          <a:picLocks noChangeAspect="1"/>
                        </pic:cNvPicPr>
                        <pic:nvPr/>
                      </pic:nvPicPr>
                      <pic:blipFill rotWithShape="1">
                        <a:blip r:embed="rId24"/>
                        <a:stretch/>
                      </pic:blipFill>
                      <pic:spPr bwMode="auto">
                        <a:xfrm flipH="0" flipV="0">
                          <a:off x="0" y="0"/>
                          <a:ext cx="5001058" cy="67364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93.78pt;height:530.43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p>
        </w:tc>
        <w:tc>
          <w:tcPr>
            <w:tcBorders/>
            <w:tcW w:w="46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r/>
          </w:p>
          <w:p>
            <w:pPr>
              <w:pBdr/>
              <w:spacing/>
              <w:ind/>
              <w:jc w:val="center"/>
              <w:rPr/>
            </w:pPr>
            <w:r/>
            <w:r/>
          </w:p>
          <w:p>
            <w:pPr>
              <w:pBdr/>
              <w:spacing/>
              <w:ind/>
              <w:jc w:val="center"/>
              <w:rPr/>
            </w:pPr>
            <w:r/>
            <w:r/>
          </w:p>
          <w:p>
            <w:pPr>
              <w:pBdr/>
              <w:spacing/>
              <w:ind/>
              <w:jc w:val="center"/>
              <w:rPr>
                <w:b/>
                <w:bCs/>
              </w:rPr>
            </w:pPr>
            <w:r>
              <w:rPr>
                <w:b/>
                <w:bCs/>
              </w:rPr>
              <w:t xml:space="preserve">Trương Thị Diệp</w:t>
            </w:r>
            <w:r>
              <w:rPr>
                <w:b/>
                <w:bCs/>
              </w:rPr>
            </w:r>
            <w:r/>
            <w:r/>
            <w:r>
              <w:rPr>
                <w:b/>
                <w:bCs/>
              </w:rPr>
            </w:r>
          </w:p>
        </w:tc>
      </w:tr>
    </w:tbl>
    <w:p>
      <w:pPr>
        <w:pBdr/>
        <w:spacing/>
        <w:ind/>
        <w:rPr/>
      </w:pPr>
      <w:r>
        <w:br w:type="page" w:clear="all"/>
      </w:r>
      <w:r/>
    </w:p>
    <w:p>
      <w:pPr>
        <w:pBdr/>
        <w:spacing w:after="20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6048375" cy="7328777"/>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123155" name=""/>
                        <pic:cNvPicPr>
                          <a:picLocks noChangeAspect="1"/>
                        </pic:cNvPicPr>
                        <pic:nvPr/>
                      </pic:nvPicPr>
                      <pic:blipFill rotWithShape="1">
                        <a:blip r:embed="rId25"/>
                        <a:stretch/>
                      </pic:blipFill>
                      <pic:spPr bwMode="auto">
                        <a:xfrm>
                          <a:off x="0" y="0"/>
                          <a:ext cx="6048374" cy="73287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577.07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b/>
                <w:bCs/>
              </w:rPr>
            </w:pPr>
            <w:r>
              <w:rPr>
                <w:b/>
                <w:bCs/>
              </w:rPr>
              <w:t xml:space="preserve">Trương Thị Diệp</w:t>
            </w:r>
            <w:r>
              <w:rPr>
                <w:b/>
                <w:bCs/>
              </w:rPr>
            </w:r>
          </w:p>
        </w:tc>
      </w:tr>
    </w:tbl>
    <w:p>
      <w:pPr>
        <w:pBdr/>
        <w:spacing w:after="200" w:line="276" w:lineRule="auto"/>
        <w:ind/>
        <w:rPr>
          <w:iCs/>
          <w:lang w:val="pt-BR"/>
        </w:rPr>
      </w:pPr>
      <w:r>
        <w:rPr>
          <w:iCs/>
          <w:lang w:val="pt-BR"/>
        </w:rPr>
      </w:r>
      <w:r>
        <w:rPr>
          <w:iCs/>
          <w:lang w:val="pt-BR"/>
        </w:rPr>
      </w:r>
    </w:p>
    <w:p>
      <w:pPr>
        <w:pBdr/>
        <w:spacing w:after="200" w:line="276" w:lineRule="auto"/>
        <w:ind/>
        <w:rPr>
          <w:iCs/>
          <w:lang w:val="pt-BR"/>
        </w:rPr>
      </w:pPr>
      <w:r>
        <w:rPr>
          <w:iCs/>
          <w:lang w:val="pt-BR"/>
        </w:rPr>
        <w:br w:type="page" w:clear="all"/>
      </w:r>
      <w:r>
        <w:rPr>
          <w:iCs/>
          <w:lang w:val="pt-BR"/>
        </w:rPr>
      </w:r>
    </w:p>
    <w:p>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6048375" cy="740804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68754" name=""/>
                        <pic:cNvPicPr>
                          <a:picLocks noChangeAspect="1"/>
                        </pic:cNvPicPr>
                        <pic:nvPr/>
                      </pic:nvPicPr>
                      <pic:blipFill rotWithShape="1">
                        <a:blip r:embed="rId26"/>
                        <a:stretch/>
                      </pic:blipFill>
                      <pic:spPr bwMode="auto">
                        <a:xfrm>
                          <a:off x="0" y="0"/>
                          <a:ext cx="6048374" cy="74080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583.31pt;mso-wrap-distance-left:0.00pt;mso-wrap-distance-top:0.00pt;mso-wrap-distance-right:0.00pt;mso-wrap-distance-bottom:0.00pt;z-index:1;" stroked="false">
                <v:imagedata r:id="rId26"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b/>
                <w:bCs/>
              </w:rPr>
            </w:pPr>
            <w:r>
              <w:rPr>
                <w:b/>
                <w:bCs/>
              </w:rPr>
              <w:t xml:space="preserve">Trương Thị Diệp</w:t>
            </w:r>
            <w:r>
              <w:rPr>
                <w:b/>
                <w:bCs/>
              </w:rPr>
            </w:r>
          </w:p>
        </w:tc>
      </w:tr>
    </w:tbl>
    <w:p>
      <w:pPr>
        <w:pBdr/>
        <w:spacing w:after="200" w:line="276" w:lineRule="auto"/>
        <w:ind/>
        <w:rPr>
          <w:lang w:val="pt-BR"/>
        </w:rPr>
      </w:pPr>
      <w:r>
        <w:rPr>
          <w:iCs/>
          <w:lang w:val="pt-BR"/>
        </w:rPr>
      </w:r>
      <w:r>
        <w:rPr>
          <w:iCs/>
          <w:lang w:val="pt-BR"/>
        </w:rPr>
      </w:r>
      <w:r>
        <w:rPr>
          <w:iCs/>
          <w:lang w:val="pt-BR"/>
        </w:rPr>
      </w:r>
    </w:p>
    <w:p>
      <w:pPr>
        <w:pBdr/>
        <w:spacing w:after="200" w:line="276" w:lineRule="auto"/>
        <w:ind/>
        <w:rPr>
          <w:iCs/>
          <w:highlight w:val="none"/>
          <w:lang w:val="pt-BR"/>
        </w:rPr>
      </w:pPr>
      <w:r>
        <w:rPr>
          <w:iCs/>
          <w:lang w:val="pt-BR"/>
        </w:rPr>
      </w:r>
      <w:r>
        <mc:AlternateContent>
          <mc:Choice Requires="wpg">
            <w:drawing>
              <wp:inline xmlns:wp="http://schemas.openxmlformats.org/drawingml/2006/wordprocessingDrawing" distT="0" distB="0" distL="0" distR="0">
                <wp:extent cx="6048375" cy="8066532"/>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202784" name=""/>
                        <pic:cNvPicPr>
                          <a:picLocks noChangeAspect="1"/>
                        </pic:cNvPicPr>
                        <pic:nvPr/>
                      </pic:nvPicPr>
                      <pic:blipFill rotWithShape="1">
                        <a:blip r:embed="rId27"/>
                        <a:stretch/>
                      </pic:blipFill>
                      <pic:spPr bwMode="auto">
                        <a:xfrm>
                          <a:off x="0" y="0"/>
                          <a:ext cx="6048374" cy="80665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16pt;mso-wrap-distance-left:0.00pt;mso-wrap-distance-top:0.00pt;mso-wrap-distance-right:0.00pt;mso-wrap-distance-bottom:0.00pt;z-index:1;" stroked="false">
                <v:imagedata r:id="rId27" o:title=""/>
                <o:lock v:ext="edit" rotation="t"/>
              </v:shape>
            </w:pict>
          </mc:Fallback>
        </mc:AlternateContent>
      </w:r>
      <w:r>
        <w:rPr>
          <w:iCs/>
          <w:lang w:val="pt-BR"/>
        </w:rPr>
      </w:r>
      <w:r>
        <w:rPr>
          <w:iCs/>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6532"/>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007033" name=""/>
                        <pic:cNvPicPr>
                          <a:picLocks noChangeAspect="1"/>
                        </pic:cNvPicPr>
                        <pic:nvPr/>
                      </pic:nvPicPr>
                      <pic:blipFill rotWithShape="1">
                        <a:blip r:embed="rId28"/>
                        <a:stretch/>
                      </pic:blipFill>
                      <pic:spPr bwMode="auto">
                        <a:xfrm>
                          <a:off x="0" y="0"/>
                          <a:ext cx="6048374" cy="80665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35.16pt;mso-wrap-distance-left:0.00pt;mso-wrap-distance-top:0.00pt;mso-wrap-distance-right:0.00pt;mso-wrap-distance-bottom:0.00pt;z-index:1;" stroked="false">
                <v:imagedata r:id="rId28" o:title=""/>
                <o:lock v:ext="edit" rotation="t"/>
              </v:shape>
            </w:pict>
          </mc:Fallback>
        </mc:AlternateContent>
      </w:r>
      <w:r>
        <w:rPr>
          <w:iCs/>
          <w:highlight w:val="none"/>
          <w:lang w:val="pt-BR" w:bidi="pt-BR"/>
        </w:rPr>
      </w:r>
      <w:r>
        <w:rPr>
          <w:iCs/>
          <w:highlight w:val="none"/>
          <w:lang w:val="pt-BR" w:bidi="pt-BR"/>
        </w:rPr>
      </w:r>
      <w:r>
        <w:rPr>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6532"/>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652673" name=""/>
                        <pic:cNvPicPr>
                          <a:picLocks noChangeAspect="1"/>
                        </pic:cNvPicPr>
                        <pic:nvPr/>
                      </pic:nvPicPr>
                      <pic:blipFill rotWithShape="1">
                        <a:blip r:embed="rId29"/>
                        <a:stretch/>
                      </pic:blipFill>
                      <pic:spPr bwMode="auto">
                        <a:xfrm>
                          <a:off x="0" y="0"/>
                          <a:ext cx="6048374" cy="80665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35.16pt;mso-wrap-distance-left:0.00pt;mso-wrap-distance-top:0.00pt;mso-wrap-distance-right:0.00pt;mso-wrap-distance-bottom:0.00pt;z-index:1;" stroked="false">
                <v:imagedata r:id="rId29" o:title=""/>
                <o:lock v:ext="edit" rotation="t"/>
              </v:shape>
            </w:pict>
          </mc:Fallback>
        </mc:AlternateContent>
      </w:r>
      <w:r>
        <w:rPr>
          <w:iCs/>
          <w:highlight w:val="none"/>
          <w:lang w:val="pt-BR" w:bidi="pt-BR"/>
        </w:rPr>
      </w:r>
      <w:r>
        <w:rPr>
          <w:iCs/>
          <w:highlight w:val="none"/>
          <w:lang w:val="pt-BR" w:bidi="pt-BR"/>
        </w:rPr>
      </w:r>
      <w:r>
        <w:rPr>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6532"/>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099331" name=""/>
                        <pic:cNvPicPr>
                          <a:picLocks noChangeAspect="1"/>
                        </pic:cNvPicPr>
                        <pic:nvPr/>
                      </pic:nvPicPr>
                      <pic:blipFill rotWithShape="1">
                        <a:blip r:embed="rId30"/>
                        <a:stretch/>
                      </pic:blipFill>
                      <pic:spPr bwMode="auto">
                        <a:xfrm>
                          <a:off x="0" y="0"/>
                          <a:ext cx="6048374" cy="80665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35.16pt;mso-wrap-distance-left:0.00pt;mso-wrap-distance-top:0.00pt;mso-wrap-distance-right:0.00pt;mso-wrap-distance-bottom:0.00pt;z-index:1;" stroked="false">
                <v:imagedata r:id="rId30" o:title=""/>
                <o:lock v:ext="edit" rotation="t"/>
              </v:shape>
            </w:pict>
          </mc:Fallback>
        </mc:AlternateContent>
      </w:r>
      <w:r>
        <w:rPr>
          <w:iCs/>
          <w:highlight w:val="none"/>
          <w:lang w:val="pt-BR" w:bidi="pt-BR"/>
        </w:rPr>
      </w:r>
      <w:r>
        <w:rPr>
          <w:iCs/>
          <w:highlight w:val="none"/>
          <w:lang w:val="pt-BR" w:bidi="pt-BR"/>
        </w:rPr>
      </w:r>
      <w:r>
        <w:rPr>
          <w:lang w:val="pt-BR"/>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6532"/>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629050" name=""/>
                        <pic:cNvPicPr>
                          <a:picLocks noChangeAspect="1"/>
                        </pic:cNvPicPr>
                        <pic:nvPr/>
                      </pic:nvPicPr>
                      <pic:blipFill rotWithShape="1">
                        <a:blip r:embed="rId31"/>
                        <a:stretch/>
                      </pic:blipFill>
                      <pic:spPr bwMode="auto">
                        <a:xfrm>
                          <a:off x="0" y="0"/>
                          <a:ext cx="6048374" cy="80665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16pt;mso-wrap-distance-left:0.00pt;mso-wrap-distance-top:0.00pt;mso-wrap-distance-right:0.00pt;mso-wrap-distance-bottom:0.00pt;z-index:1;" stroked="false">
                <v:imagedata r:id="rId31" o:title=""/>
                <o:lock v:ext="edit" rotation="t"/>
              </v:shape>
            </w:pict>
          </mc:Fallback>
        </mc:AlternateContent>
      </w:r>
      <w:r>
        <w:rPr>
          <w:iCs/>
          <w:highlight w:val="none"/>
          <w:lang w:val="pt-BR" w:bidi="pt-BR"/>
        </w:rPr>
      </w:r>
      <w:r>
        <w:rPr>
          <w:iCs/>
          <w:highlight w:val="none"/>
          <w:lang w:val="pt-BR" w:bidi="pt-BR"/>
        </w:rPr>
      </w:r>
      <w:r>
        <w:rPr>
          <w:iCs/>
          <w:highlight w:val="none"/>
          <w:lang w:val="pt-BR" w:bidi="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96D5AB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6812D17A"/>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22124879"/>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395C78F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Trương Thị Diệp</cp:lastModifiedBy>
  <cp:revision>507</cp:revision>
  <dcterms:created xsi:type="dcterms:W3CDTF">2025-09-15T02:01:00Z</dcterms:created>
  <dcterms:modified xsi:type="dcterms:W3CDTF">2026-03-24T09:36:50Z</dcterms:modified>
</cp:coreProperties>
</file>