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0874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0874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275/2026/0453/VFI-CT.39.A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LÊ THỊ NGOAN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w:t>
                            </w:r>
                            <w:r>
                              <w:rPr>
                                <w:color w:val="000000"/>
                              </w:rPr>
                              <w:t xml:space="preserve">ất số: 322, tờ bản đồ số 98 có địa chỉ: Ô đất số 23 lô B25 thuộc điều chỉnh Quy hoạch chi tiết tỷ lệ 1/500 khu đô thị tại phường Cao Thắng, Hà Khánh và Hà Lầm thành phố Hạ Long, Phường Hà Khánh, Thành phố Hạ Long, Quảng Ninh (Nay là Phường Cao Xanh, tỉnh Q</w:t>
                            </w:r>
                            <w:r>
                              <w:rPr>
                                <w:color w:val="000000"/>
                              </w:rPr>
                              <w:t xml:space="preserve">uảng Ninh) theo Giấy chứng nhận quyền sử dụng đất quyền sở hữu nhà ở và tài sản khác gắn liền với đất số: DD 067681, số vào sổ cấp GCN: CH87755 do Ủy ban Nhân dân thành phố Hạ Long cấp ngày 04/07/2024; Chủ sử dụng đất là Ông Vũ Ngọc Tuấn và vợ Lê Thị Ngoan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21.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275/2026/0453/VFI-CT.39.A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LÊ THỊ NGOAN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w:t>
                      </w:r>
                      <w:r>
                        <w:rPr>
                          <w:color w:val="000000"/>
                        </w:rPr>
                        <w:t xml:space="preserve">ất số: 322, tờ bản đồ số 98 có địa chỉ: Ô đất số 23 lô B25 thuộc điều chỉnh Quy hoạch chi tiết tỷ lệ 1/500 khu đô thị tại phường Cao Thắng, Hà Khánh và Hà Lầm thành phố Hạ Long, Phường Hà Khánh, Thành phố Hạ Long, Quảng Ninh (Nay là Phường Cao Xanh, tỉnh Q</w:t>
                      </w:r>
                      <w:r>
                        <w:rPr>
                          <w:color w:val="000000"/>
                        </w:rPr>
                        <w:t xml:space="preserve">uảng Ninh) theo Giấy chứng nhận quyền sử dụng đất quyền sở hữu nhà ở và tài sản khác gắn liền với đất số: DD 067681, số vào sổ cấp GCN: CH87755 do Ủy ban Nhân dân thành phố Hạ Long cấp ngày 04/07/2024; Chủ sử dụng đất là Ông Vũ Ngọc Tuấn và vợ Lê Thị Ngoan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22-27</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275/2026/0453/VFI-CT.39.A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24 tháng 3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LÊ THỊ NGOAN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275/2026/0453/VFI-HĐTĐ.39.A</w:t>
      </w:r>
      <w:r>
        <w:rPr>
          <w:spacing w:val="-4"/>
          <w:lang w:val="vi-VN"/>
        </w:rPr>
        <w:t xml:space="preserve"> ký ngày </w:t>
      </w:r>
      <w:r>
        <w:rPr>
          <w:color w:val="000000" w:themeColor="text1"/>
          <w:spacing w:val="-4"/>
        </w:rPr>
        <w:t xml:space="preserve">20 tháng 3 năm 2026</w:t>
      </w:r>
      <w:r>
        <w:rPr>
          <w:spacing w:val="-4"/>
          <w:lang w:val="vi-VN"/>
        </w:rPr>
        <w:t xml:space="preserve"> </w:t>
      </w:r>
      <w:r>
        <w:rPr>
          <w:spacing w:val="-4"/>
          <w:lang w:val="vi-VN"/>
        </w:rPr>
        <w:t xml:space="preserve">giữa </w:t>
      </w:r>
      <w:r>
        <w:rPr>
          <w:color w:val="000000" w:themeColor="text1"/>
          <w:spacing w:val="-4"/>
        </w:rPr>
        <w:t xml:space="preserve">Lê Thị Ngoan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275/2026/0453/VFI-BC.39.A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LÊ THỊ NGOAN</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022182005491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1982</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w:t>
      </w:r>
      <w:r>
        <w:rPr>
          <w:color w:val="000000" w:themeColor="text1"/>
        </w:rPr>
        <w:t xml:space="preserve">ất số: 322, tờ bản đồ số 98 có địa chỉ: Ô đất số 23 lô B25 thuộc điều chỉnh Quy hoạch chi tiết tỷ lệ 1/500 khu đô thị tại phường Cao Thắng, Hà Khánh và Hà Lầm thành phố Hạ Long, Phường Hà Khánh, Thành phố Hạ Long, Quảng Ninh (Nay là Phường Cao Xanh, tỉnh Q</w:t>
      </w:r>
      <w:r>
        <w:rPr>
          <w:color w:val="000000" w:themeColor="text1"/>
        </w:rPr>
        <w:t xml:space="preserve">uảng Ninh) theo Giấy chứng nhận quyền sử dụng đất quyền sở hữu nhà ở và tài sản khác gắn liền với đất số: DD 067681, số vào sổ cấp GCN: CH87755 do Ủy ban Nhân dân thành phố Hạ Long cấp ngày 04/07/2024; Chủ sử dụng đất là Ông Vũ Ngọc Tuấn và vợ Lê Thị Ngoan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2551"/>
        <w:gridCol w:w="1843"/>
        <w:gridCol w:w="2372"/>
        <w:gridCol w:w="2164"/>
      </w:tblGrid>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51"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372"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66" w:type="dxa"/>
            <w:vAlign w:val="center"/>
            <w:textDirection w:val="lrTb"/>
            <w:noWrap w:val="false"/>
          </w:tcPr>
          <w:p>
            <w:pPr>
              <w:pBdr/>
              <w:spacing w:after="40" w:before="40" w:line="288" w:lineRule="auto"/>
              <w:ind/>
              <w:jc w:val="both"/>
              <w:rPr>
                <w:b/>
                <w:bCs/>
              </w:rPr>
            </w:pPr>
            <w:r>
              <w:rPr>
                <w:color w:val="000000"/>
              </w:rPr>
              <w:t xml:space="preserve">Quyền sử dụng đất tại thửa đ</w:t>
            </w:r>
            <w:r>
              <w:rPr>
                <w:color w:val="000000"/>
              </w:rPr>
              <w:t xml:space="preserve">ất số: 322, tờ bản đồ số 98 có địa chỉ: Ô đất số 23 lô B25 thuộc điều chỉnh Quy hoạch chi tiết tỷ lệ 1/500 khu đô thị tại phường Cao Thắng, Hà Khánh và Hà Lầm thành phố Hạ Long, Phường Hà Khánh, Thành phố Hạ Long, Quảng Ninh (Nay là Phường Cao Xanh, tỉnh Q</w:t>
            </w:r>
            <w:r>
              <w:rPr>
                <w:color w:val="000000"/>
              </w:rPr>
              <w:t xml:space="preserve">uảng Ninh) theo Giấy chứng nhận quyền sử dụng đất quyền sở hữu nhà ở và tài sản khác gắn liền với đất số: DD 067681, số vào sổ cấp GCN: CH87755 do Ủy ban Nhân dân thành phố Hạ Long cấp ngày 04/07/2024; Chủ sử dụng đất là Ông Vũ Ngọc Tuấn và vợ Lê Thị Ngoan</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551" w:type="dxa"/>
            <w:vAlign w:val="center"/>
            <w:textDirection w:val="lrTb"/>
            <w:noWrap w:val="false"/>
          </w:tcPr>
          <w:p>
            <w:pPr>
              <w:pBdr/>
              <w:spacing w:after="40" w:before="40" w:line="288" w:lineRule="auto"/>
              <w:ind/>
              <w:rPr/>
            </w:pPr>
            <w:r>
              <w:rPr>
                <w:b/>
                <w:bCs/>
              </w:rPr>
              <w:t xml:space="preserve">Quyền sử dụng đất</w:t>
            </w: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2372" w:type="dxa"/>
            <w:vAlign w:val="center"/>
            <w:textDirection w:val="lrTb"/>
            <w:noWrap w:val="false"/>
          </w:tcPr>
          <w:p>
            <w:pPr>
              <w:pBdr/>
              <w:spacing w:after="40" w:before="40" w:line="288" w:lineRule="auto"/>
              <w:ind/>
              <w:jc w:val="center"/>
              <w:rPr/>
            </w:pPr>
            <w:r>
              <w:rPr>
                <w:color w:val="000000" w:themeColor="text1"/>
              </w:rPr>
              <w:t xml:space="preserve">40.000.000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3.600.000.000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3.600.000.000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3.600.000.000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sáu trăm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275/2026/0453/VFI-BC.39.A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24 tháng 3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275/2026/0453/VFI-CT.39.A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LÊ THỊ NGOAN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022182005491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w:t>
            </w:r>
            <w:r>
              <w:rPr>
                <w:bCs/>
                <w:color w:val="000000" w:themeColor="text1"/>
                <w:lang w:val="pt-BR"/>
              </w:rPr>
              <w:t xml:space="preserve">ất số: 322, tờ bản đồ số 98 có địa chỉ: Ô đất số 23 lô B25 thuộc điều chỉnh Quy hoạch chi tiết tỷ lệ 1/500 khu đô thị tại phường Cao Thắng, Hà Khánh và Hà Lầm thành phố Hạ Long, Phường Hà Khánh, Thành phố Hạ Long, Quảng Ninh (Nay là Phường Cao Xanh, tỉnh Q</w:t>
            </w:r>
            <w:r>
              <w:rPr>
                <w:bCs/>
                <w:color w:val="000000" w:themeColor="text1"/>
                <w:lang w:val="pt-BR"/>
              </w:rPr>
              <w:t xml:space="preserve">uảng Ninh) theo Giấy chứng nhận quyền sử dụng đất quyền sở hữu nhà ở và tài sản khác gắn liền với đất số: DD 067681, số vào sổ cấp GCN: CH87755 do Ủy ban Nhân dân thành phố Hạ Long cấp ngày 04/07/2024; Chủ sử dụng đất là Ông Vũ Ngọc Tuấn và vợ Lê Thị Ngoan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 Phường Cao Xanh, tỉnh Quảng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20.971777777778, 107.10566666667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DD 067681, số vào sổ cấp GCN: CH87755 do Ủy ban Nhân dân thành phố Hạ Long cấp ngày 04/07/2024; Chủ sử dụng đất là Ông Vũ Ngọc Tuấn và vợ Lê Thị Ngoan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275/2026/0453/VFI-HĐTĐ.39.A ngày 20/03/2026 giữa Lê Thị Ngoan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i/>
          <w:iCs/>
          <w:lang w:val="pt-BR"/>
        </w:rPr>
      </w:r>
      <w:r>
        <w:rPr>
          <w:i/>
          <w:iCs/>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w:t>
            </w:r>
            <w:r>
              <w:rPr>
                <w:b/>
                <w:bCs/>
                <w:color w:val="000000"/>
              </w:rPr>
              <w:t xml:space="preserve">ất số: 322, tờ bản đồ số 98 có địa chỉ: Ô đất số 23 lô B25 thuộc điều chỉnh Quy hoạch chi tiết tỷ lệ 1/500 khu đô thị tại phường Cao Thắng, Hà Khánh và Hà Lầm thành phố Hạ Long, Phường Hà Khánh, Thành phố Hạ Long, Quảng Ninh (Nay là Phường Cao Xanh, tỉnh Q</w:t>
            </w:r>
            <w:r>
              <w:rPr>
                <w:b/>
                <w:bCs/>
                <w:color w:val="000000"/>
              </w:rPr>
              <w:t xml:space="preserve">uảng Ninh) theo Giấy chứng nhận quyền sử dụng đất quyền sở hữu nhà ở và tài sản khác gắn liền với đất số: DD 067681, số vào sổ cấp GCN: CH87755 do Ủy ban Nhân dân thành phố Hạ Long cấp ngày 04/07/2024; Chủ sử dụng đất là Ông Vũ Ngọc Tuấn và vợ Lê Thị Ngoan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322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98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Hà Khánh, Thành phố Hạ Long, Tỉnh Quảng Ninh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nội bộ khu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Cao Hà khoảng 400m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color w:val="000000" w:themeColor="text1"/>
              </w:rPr>
              <w:t xml:space="preserve">Hướng Tây Bắc: Tiếp giáp với đường nội bộ khu đô thị</w:t>
              <w:br/>
              <w:t xml:space="preserve">Các hướng còn lại: Tiếp giáp với các thửa đất khác</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20.971777777778</w:t>
            </w:r>
            <w:r>
              <w:rPr>
                <w:color w:val="000000"/>
              </w:rPr>
              <w:t xml:space="preserve">, </w:t>
            </w:r>
            <w:r>
              <w:rPr>
                <w:color w:val="000000"/>
              </w:rPr>
              <w:t xml:space="preserve">107.10566666667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90425" cy="297349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787325" name=""/>
                              <pic:cNvPicPr>
                                <a:picLocks noChangeAspect="1"/>
                              </pic:cNvPicPr>
                              <pic:nvPr/>
                            </pic:nvPicPr>
                            <pic:blipFill rotWithShape="1">
                              <a:blip r:embed="rId17"/>
                              <a:stretch/>
                            </pic:blipFill>
                            <pic:spPr bwMode="auto">
                              <a:xfrm flipH="0" flipV="0">
                                <a:off x="0" y="0"/>
                                <a:ext cx="5490424" cy="29734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2.32pt;height:234.13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Ô đất số 23 lô B2S thuộc điều chỉnh Quy hoạch chi tiết tỷ lệ 1/500 khu đô thị tại phường Cao Thắng, Hà Khánh và Hà Lầm thành phố Hạ Long, Phường Hà Khánh, Thành phố Hạ Long, Quảng Ninh</w:t>
            </w:r>
            <w:r/>
          </w:p>
        </w:tc>
        <w:tc>
          <w:tcPr>
            <w:tcBorders/>
            <w:tcW w:w="1605" w:type="dxa"/>
            <w:vAlign w:val="center"/>
            <w:textDirection w:val="lrTb"/>
            <w:noWrap w:val="false"/>
          </w:tcPr>
          <w:p>
            <w:pPr>
              <w:pBdr/>
              <w:spacing/>
              <w:ind/>
              <w:jc w:val="center"/>
              <w:rPr/>
            </w:pPr>
            <w:r>
              <w:t xml:space="preserve">Ô đất số 23 lô B2S thuộc điều chỉnh Quy hoạch chi tiết tỷ lệ 1/500 khu đô thị tại phường Cao Thắng, Hà Khánh và Hà Lầm thành phố Hạ Long, Phường Hà Khánh, Thành phố Hạ Long, Quảng Ninh</w:t>
            </w:r>
            <w:r/>
            <w:r/>
          </w:p>
          <w:p>
            <w:pPr>
              <w:pBdr/>
              <w:spacing/>
              <w:ind/>
              <w:jc w:val="center"/>
              <w:rPr/>
            </w:pP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Ô đất số 23 lô B2S thuộc điều chỉnh Quy hoạch chi tiết tỷ lệ 1/500 khu đô thị tại phường Cao Thắng, Hà Khánh và Hà Lầm thành phố Hạ Long, Phường Hà Khánh, Thành phố Hạ Long, Quảng Ninh</w:t>
            </w:r>
            <w:r/>
            <w:r/>
          </w:p>
          <w:p>
            <w:pPr>
              <w:pBdr/>
              <w:spacing/>
              <w:ind/>
              <w:jc w:val="center"/>
              <w:rPr/>
            </w:pPr>
            <w:r/>
            <w:r/>
          </w:p>
        </w:tc>
        <w:tc>
          <w:tcPr>
            <w:tcBorders/>
            <w:tcW w:w="1605" w:type="dxa"/>
            <w:vAlign w:val="center"/>
            <w:textDirection w:val="lrTb"/>
            <w:noWrap w:val="false"/>
          </w:tcPr>
          <w:p>
            <w:pPr>
              <w:pBdr/>
              <w:spacing/>
              <w:ind/>
              <w:jc w:val="center"/>
              <w:rPr/>
            </w:pPr>
            <w:r>
              <w:t xml:space="preserve">Ô đất số 23 lô B25 thuộc điều chỉnh quy hoạch chi tiết 1/500 khu đô thị tại phường Cao Thắng, Hà Khánh và Hà Lầm thành phố Hạ Long, phường Hà Khánh, thành phố Hạ Long, tỉnh Quảng Ninh ✔</w:t>
            </w:r>
            <w:r/>
          </w:p>
        </w:tc>
        <w:tc>
          <w:tcPr>
            <w:tcBorders/>
            <w:tcW w:w="1371" w:type="dxa"/>
            <w:vAlign w:val="center"/>
            <w:textDirection w:val="lrTb"/>
            <w:noWrap w:val="false"/>
          </w:tcPr>
          <w:p>
            <w:pPr>
              <w:pBdr/>
              <w:spacing/>
              <w:ind/>
              <w:jc w:val="center"/>
              <w:rPr/>
            </w:pPr>
            <w:r/>
            <w:r>
              <w:t xml:space="preserve">không</w:t>
            </w:r>
            <w: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556"/>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7,5</w:t>
            </w:r>
            <w:r/>
          </w:p>
        </w:tc>
        <w:tc>
          <w:tcPr>
            <w:tcBorders/>
            <w:tcW w:w="1605" w:type="dxa"/>
            <w:vAlign w:val="center"/>
            <w:textDirection w:val="lrTb"/>
            <w:noWrap w:val="false"/>
          </w:tcPr>
          <w:p>
            <w:pPr>
              <w:pBdr/>
              <w:spacing/>
              <w:ind/>
              <w:jc w:val="center"/>
              <w:rPr/>
            </w:pPr>
            <w:r>
              <w:t xml:space="preserve">7,5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Height w:val="415"/>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90</w:t>
            </w:r>
            <w:r/>
          </w:p>
        </w:tc>
        <w:tc>
          <w:tcPr>
            <w:tcBorders/>
            <w:tcW w:w="1605" w:type="dxa"/>
            <w:vAlign w:val="center"/>
            <w:textDirection w:val="lrTb"/>
            <w:noWrap w:val="false"/>
          </w:tcPr>
          <w:p>
            <w:pPr>
              <w:pBdr/>
              <w:spacing/>
              <w:ind/>
              <w:jc w:val="center"/>
              <w:rPr/>
            </w:pPr>
            <w:r>
              <w:t xml:space="preserve">90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w:t>
            </w:r>
            <w:r/>
          </w:p>
        </w:tc>
        <w:tc>
          <w:tcPr>
            <w:tcBorders/>
            <w:tcW w:w="1605" w:type="dxa"/>
            <w:vAlign w:val="center"/>
            <w:textDirection w:val="lrTb"/>
            <w:noWrap w:val="false"/>
          </w:tcPr>
          <w:p>
            <w:pPr>
              <w:pBdr/>
              <w:spacing/>
              <w:ind/>
              <w:jc w:val="center"/>
              <w:rPr/>
            </w:pPr>
            <w:r>
              <w:t xml:space="preserve">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18</w:t>
            </w:r>
            <w:r/>
          </w:p>
        </w:tc>
        <w:tc>
          <w:tcPr>
            <w:tcBorders/>
            <w:tcW w:w="1605" w:type="dxa"/>
            <w:vAlign w:val="center"/>
            <w:textDirection w:val="lrTb"/>
            <w:noWrap w:val="false"/>
          </w:tcPr>
          <w:p>
            <w:pPr>
              <w:pBdr/>
              <w:spacing/>
              <w:ind/>
              <w:jc w:val="center"/>
              <w:rPr/>
            </w:pPr>
            <w:r>
              <w:t xml:space="preserve">18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t xml:space="preserve">Tây Bắc</w:t>
            </w:r>
            <w:r/>
            <w:r/>
            <w:r/>
          </w:p>
        </w:tc>
        <w:tc>
          <w:tcPr>
            <w:tcBorders/>
            <w:tcW w:w="1605" w:type="dxa"/>
            <w:vAlign w:val="center"/>
            <w:textDirection w:val="lrTb"/>
            <w:noWrap w:val="false"/>
          </w:tcPr>
          <w:p>
            <w:pPr>
              <w:pBdr/>
              <w:spacing/>
              <w:ind/>
              <w:jc w:val="center"/>
              <w:rPr/>
            </w:pPr>
            <w:r>
              <w:t xml:space="preserve">Tây Bắc ✔</w:t>
            </w:r>
            <w:r/>
          </w:p>
        </w:tc>
        <w:tc>
          <w:tcPr>
            <w:tcBorders/>
            <w:tcW w:w="1371" w:type="dxa"/>
            <w:vAlign w:val="center"/>
            <w:textDirection w:val="lrTb"/>
            <w:noWrap w:val="false"/>
          </w:tcPr>
          <w:p>
            <w:pPr>
              <w:pBdr/>
              <w:spacing/>
              <w:ind/>
              <w:jc w:val="center"/>
              <w:rPr/>
            </w:pPr>
            <w:r>
              <w:t xml:space="preserve">Không</w:t>
            </w:r>
            <w:r/>
            <w:r/>
            <w:r/>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Phường Hà Khánh, Thành phố Hạ Long, Quảng Ninh (Nay là Phường Cao Xanh, tỉnh Quảng Ninh)</w:t>
            </w:r>
            <w:r>
              <w:rPr>
                <w:color w:val="000000" w:themeColor="text1"/>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Phường Hà Khánh, Thành phố Hạ Long, Quảng Ninh (Nay là Phường Cao Xanh, tỉnh Quảng Ninh)</w:t>
            </w:r>
            <w:r>
              <w:rPr>
                <w:color w:val="000000" w:themeColor="text1"/>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Phường Hà Khánh, Thành phố Hạ Long, Quảng Ninh (Nay là Phường Cao Xanh, tỉnh Quảng Ninh)</w:t>
            </w:r>
            <w:r>
              <w:rPr>
                <w:color w:val="000000" w:themeColor="text1"/>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Phường Hà Khánh, Thành phố Hạ Long, Quảng Ninh (Nay là Phường Cao Xanh, tỉnh Quảng Ninh)</w:t>
            </w:r>
            <w:r>
              <w:rPr>
                <w:color w:val="000000" w:themeColor="text1"/>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https://www.facebook.com/groups/949288781881341/permalink/4103211463155708/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0389315688</w:t>
            </w:r>
            <w:r>
              <w:rPr>
                <w:sz w:val="22"/>
                <w:szCs w:val="22"/>
              </w:rPr>
              <w:t xml:space="preserve"> </w:t>
            </w:r>
            <w:r>
              <w:rPr>
                <w:sz w:val="22"/>
                <w:szCs w:val="22"/>
              </w:rPr>
              <w:br/>
              <w:t xml:space="preserve">(</w:t>
            </w:r>
            <w:r>
              <w:rPr>
                <w:sz w:val="22"/>
                <w:szCs w:val="22"/>
              </w:rPr>
              <w:t xml:space="preserve">Thu Thủy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0389315688</w:t>
            </w:r>
            <w:r>
              <w:rPr>
                <w:sz w:val="22"/>
                <w:szCs w:val="22"/>
              </w:rPr>
              <w:br/>
            </w:r>
            <w:r>
              <w:rPr>
                <w:sz w:val="22"/>
                <w:szCs w:val="22"/>
              </w:rPr>
              <w:t xml:space="preserve">(</w:t>
            </w:r>
            <w:r>
              <w:rPr>
                <w:sz w:val="22"/>
                <w:szCs w:val="22"/>
              </w:rPr>
              <w:t xml:space="preserve">Thu Thủy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0888766676</w:t>
            </w:r>
            <w:r>
              <w:rPr>
                <w:sz w:val="22"/>
                <w:szCs w:val="22"/>
              </w:rPr>
              <w:br/>
            </w:r>
            <w:r>
              <w:rPr>
                <w:sz w:val="22"/>
                <w:szCs w:val="22"/>
              </w:rPr>
              <w:t xml:space="preserve">(</w:t>
            </w:r>
            <w:r>
              <w:rPr>
                <w:sz w:val="22"/>
                <w:szCs w:val="22"/>
              </w:rPr>
              <w:t xml:space="preserve">Thành Đạt</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rPr>
                <w:color w:val="000000"/>
                <w:sz w:val="22"/>
                <w:szCs w:val="22"/>
              </w:rPr>
              <w:t xml:space="preserve">Đang giao dịch </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rPr>
                <w:color w:val="000000"/>
                <w:sz w:val="22"/>
                <w:szCs w:val="22"/>
              </w:rPr>
              <w:t xml:space="preserve">Đang giao dịch </w:t>
            </w:r>
            <w:r>
              <w:rPr>
                <w:color w:val="000000"/>
                <w:sz w:val="22"/>
                <w:szCs w:val="22"/>
              </w:rPr>
            </w:r>
            <w:r>
              <w:rPr>
                <w:color w:val="000000"/>
                <w:sz w:val="22"/>
                <w:szCs w:val="22"/>
              </w:rPr>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Ô đất số 23 lô B25 </w:t>
            </w:r>
            <w:r>
              <w:rPr>
                <w:color w:val="000000" w:themeColor="text1"/>
                <w:sz w:val="22"/>
                <w:szCs w:val="22"/>
              </w:rPr>
              <w:t xml:space="preserve">khu LIDECO, nhìn ra khu chung cư Phường Cao Xanh, tỉnh Quảng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Ô đất số 13 lô B26 khu LIDECO, Phường Cao Xanh, tỉnh Quảng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Ô đất số 22 lô B24 khu Lideco, </w:t>
            </w:r>
            <w:r>
              <w:rPr>
                <w:color w:val="000000" w:themeColor="text1"/>
                <w:sz w:val="22"/>
                <w:szCs w:val="22"/>
              </w:rPr>
              <w:t xml:space="preserve"> nhìn ra khu chung cư</w:t>
            </w:r>
            <w:r/>
            <w:r>
              <w:rPr>
                <w:color w:val="000000" w:themeColor="text1"/>
                <w:sz w:val="22"/>
                <w:szCs w:val="22"/>
              </w:rPr>
              <w:t xml:space="preserve">, Phường Cao Xanh, tỉnh Quảng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Ô đất số 2 lô B30 khu Lideco, phường Cao Xanh, tỉnh Quảng Ninh</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Hạ tầng khu đô thị, khu phân lô/tái định cư</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Hạ tầng khu đô thị, khu phân lô/tái định cư</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Hạ tầng khu đô thị, khu phân lô/tái định cư</w:t>
            </w:r>
            <w:r>
              <w:rPr>
                <w:color w:val="000000"/>
                <w:sz w:val="22"/>
                <w:szCs w:val="22"/>
              </w:rPr>
            </w:r>
            <w:r>
              <w:rPr>
                <w:color w:val="000000"/>
                <w:sz w:val="22"/>
                <w:szCs w:val="22"/>
              </w:rPr>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Tốt</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Tốt</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Tốt</w:t>
            </w:r>
            <w:r>
              <w:rPr>
                <w:color w:val="000000"/>
                <w:sz w:val="22"/>
                <w:szCs w:val="22"/>
              </w:rPr>
            </w:r>
            <w:r>
              <w:rPr>
                <w:color w:val="000000"/>
                <w:sz w:val="22"/>
                <w:szCs w:val="22"/>
              </w:rPr>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sz w:val="22"/>
                <w:szCs w:val="22"/>
              </w:rPr>
              <w:t xml:space="preserve">Đất trống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sz w:val="22"/>
                <w:szCs w:val="22"/>
              </w:rPr>
              <w:t xml:space="preserve">Đất trống</w:t>
            </w:r>
            <w:r>
              <w:rPr>
                <w:color w:val="000000"/>
                <w:sz w:val="22"/>
                <w:szCs w:val="22"/>
              </w:rPr>
            </w:r>
            <w:r>
              <w:rPr>
                <w:color w:val="000000"/>
                <w:sz w:val="22"/>
                <w:szCs w:val="22"/>
              </w:rPr>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4.050.000.000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4.032.000.000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3.240.000.000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4.032.000.000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3.240.000.000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36.800.000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44.800.000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2.760.000.000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4.032.000.000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3.240.000.000</w:t>
            </w:r>
            <w:r>
              <w:rPr>
                <w:color w:val="000000"/>
                <w:sz w:val="20"/>
                <w:szCs w:val="20"/>
              </w:rPr>
            </w:r>
            <w:r>
              <w:rPr>
                <w:color w:val="000000"/>
                <w:sz w:val="20"/>
                <w:szCs w:val="20"/>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Ô đất số 23 lô B25 </w:t>
            </w:r>
            <w:r>
              <w:rPr>
                <w:color w:val="000000" w:themeColor="text1"/>
                <w:sz w:val="22"/>
                <w:szCs w:val="22"/>
              </w:rPr>
              <w:t xml:space="preserve">khu LIDECO, nhìn ra khu chung cư Phường Cao Xanh, tỉnh Quảng Ninh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Ô đất số 13 lô B26 khu LIDECO, Phường Cao Xanh, tỉnh Quảng Ninh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Ô đất số 22 lô B24 khu Lideco, </w:t>
            </w:r>
            <w:r>
              <w:rPr>
                <w:color w:val="000000" w:themeColor="text1"/>
                <w:sz w:val="22"/>
                <w:szCs w:val="22"/>
              </w:rPr>
              <w:t xml:space="preserve"> nhìn ra khu chung cư</w:t>
            </w:r>
            <w:r>
              <w:rPr>
                <w:color w:val="000000" w:themeColor="text1"/>
                <w:sz w:val="22"/>
                <w:szCs w:val="22"/>
              </w:rPr>
              <w:t xml:space="preserve">, Phường Cao Xanh, tỉnh Quảng Ninh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Ô đất số 2 lô B30 khu Lideco, phường Cao Xanh, tỉnh Quảng Ninh</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2.520.000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39.376.000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38.520.000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39.376.000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38.520.000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39.376.000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38.520.000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37.536.000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38.520.000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37.536.000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38.520.000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37.536.000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38.520.000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37.536.000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38.520.000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37.536.000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38.520.000</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37.536.000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44.800.000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38.520.000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40.285.333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11,21%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-4,38%</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4.416.000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2.520.000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736.000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2.520.000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-6,82</w:t>
      </w:r>
      <w:r>
        <w:t xml:space="preserve">% </w:t>
      </w:r>
      <w:r>
        <w:t xml:space="preserve">đến</w:t>
      </w:r>
      <w:r>
        <w:t xml:space="preserve"> </w:t>
      </w:r>
      <w:r>
        <w:t xml:space="preserve"> </w:t>
      </w:r>
      <w:r>
        <w:t xml:space="preserve">11,21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37.536.000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12.514.502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44.800.000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14.931.840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38.520.000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12.838.716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40.285.058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40.000.000</w:t>
      </w:r>
      <w:r>
        <w:rPr>
          <w:b/>
          <w:bCs/>
          <w:color w:val="000000" w:themeColor="text1"/>
        </w:rPr>
        <w:t xml:space="preserve"> </w:t>
      </w:r>
      <w:r>
        <w:rPr>
          <w:b/>
          <w:bCs/>
        </w:rPr>
        <w:t xml:space="preserve">đồng</w:t>
      </w:r>
      <w:r>
        <w:rPr>
          <w:b/>
          <w:bCs/>
        </w:rPr>
        <w:t xml:space="preserve">/m².</w:t>
      </w:r>
      <w:r>
        <w:rPr>
          <w:b/>
          <w:bCs/>
        </w:rPr>
      </w:r>
      <w:r>
        <w:rPr>
          <w:b/>
          <w:bCs/>
        </w:rPr>
      </w:r>
      <w:r>
        <w:rPr>
          <w:b/>
          <w:lang w:val="pt-BR"/>
        </w:rPr>
      </w:r>
      <w:r>
        <w:rPr>
          <w:b/>
          <w:lang w:val="pt-BR"/>
        </w:rPr>
      </w:r>
      <w:r>
        <w:rPr>
          <w:b/>
          <w:lang w:val="pt-BR"/>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2186"/>
        <w:gridCol w:w="2207"/>
        <w:gridCol w:w="2551"/>
        <w:gridCol w:w="1985"/>
      </w:tblGrid>
      <w:tr>
        <w:trPr>
          <w:trHeight w:val="0"/>
        </w:trPr>
        <w:tc>
          <w:tcPr>
            <w:shd w:val="clear" w:color="000000" w:fill="ffffff"/>
            <w:tcBorders/>
            <w:tcW w:w="595" w:type="dxa"/>
            <w:vAlign w:val="center"/>
            <w:textDirection w:val="lrTb"/>
            <w:noWrap w:val="false"/>
          </w:tcPr>
          <w:p>
            <w:pPr>
              <w:pBdr/>
              <w:spacing w:after="40" w:before="40" w:line="240" w:lineRule="auto"/>
              <w:ind/>
              <w:jc w:val="center"/>
              <w:rPr>
                <w:b/>
                <w:bCs/>
              </w:rPr>
            </w:pPr>
            <w:r>
              <w:rPr>
                <w:b/>
                <w:bCs/>
              </w:rPr>
              <w:t xml:space="preserve">TT</w:t>
            </w:r>
            <w:r>
              <w:rPr>
                <w:b/>
                <w:bCs/>
              </w:rPr>
            </w:r>
            <w:r>
              <w:rPr>
                <w:b/>
                <w:bCs/>
              </w:rPr>
            </w:r>
          </w:p>
        </w:tc>
        <w:tc>
          <w:tcPr>
            <w:shd w:val="clear" w:color="000000" w:fill="ffffff"/>
            <w:tcBorders/>
            <w:tcW w:w="2186" w:type="dxa"/>
            <w:vAlign w:val="center"/>
            <w:textDirection w:val="lrTb"/>
            <w:noWrap w:val="false"/>
          </w:tcPr>
          <w:p>
            <w:pPr>
              <w:pBdr/>
              <w:spacing w:after="40" w:before="40" w:line="240"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2207" w:type="dxa"/>
            <w:vAlign w:val="center"/>
            <w:textDirection w:val="lrTb"/>
            <w:noWrap w:val="false"/>
          </w:tcPr>
          <w:p>
            <w:pPr>
              <w:pBdr/>
              <w:spacing w:after="40" w:before="40" w:line="240"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51" w:type="dxa"/>
            <w:vAlign w:val="center"/>
            <w:textDirection w:val="lrTb"/>
            <w:noWrap w:val="false"/>
          </w:tcPr>
          <w:p>
            <w:pPr>
              <w:pBdr/>
              <w:spacing w:after="40" w:before="40" w:line="240"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985" w:type="dxa"/>
            <w:vAlign w:val="center"/>
            <w:textDirection w:val="lrTb"/>
            <w:noWrap w:val="false"/>
          </w:tcPr>
          <w:p>
            <w:pPr>
              <w:pBdr/>
              <w:spacing w:after="40" w:before="40" w:line="240"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0"/>
        </w:trPr>
        <w:tc>
          <w:tcPr>
            <w:shd w:val="clear" w:color="000000" w:fill="ffffff"/>
            <w:tcBorders/>
            <w:tcW w:w="595" w:type="dxa"/>
            <w:vAlign w:val="center"/>
            <w:textDirection w:val="lrTb"/>
            <w:noWrap w:val="false"/>
          </w:tcPr>
          <w:p>
            <w:pPr>
              <w:pBdr/>
              <w:spacing w:after="40" w:before="40" w:line="240" w:lineRule="auto"/>
              <w:ind/>
              <w:jc w:val="center"/>
              <w:rPr>
                <w:b/>
                <w:bCs/>
              </w:rPr>
            </w:pPr>
            <w:r>
              <w:rPr>
                <w:b/>
                <w:bCs/>
              </w:rPr>
              <w:t xml:space="preserve"> </w:t>
            </w:r>
            <w:r>
              <w:rPr>
                <w:b/>
                <w:bCs/>
              </w:rPr>
            </w:r>
            <w:r>
              <w:rPr>
                <w:b/>
                <w:bCs/>
              </w:rPr>
            </w:r>
          </w:p>
        </w:tc>
        <w:tc>
          <w:tcPr>
            <w:gridSpan w:val="3"/>
            <w:shd w:val="clear" w:color="000000" w:fill="ffffff"/>
            <w:tcBorders/>
            <w:tcW w:w="6945" w:type="dxa"/>
            <w:vAlign w:val="center"/>
            <w:textDirection w:val="lrTb"/>
            <w:noWrap w:val="false"/>
          </w:tcPr>
          <w:p>
            <w:pPr>
              <w:pBdr/>
              <w:spacing w:after="40" w:before="40" w:line="240" w:lineRule="auto"/>
              <w:ind/>
              <w:jc w:val="both"/>
              <w:rPr>
                <w:b/>
                <w:bCs/>
              </w:rPr>
            </w:pPr>
            <w:r>
              <w:rPr>
                <w:color w:val="000000"/>
              </w:rPr>
              <w:t xml:space="preserve">Quyền sử dụng đất tại thửa đ</w:t>
            </w:r>
            <w:r>
              <w:rPr>
                <w:color w:val="000000"/>
              </w:rPr>
              <w:t xml:space="preserve">ất số: 322, tờ bản đồ số 98 có địa chỉ: Ô đất số 23 lô B25 thuộc điều chỉnh Quy hoạch chi tiết tỷ lệ 1/500 khu đô thị tại phường Cao Thắng, Hà Khánh và Hà Lầm thành phố Hạ Long, Phường Hà Khánh, Thành phố Hạ Long, Quảng Ninh (Nay là Phường Cao Xanh, tỉnh Q</w:t>
            </w:r>
            <w:r>
              <w:rPr>
                <w:color w:val="000000"/>
              </w:rPr>
              <w:t xml:space="preserve">uảng Ninh) theo Giấy chứng nhận quyền sử dụng đất quyền sở hữu nhà ở và tài sản khác gắn liền với đất số: DD 067681, số vào sổ cấp GCN: CH87755 do Ủy ban Nhân dân thành phố Hạ Long cấp ngày 04/07/2024; Chủ sử dụng đất là Ông Vũ Ngọc Tuấn và vợ Lê Thị Ngoan</w:t>
            </w:r>
            <w:r>
              <w:rPr>
                <w:b/>
                <w:bCs/>
              </w:rPr>
              <w:t xml:space="preserve">.</w:t>
            </w:r>
            <w:r>
              <w:rPr>
                <w:b/>
                <w:bCs/>
              </w:rPr>
            </w:r>
            <w:r>
              <w:rPr>
                <w:b/>
                <w:bCs/>
              </w:rPr>
            </w:r>
          </w:p>
        </w:tc>
        <w:tc>
          <w:tcPr>
            <w:shd w:val="clear" w:color="000000" w:fill="ffffff"/>
            <w:tcBorders/>
            <w:tcW w:w="1985" w:type="dxa"/>
            <w:vAlign w:val="center"/>
            <w:textDirection w:val="lrTb"/>
            <w:noWrap w:val="false"/>
          </w:tcPr>
          <w:p>
            <w:pPr>
              <w:pBdr/>
              <w:spacing w:after="40" w:before="40" w:line="240" w:lineRule="auto"/>
              <w:ind/>
              <w:jc w:val="right"/>
              <w:rPr>
                <w:b/>
                <w:bCs/>
              </w:rPr>
            </w:pPr>
            <w:r>
              <w:rPr>
                <w:b/>
                <w:bCs/>
              </w:rPr>
              <w:t xml:space="preserve"> </w:t>
            </w:r>
            <w:r>
              <w:rPr>
                <w:b/>
                <w:bCs/>
              </w:rPr>
            </w:r>
            <w:r>
              <w:rPr>
                <w:b/>
                <w:bCs/>
              </w:rPr>
            </w:r>
          </w:p>
        </w:tc>
      </w:tr>
      <w:tr>
        <w:trPr>
          <w:trHeight w:val="0"/>
        </w:trPr>
        <w:tc>
          <w:tcPr>
            <w:shd w:val="clear" w:color="000000" w:fill="ffffff"/>
            <w:tcBorders/>
            <w:tcW w:w="595" w:type="dxa"/>
            <w:vAlign w:val="center"/>
            <w:textDirection w:val="lrTb"/>
            <w:noWrap w:val="false"/>
          </w:tcPr>
          <w:p>
            <w:pPr>
              <w:pBdr/>
              <w:spacing w:after="40" w:before="40" w:line="240" w:lineRule="auto"/>
              <w:ind/>
              <w:jc w:val="center"/>
              <w:rPr/>
            </w:pPr>
            <w:r>
              <w:rPr>
                <w:b/>
                <w:bCs/>
              </w:rPr>
              <w:t xml:space="preserve">1</w:t>
            </w:r>
            <w:r/>
          </w:p>
        </w:tc>
        <w:tc>
          <w:tcPr>
            <w:shd w:val="clear" w:color="000000" w:fill="ffffff"/>
            <w:tcBorders/>
            <w:tcW w:w="2186" w:type="dxa"/>
            <w:vAlign w:val="center"/>
            <w:textDirection w:val="lrTb"/>
            <w:noWrap w:val="false"/>
          </w:tcPr>
          <w:p>
            <w:pPr>
              <w:pBdr/>
              <w:spacing w:after="40" w:before="40" w:line="240" w:lineRule="auto"/>
              <w:ind/>
              <w:rPr/>
            </w:pPr>
            <w:r>
              <w:rPr>
                <w:b/>
                <w:bCs/>
              </w:rPr>
              <w:t xml:space="preserve">Quyền sử dụng đất</w:t>
            </w:r>
            <w:r/>
          </w:p>
        </w:tc>
        <w:tc>
          <w:tcPr>
            <w:tcBorders/>
            <w:tcW w:w="2207" w:type="dxa"/>
            <w:vAlign w:val="center"/>
            <w:textDirection w:val="lrTb"/>
            <w:noWrap/>
          </w:tcPr>
          <w:p>
            <w:pPr>
              <w:pBdr/>
              <w:spacing w:after="40" w:before="40" w:line="240"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2551" w:type="dxa"/>
            <w:vAlign w:val="center"/>
            <w:textDirection w:val="lrTb"/>
            <w:noWrap w:val="false"/>
          </w:tcPr>
          <w:p>
            <w:pPr>
              <w:pBdr/>
              <w:spacing w:after="40" w:before="40" w:line="240" w:lineRule="auto"/>
              <w:ind/>
              <w:jc w:val="center"/>
              <w:rPr/>
            </w:pPr>
            <w:r>
              <w:rPr>
                <w:color w:val="000000" w:themeColor="text1"/>
              </w:rPr>
              <w:t xml:space="preserve">40.000.000</w:t>
            </w:r>
            <w:r/>
          </w:p>
        </w:tc>
        <w:tc>
          <w:tcPr>
            <w:shd w:val="clear" w:color="000000" w:fill="ffffff"/>
            <w:tcBorders/>
            <w:tcW w:w="1985" w:type="dxa"/>
            <w:vAlign w:val="center"/>
            <w:textDirection w:val="lrTb"/>
            <w:noWrap w:val="false"/>
          </w:tcPr>
          <w:p>
            <w:pPr>
              <w:pBdr/>
              <w:spacing w:after="40" w:before="40" w:line="240" w:lineRule="auto"/>
              <w:ind/>
              <w:jc w:val="center"/>
              <w:rPr/>
            </w:pPr>
            <w:r>
              <w:rPr>
                <w:color w:val="000000" w:themeColor="text1"/>
              </w:rPr>
              <w:t xml:space="preserve">3.600.000.000</w:t>
            </w:r>
            <w:r/>
          </w:p>
        </w:tc>
      </w:tr>
      <w:tr>
        <w:trPr>
          <w:trHeight w:val="0"/>
        </w:trPr>
        <w:tc>
          <w:tcPr>
            <w:gridSpan w:val="4"/>
            <w:tcBorders/>
            <w:tcW w:w="7540" w:type="dxa"/>
            <w:vAlign w:val="center"/>
            <w:textDirection w:val="lrTb"/>
            <w:noWrap/>
          </w:tcPr>
          <w:p>
            <w:pPr>
              <w:pBdr/>
              <w:spacing w:after="40" w:before="40" w:line="240" w:lineRule="auto"/>
              <w:ind/>
              <w:jc w:val="center"/>
              <w:rPr>
                <w:b/>
                <w:bCs/>
                <w:color w:val="000000"/>
              </w:rPr>
            </w:pPr>
            <w:r>
              <w:rPr>
                <w:b/>
                <w:bCs/>
                <w:color w:val="000000"/>
              </w:rPr>
              <w:t xml:space="preserve">TỔNG CỘNG</w:t>
            </w:r>
            <w:r>
              <w:rPr>
                <w:b/>
                <w:bCs/>
                <w:color w:val="000000"/>
              </w:rPr>
            </w:r>
            <w:r>
              <w:rPr>
                <w:b/>
                <w:bCs/>
                <w:color w:val="000000"/>
              </w:rPr>
            </w:r>
          </w:p>
        </w:tc>
        <w:tc>
          <w:tcPr>
            <w:tcBorders/>
            <w:tcW w:w="1985" w:type="dxa"/>
            <w:vAlign w:val="center"/>
            <w:textDirection w:val="lrTb"/>
            <w:noWrap/>
          </w:tcPr>
          <w:p>
            <w:pPr>
              <w:pBdr/>
              <w:spacing w:after="40" w:before="40" w:line="240" w:lineRule="auto"/>
              <w:ind/>
              <w:jc w:val="center"/>
              <w:rPr>
                <w:b/>
                <w:bCs/>
                <w:color w:val="000000"/>
              </w:rPr>
            </w:pPr>
            <w:r>
              <w:t xml:space="preserve">3.600.000.000</w:t>
            </w:r>
            <w:r>
              <w:rPr>
                <w:b/>
                <w:bCs/>
                <w:color w:val="000000"/>
              </w:rPr>
            </w:r>
            <w:r>
              <w:rPr>
                <w:b/>
                <w:bCs/>
                <w:color w:val="000000"/>
              </w:rPr>
            </w:r>
          </w:p>
        </w:tc>
      </w:tr>
      <w:tr>
        <w:trPr>
          <w:trHeight w:val="0"/>
        </w:trPr>
        <w:tc>
          <w:tcPr>
            <w:gridSpan w:val="4"/>
            <w:tcBorders/>
            <w:tcW w:w="7540" w:type="dxa"/>
            <w:vAlign w:val="center"/>
            <w:textDirection w:val="lrTb"/>
            <w:noWrap/>
          </w:tcPr>
          <w:p>
            <w:pPr>
              <w:pBdr/>
              <w:spacing w:after="40" w:before="40" w:line="240" w:lineRule="auto"/>
              <w:ind/>
              <w:jc w:val="center"/>
              <w:rPr>
                <w:b/>
                <w:bCs/>
                <w:color w:val="000000"/>
              </w:rPr>
            </w:pPr>
            <w:r>
              <w:rPr>
                <w:b/>
                <w:bCs/>
                <w:color w:val="000000"/>
              </w:rPr>
              <w:t xml:space="preserve">LÀM TRÒN</w:t>
            </w:r>
            <w:r>
              <w:rPr>
                <w:b/>
                <w:bCs/>
                <w:color w:val="000000"/>
              </w:rPr>
            </w:r>
            <w:r>
              <w:rPr>
                <w:b/>
                <w:bCs/>
                <w:color w:val="000000"/>
              </w:rPr>
            </w:r>
          </w:p>
        </w:tc>
        <w:tc>
          <w:tcPr>
            <w:tcBorders/>
            <w:tcW w:w="1985" w:type="dxa"/>
            <w:vAlign w:val="center"/>
            <w:textDirection w:val="lrTb"/>
            <w:noWrap/>
          </w:tcPr>
          <w:p>
            <w:pPr>
              <w:pBdr/>
              <w:spacing w:after="40" w:before="40" w:line="240" w:lineRule="auto"/>
              <w:ind/>
              <w:jc w:val="center"/>
              <w:rPr>
                <w:b/>
                <w:bCs/>
                <w:color w:val="000000"/>
              </w:rPr>
            </w:pPr>
            <w:r>
              <w:rPr>
                <w:b/>
                <w:bCs/>
                <w:color w:val="000000"/>
              </w:rPr>
              <w:t xml:space="preserve">3.600.000.000</w:t>
            </w:r>
            <w:r>
              <w:rPr>
                <w:b/>
                <w:bCs/>
                <w:color w:val="000000"/>
              </w:rPr>
            </w:r>
            <w:r>
              <w:rPr>
                <w:b/>
                <w:bCs/>
                <w:color w:val="000000"/>
              </w:rPr>
            </w:r>
          </w:p>
        </w:tc>
      </w:tr>
      <w:tr>
        <w:trPr>
          <w:trHeight w:val="0"/>
        </w:trPr>
        <w:tc>
          <w:tcPr>
            <w:gridSpan w:val="5"/>
            <w:tcBorders/>
            <w:tcW w:w="9525" w:type="dxa"/>
            <w:vAlign w:val="center"/>
            <w:textDirection w:val="lrTb"/>
            <w:noWrap w:val="false"/>
          </w:tcPr>
          <w:p>
            <w:pPr>
              <w:pBdr/>
              <w:spacing w:after="40" w:before="40" w:line="240"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sáu trăm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bCs/>
          <w:lang w:val="pt-BR"/>
        </w:rPr>
      </w:pPr>
      <w:r>
        <w:rPr>
          <w:b/>
          <w:bCs/>
          <w:highlight w:val="none"/>
          <w:lang w:val="pt-BR"/>
        </w:rPr>
      </w:r>
      <w:r>
        <w:rPr>
          <w:b/>
          <w:bCs/>
          <w:highlight w:val="none"/>
          <w:lang w:val="pt-BR"/>
        </w:rPr>
      </w:r>
      <w:r>
        <w:rPr>
          <w:b/>
          <w:bCs/>
          <w:highlight w:val="none"/>
          <w:lang w:val="pt-BR"/>
        </w:rPr>
      </w:r>
    </w:p>
    <w:p>
      <w:pPr>
        <w:pStyle w:val="1025"/>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275/2026/0453/VFI-CT.39.A</w:t>
      </w:r>
      <w:r>
        <w:rPr>
          <w:color w:val="ff0000"/>
          <w:lang w:val="vi-VN"/>
        </w:rPr>
        <w:t xml:space="preserve"> </w:t>
      </w:r>
      <w:r>
        <w:rPr>
          <w:color w:val="000000" w:themeColor="text1"/>
        </w:rPr>
        <w:t xml:space="preserve">ngày 24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275/2026/0453/VFI-BC.39.A</w:t>
      </w:r>
      <w:r>
        <w:rPr>
          <w:i/>
          <w:lang w:val="pt-BR"/>
        </w:rPr>
        <w:t xml:space="preserve"> </w:t>
      </w:r>
      <w:r>
        <w:rPr>
          <w:i/>
          <w:lang w:val="pt-BR"/>
        </w:rPr>
        <w:t xml:space="preserve">24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773936" cy="167404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415" name=""/>
                              <pic:cNvPicPr>
                                <a:picLocks noChangeAspect="1"/>
                              </pic:cNvPicPr>
                              <pic:nvPr/>
                            </pic:nvPicPr>
                            <pic:blipFill rotWithShape="1">
                              <a:blip r:embed="rId18"/>
                              <a:stretch/>
                            </pic:blipFill>
                            <pic:spPr bwMode="auto">
                              <a:xfrm flipH="0" flipV="0">
                                <a:off x="0" y="0"/>
                                <a:ext cx="773935" cy="16740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60.94pt;height:131.8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615560" cy="196167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343449" name=""/>
                              <pic:cNvPicPr>
                                <a:picLocks noChangeAspect="1"/>
                              </pic:cNvPicPr>
                              <pic:nvPr/>
                            </pic:nvPicPr>
                            <pic:blipFill rotWithShape="1">
                              <a:blip r:embed="rId19"/>
                              <a:stretch/>
                            </pic:blipFill>
                            <pic:spPr bwMode="auto">
                              <a:xfrm flipH="0" flipV="0">
                                <a:off x="0" y="0"/>
                                <a:ext cx="2615560" cy="19616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5.95pt;height:154.4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777485" cy="236997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67365" name=""/>
                              <pic:cNvPicPr>
                                <a:picLocks noChangeAspect="1"/>
                              </pic:cNvPicPr>
                              <pic:nvPr/>
                            </pic:nvPicPr>
                            <pic:blipFill rotWithShape="1">
                              <a:blip r:embed="rId20"/>
                              <a:stretch/>
                            </pic:blipFill>
                            <pic:spPr bwMode="auto">
                              <a:xfrm flipH="0" flipV="0">
                                <a:off x="0" y="0"/>
                                <a:ext cx="1777484" cy="23699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39.96pt;height:186.6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668363" cy="200127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388121" name=""/>
                              <pic:cNvPicPr>
                                <a:picLocks noChangeAspect="1"/>
                              </pic:cNvPicPr>
                              <pic:nvPr/>
                            </pic:nvPicPr>
                            <pic:blipFill rotWithShape="1">
                              <a:blip r:embed="rId21"/>
                              <a:stretch/>
                            </pic:blipFill>
                            <pic:spPr bwMode="auto">
                              <a:xfrm flipH="0" flipV="0">
                                <a:off x="0" y="0"/>
                                <a:ext cx="2668363" cy="20012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0.11pt;height:157.5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93280" cy="209496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959722" name=""/>
                              <pic:cNvPicPr>
                                <a:picLocks noChangeAspect="1"/>
                              </pic:cNvPicPr>
                              <pic:nvPr/>
                            </pic:nvPicPr>
                            <pic:blipFill rotWithShape="1">
                              <a:blip r:embed="rId22"/>
                              <a:stretch/>
                            </pic:blipFill>
                            <pic:spPr bwMode="auto">
                              <a:xfrm flipH="0" flipV="0">
                                <a:off x="0" y="0"/>
                                <a:ext cx="2793279" cy="20949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94pt;height:164.9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555119" cy="207349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669850" name=""/>
                              <pic:cNvPicPr>
                                <a:picLocks noChangeAspect="1"/>
                              </pic:cNvPicPr>
                              <pic:nvPr/>
                            </pic:nvPicPr>
                            <pic:blipFill rotWithShape="1">
                              <a:blip r:embed="rId23"/>
                              <a:stretch/>
                            </pic:blipFill>
                            <pic:spPr bwMode="auto">
                              <a:xfrm flipH="0" flipV="0">
                                <a:off x="0" y="0"/>
                                <a:ext cx="1555118" cy="20734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22.45pt;height:163.27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275/2026/0453/VFI-BC.39.A</w:t>
      </w:r>
      <w:r>
        <w:rPr>
          <w:i/>
          <w:lang w:val="pt-BR"/>
        </w:rPr>
        <w:t xml:space="preserve"> </w:t>
      </w:r>
      <w:r>
        <w:rPr>
          <w:i/>
          <w:lang w:val="pt-BR"/>
        </w:rPr>
        <w:t xml:space="preserve">24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https://www.facebook.com/groups/949288781881341/permalink/4103211463155708/</w:t>
            </w:r>
            <w:r>
              <w:rPr>
                <w:color w:val="000000" w:themeColor="text1"/>
                <w:sz w:val="22"/>
                <w:szCs w:val="22"/>
              </w:rPr>
              <w:br/>
              <w:t xml:space="preserve">0389315688</w:t>
            </w:r>
            <w:r>
              <w:rPr>
                <w:sz w:val="22"/>
                <w:szCs w:val="22"/>
              </w:rPr>
              <w:t xml:space="preserve"> </w:t>
            </w:r>
            <w:r>
              <w:rPr>
                <w:sz w:val="22"/>
                <w:szCs w:val="22"/>
              </w:rPr>
              <w:br/>
              <w:t xml:space="preserve">(Thu Thủy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Ô đất số 13 lô B26 khu LIDECO, Phường Cao Xanh, tỉnh Quảng Ninh</w:t>
            </w:r>
            <w:r>
              <w:rPr>
                <w:color w:val="000000"/>
                <w:sz w:val="22"/>
                <w:szCs w:val="22"/>
              </w:rPr>
            </w:r>
            <w:r>
              <w:rPr>
                <w:color w:val="000000"/>
                <w:sz w:val="22"/>
                <w:szCs w:val="22"/>
              </w:rPr>
            </w:r>
            <w:r>
              <w:rPr>
                <w:color w:val="000000" w:themeColor="text1"/>
                <w:sz w:val="22"/>
                <w:szCs w:val="22"/>
              </w:rPr>
            </w:r>
            <w:r>
              <w:rPr>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68890" cy="253348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2368890" cy="25334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6.53pt;height:199.49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94026" cy="24765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994026" cy="24764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5.75pt;height:195.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216615" cy="188858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3216614" cy="18885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53.28pt;height:148.71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216615" cy="16002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1011208832" name="" descr=""/>
                              <pic:cNvPicPr/>
                              <pic:nvPr/>
                            </pic:nvPicPr>
                            <pic:blipFill rotWithShape="1">
                              <a:blip r:embed="rId27"/>
                              <a:stretch/>
                            </pic:blipFill>
                            <pic:spPr bwMode="auto">
                              <a:xfrm flipH="0" flipV="0">
                                <a:off x="0" y="0"/>
                                <a:ext cx="3216614" cy="16002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53.28pt;height:126.00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0389315688</w:t>
            </w:r>
            <w:r>
              <w:rPr>
                <w:sz w:val="22"/>
                <w:szCs w:val="22"/>
              </w:rPr>
              <w:t xml:space="preserve"> </w:t>
            </w:r>
            <w:r>
              <w:rPr>
                <w:sz w:val="22"/>
                <w:szCs w:val="22"/>
              </w:rPr>
              <w:br/>
              <w:t xml:space="preserve">(Thu Thủy</w:t>
            </w:r>
            <w:r>
              <w:rPr>
                <w:sz w:val="22"/>
                <w:szCs w:val="22"/>
              </w:rPr>
              <w:t xml:space="preserve">)</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5.040.000.000</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4.032.000.000</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(90 m²)</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844"/>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Ô đất số 22 lô B24 khu Lideco, </w:t>
            </w:r>
            <w:r>
              <w:rPr>
                <w:color w:val="000000" w:themeColor="text1"/>
                <w:sz w:val="22"/>
                <w:szCs w:val="22"/>
              </w:rPr>
              <w:t xml:space="preserve"> nhìn ra khu chung cư</w:t>
            </w:r>
            <w:r>
              <w:rPr>
                <w:color w:val="000000" w:themeColor="text1"/>
                <w:sz w:val="22"/>
                <w:szCs w:val="22"/>
              </w:rPr>
              <w:t xml:space="preserve">, Phường Cao Xanh, tỉnh Quảng Ninh</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3661"/>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149940" cy="2205728"/>
                      <wp:effectExtent l="0" t="0" r="0" b="0"/>
                      <wp:docPr id="16" name=""/>
                      <wp:cNvGraphicFramePr/>
                      <a:graphic xmlns:a="http://schemas.openxmlformats.org/drawingml/2006/main">
                        <a:graphicData uri="http://schemas.openxmlformats.org/drawingml/2006/picture">
                          <pic:pic xmlns:pic="http://schemas.openxmlformats.org/drawingml/2006/picture">
                            <pic:nvPicPr>
                              <pic:cNvPr id="495952771" name="" descr=""/>
                              <pic:cNvPicPr/>
                              <pic:nvPr/>
                            </pic:nvPicPr>
                            <pic:blipFill rotWithShape="1">
                              <a:blip r:embed="rId28"/>
                              <a:stretch/>
                            </pic:blipFill>
                            <pic:spPr bwMode="auto">
                              <a:xfrm flipH="0" flipV="0">
                                <a:off x="0" y="0"/>
                                <a:ext cx="3149939" cy="22057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48.03pt;height:173.68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130303" cy="2434328"/>
                      <wp:effectExtent l="0" t="0" r="0" b="0"/>
                      <wp:docPr id="17" name=""/>
                      <wp:cNvGraphicFramePr/>
                      <a:graphic xmlns:a="http://schemas.openxmlformats.org/drawingml/2006/main">
                        <a:graphicData uri="http://schemas.openxmlformats.org/drawingml/2006/picture">
                          <pic:pic xmlns:pic="http://schemas.openxmlformats.org/drawingml/2006/picture">
                            <pic:nvPicPr>
                              <pic:cNvPr id="2131972686" name="" descr=""/>
                              <pic:cNvPicPr/>
                              <pic:nvPr/>
                            </pic:nvPicPr>
                            <pic:blipFill rotWithShape="1">
                              <a:blip r:embed="rId29"/>
                              <a:stretch/>
                            </pic:blipFill>
                            <pic:spPr bwMode="auto">
                              <a:xfrm rot="0" flipH="0" flipV="0">
                                <a:off x="0" y="0"/>
                                <a:ext cx="1130303" cy="24343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89.00pt;height:191.68pt;mso-wrap-distance-left:0.00pt;mso-wrap-distance-top:0.00pt;mso-wrap-distance-right:0.00pt;mso-wrap-distance-bottom:0.00pt;rotation:0;z-index:1;" stroked="false">
                      <v:imagedata r:id="rId29" o:title=""/>
                      <o:lock v:ext="edit" rotation="t"/>
                    </v:shape>
                  </w:pict>
                </mc:Fallback>
              </mc:AlternateContent>
            </w: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r>
              <w:rPr>
                <w:color w:val="000000"/>
                <w:sz w:val="22"/>
                <w:szCs w:val="22"/>
              </w:rPr>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r/>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0888766676</w:t>
            </w:r>
            <w:r>
              <w:rPr>
                <w:sz w:val="22"/>
                <w:szCs w:val="22"/>
              </w:rPr>
              <w:t xml:space="preserve"> </w:t>
            </w:r>
            <w:r>
              <w:rPr>
                <w:sz w:val="22"/>
                <w:szCs w:val="22"/>
              </w:rPr>
              <w:br/>
              <w:t xml:space="preserve">(Thành Đạt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Ô đất số 2 lô B30 khu Lideco, phường Cao Xanh, tỉnh Quảng Ninh</w:t>
            </w:r>
            <w:r>
              <w:rPr>
                <w:color w:val="000000"/>
                <w:sz w:val="22"/>
                <w:szCs w:val="22"/>
              </w:rPr>
            </w:r>
            <w:r>
              <w:rPr>
                <w:color w:val="000000"/>
                <w:sz w:val="22"/>
                <w:szCs w:val="22"/>
              </w:rPr>
            </w:r>
            <w:r>
              <w:rPr>
                <w:color w:val="000000" w:themeColor="text1"/>
                <w:sz w:val="22"/>
                <w:szCs w:val="22"/>
              </w:rPr>
            </w:r>
            <w:r>
              <w:rPr>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20691"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2206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74.86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214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794969654" name="" descr=""/>
                              <pic:cNvPicPr/>
                              <pic:nvPr/>
                            </pic:nvPicPr>
                            <pic:blipFill rotWithShape="1">
                              <a:blip r:embed="rId31"/>
                              <a:stretch/>
                            </pic:blipFill>
                            <pic:spPr bwMode="auto">
                              <a:xfrm rot="0" flipH="0" flipV="0">
                                <a:off x="0" y="0"/>
                                <a:ext cx="14621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5.13pt;height:250.00pt;mso-wrap-distance-left:0.00pt;mso-wrap-distance-top:0.00pt;mso-wrap-distance-right:0.00pt;mso-wrap-distance-bottom:0.00pt;rotation:0;z-index:1;" stroked="false">
                      <v:imagedata r:id="rId31" o:title=""/>
                      <o:lock v:ext="edit" rotation="t"/>
                    </v:shape>
                  </w:pict>
                </mc:Fallback>
              </mc:AlternateContent>
            </w: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578815" cy="2401276"/>
                      <wp:effectExtent l="0" t="0" r="0" b="0"/>
                      <wp:docPr id="20" name=""/>
                      <wp:cNvGraphicFramePr/>
                      <a:graphic xmlns:a="http://schemas.openxmlformats.org/drawingml/2006/main">
                        <a:graphicData uri="http://schemas.openxmlformats.org/drawingml/2006/picture">
                          <pic:pic xmlns:pic="http://schemas.openxmlformats.org/drawingml/2006/picture">
                            <pic:nvPicPr>
                              <pic:cNvPr id="1822729820" name="" descr=""/>
                              <pic:cNvPicPr/>
                              <pic:nvPr/>
                            </pic:nvPicPr>
                            <pic:blipFill rotWithShape="1">
                              <a:blip r:embed="rId32"/>
                              <a:stretch/>
                            </pic:blipFill>
                            <pic:spPr bwMode="auto">
                              <a:xfrm flipH="0" flipV="0">
                                <a:off x="0" y="0"/>
                                <a:ext cx="5578814" cy="240127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39.28pt;height:189.08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b/>
                <w:bCs/>
                <w:sz w:val="22"/>
                <w:szCs w:val="22"/>
              </w:rPr>
            </w:r>
            <w:r>
              <w:rPr>
                <w:color w:val="000000"/>
                <w:sz w:val="22"/>
                <w:szCs w:val="22"/>
              </w:rPr>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r/>
            <w:r>
              <w:rPr>
                <w:b/>
                <w:bCs/>
              </w:rPr>
            </w:r>
            <w:r>
              <w:rPr>
                <w:b/>
                <w:bCs/>
              </w:rPr>
            </w:r>
            <w:r>
              <w:rPr>
                <w:b/>
                <w:bCs/>
              </w:rPr>
            </w:r>
            <w:r/>
          </w:p>
        </w:tc>
      </w:tr>
    </w:tbl>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iCs/>
          <w:lang w:val="pt-BR"/>
        </w:rPr>
      </w:pPr>
      <w:r>
        <w:rPr>
          <w:iCs/>
          <w:lang w:val="pt-BR"/>
        </w:rPr>
        <mc:AlternateContent>
          <mc:Choice Requires="wpg">
            <w:drawing>
              <wp:inline xmlns:wp="http://schemas.openxmlformats.org/drawingml/2006/wordprocessingDrawing" distT="0" distB="0" distL="0" distR="0">
                <wp:extent cx="6048375" cy="8732128"/>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562644" name=""/>
                        <pic:cNvPicPr>
                          <a:picLocks noChangeAspect="1"/>
                        </pic:cNvPicPr>
                        <pic:nvPr/>
                      </pic:nvPicPr>
                      <pic:blipFill rotWithShape="1">
                        <a:blip r:embed="rId33"/>
                        <a:stretch/>
                      </pic:blipFill>
                      <pic:spPr bwMode="auto">
                        <a:xfrm>
                          <a:off x="0" y="0"/>
                          <a:ext cx="6048374" cy="87321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87.57pt;mso-wrap-distance-left:0.00pt;mso-wrap-distance-top:0.00pt;mso-wrap-distance-right:0.00pt;mso-wrap-distance-bottom:0.00pt;z-index:1;" stroked="false">
                <v:imagedata r:id="rId33" o:title=""/>
                <o:lock v:ext="edit" rotation="t"/>
              </v:shape>
            </w:pict>
          </mc:Fallback>
        </mc:AlternateContent>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273</cp:revision>
  <dcterms:created xsi:type="dcterms:W3CDTF">2025-09-15T09:58:00Z</dcterms:created>
  <dcterms:modified xsi:type="dcterms:W3CDTF">2026-03-24T08:33:21Z</dcterms:modified>
</cp:coreProperties>
</file>