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rPr>
      </w:r>
      <w:r>
        <w:rPr>
          <w:b/>
          <w:sz w:val="28"/>
        </w:rPr>
      </w:r>
      <w:r>
        <w:rPr>
          <w:b/>
          <w:sz w:val="28"/>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96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96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143, tờ bản đồ số: 09, có địa chỉ: Xã Thanh Đa, huyện Phúc Thọ, thành phố Hà Nội (nay là Xã Phúc Lộc, thà</w:t>
                            </w:r>
                            <w:r>
                              <w:rPr>
                                <w:color w:val="000000"/>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275/2026/0416/VFI-CT.63.A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Hoàng Văn Hanh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143, tờ bản đồ số: 09, có địa chỉ: Xã Thanh Đa, huyện Phúc Thọ, thành phố Hà Nội (nay là Xã Phúc Lộc, thà</w:t>
                      </w:r>
                      <w:r>
                        <w:rPr>
                          <w:color w:val="000000"/>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275/2026/0416/VFI-CT.63.A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275/2026/0416/VFI-HĐTĐ.63.A</w:t>
      </w:r>
      <w:r>
        <w:rPr>
          <w:spacing w:val="-4"/>
          <w:lang w:val="vi-VN"/>
        </w:rPr>
        <w:t xml:space="preserve"> ký ngày </w:t>
      </w:r>
      <w:r>
        <w:rPr>
          <w:color w:val="000000" w:themeColor="text1"/>
          <w:spacing w:val="-4"/>
        </w:rPr>
        <w:t xml:space="preserve">16 tháng 3 năm 2026</w:t>
      </w:r>
      <w:r>
        <w:rPr>
          <w:spacing w:val="-4"/>
          <w:lang w:val="vi-VN"/>
        </w:rPr>
        <w:t xml:space="preserve"> </w:t>
      </w:r>
      <w:r>
        <w:rPr>
          <w:spacing w:val="-4"/>
          <w:lang w:val="vi-VN"/>
        </w:rPr>
        <w:t xml:space="preserve">giữa </w:t>
      </w:r>
      <w:r>
        <w:rPr>
          <w:color w:val="000000" w:themeColor="text1"/>
          <w:spacing w:val="-4"/>
        </w:rPr>
        <w:t xml:space="preserve">Ông Hoàng Văn Hanh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275/2026/0416/VFI-BC.63.A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HOÀNG VĂN HANH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001087037588</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143, tờ bản đồ số: 09, có địa chỉ: Xã Thanh Đa, huyện Phúc Thọ, thành phố Hà Nội (nay là Xã Phúc Lộc, thà</w:t>
      </w:r>
      <w:r>
        <w:rPr>
          <w:color w:val="000000" w:themeColor="text1"/>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143, tờ bản đồ số: 09, có địa chỉ: Xã Thanh Đa, huyện Phúc Thọ, thành phố Hà Nội (nay là Xã Phúc Lộc, thà</w:t>
            </w:r>
            <w:r>
              <w:rPr>
                <w:color w:val="000000"/>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199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7.960.000.000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7.960.000.000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chín trăm sáu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275/2026/0416/VFI-BC.63.A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18 tháng 3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275/2026/0416/VFI-CT.63.A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HOÀNG VĂN HANH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001087037588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143, tờ bản đồ số: 09, có địa chỉ: Xã Thanh Đa, huyện Phúc Thọ, thành phố Hà Nội (nay là Xã Phúc Lộc, thà</w:t>
            </w:r>
            <w:r>
              <w:rPr>
                <w:bCs/>
                <w:color w:val="000000" w:themeColor="text1"/>
                <w:lang w:val="pt-BR"/>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Thanh Đa, huyện Phúc Thọ, thành phố Hà Nội (nay là Xã Phúc Lộc,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21.111055555556, 105.63244444444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275/2026/0416/VFI-HĐTĐ.63.A ngày 16/03/2026 giữa Nguyễn Thế Hoà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Trong giai đoạn 2025–2026, nhiều công trình hạ tầ</w:t>
      </w:r>
      <w:r>
        <w:rPr>
          <w:shd w:val="clear" w:color="auto" w:fill="ffffff"/>
        </w:rPr>
        <w:t xml:space="preserve">ng chiến lược được khởi động đồng loạt, góp phần hình thành mạng lưới giao thông liên kết chặt chẽ giữa Phúc Thọ với trung tâm Hà Nội và các đô thị vệ tinh như Sơn Tây, Hòa Lạc, Hoài Đức. Nổi bật trong số đó là các cây cầu và tuyến đường quan trọng như cầu</w:t>
      </w:r>
      <w:r>
        <w:rPr>
          <w:shd w:val="clear" w:color="auto" w:fill="ffffff"/>
        </w:rPr>
        <w:t xml:space="preserve"> Vân Phúc, cầu Thượng Cát, cùng các tuyến vành đai và đại lộ lớn. Những dự án này giúp rút ngắn thời gian di chuyển, tăng khả năng kết nối vùng và thúc đẩy giao thương.</w:t>
        <w:br/>
        <w:br/>
        <w:t xml:space="preserve">Đặc biệt, sự xuất hiện của “tam giác giao thông” mới gồm Phúc Thọ – Đan Phượng – Bắc T</w:t>
      </w:r>
      <w:r>
        <w:rPr>
          <w:shd w:val="clear" w:color="auto" w:fill="ffffff"/>
        </w:rPr>
        <w:t xml:space="preserve">ừ Liêm – Đông Anh được kỳ vọng sẽ tạo cú hích cho khu vực phía Tây Bắc Hà Nội. Bên cạnh đó, các dự án như Vành đai 4, cầu Hồng Hà, tuyến đường Hồ Tây – Ba Vì và kế hoạch triển khai Vành đai 5 trước năm 2027 tiếp tục mở rộng không gian phát triển. Tuyến met</w:t>
      </w:r>
      <w:r>
        <w:rPr>
          <w:shd w:val="clear" w:color="auto" w:fill="ffffff"/>
        </w:rPr>
        <w:t xml:space="preserve">ro số 3 (Yên Sở – Sơn Tây) dự kiến hoàn thành vào năm 2030 càng củng cố vai trò trung chuyển của Phúc Thọ trong mạng lưới đô thị vùng Thủ đô.</w:t>
        <w:br/>
        <w:br/>
        <w:t xml:space="preserve">Nhờ hệ thống hạ tầng đồng bộ này, Phúc Thọ không còn là khu vực “ngoại vi” mà đang dần trở thành điểm kết nối qua</w:t>
      </w:r>
      <w:r>
        <w:rPr>
          <w:shd w:val="clear" w:color="auto" w:fill="ffffff"/>
        </w:rPr>
        <w:t xml:space="preserve">n trọng, đóng vai trò trung gian giữa nội đô Hà Nội và các cực tăng trưởng mới. Điều này tạo ra lợi thế lớn về phát triển logistics, thu hút dân cư và dòng vốn đầu tư.</w:t>
        <w:br/>
        <w:br/>
        <w:t xml:space="preserve">Song song với hạ tầng, làn sóng đô thị hóa cũng bắt đầu lan rộng tới Phúc Thọ. Các dự á</w:t>
      </w:r>
      <w:r>
        <w:rPr>
          <w:shd w:val="clear" w:color="auto" w:fill="ffffff"/>
        </w:rPr>
        <w:t xml:space="preserve">n đô thị quy mô lớn được triển khai, tiêu biểu như khu đô thị kiểu mẫu đầu tiên tại địa phương, góp phần thay đổi diện mạo khu vực và cung cấp mô hình sống hiện đại, đa chức năng. Những dự án này không chỉ phục vụ nhu cầu an cư mà còn tạo cơ hội kinh doanh</w:t>
      </w:r>
      <w:r>
        <w:rPr>
          <w:shd w:val="clear" w:color="auto" w:fill="ffffff"/>
        </w:rPr>
        <w:t xml:space="preserve">, gia tăng giá trị tài sản cho nhà đầu tư.</w:t>
        <w:br/>
        <w:br/>
        <w:t xml:space="preserve">Xu hướng dịch chuyển đầu tư từ nội đô ra vùng ven cũng là yếu tố quan trọng thúc đẩy thị trường. Khi khu vực trung tâm Hà Nội ngày càng chật chội, chi phí cao và bị hạn chế về giao thông, nhiều nhà đầu tư và ngườ</w:t>
      </w:r>
      <w:r>
        <w:rPr>
          <w:shd w:val="clear" w:color="auto" w:fill="ffffff"/>
        </w:rPr>
        <w:t xml:space="preserve">i dân bắt đầu tìm đến các khu vực như Phúc Thọ – nơi có quỹ đất rộng, hạ tầng đang hoàn thiện và tiềm năng tăng trưởng lớn.</w:t>
        <w:br/>
        <w:br/>
        <w:t xml:space="preserve">Ngoài ra, Phúc Thọ còn thu hút sự quan tâm của các tập đoàn lớn với các đề xuất đầu tư khu đô thị, khu công nghiệp và dịch vụ quy m</w:t>
      </w:r>
      <w:r>
        <w:rPr>
          <w:shd w:val="clear" w:color="auto" w:fill="ffffff"/>
        </w:rPr>
        <w:t xml:space="preserve">ô lớn. Điều này cho thấy niềm tin của giới đầu tư vào tiềm năng dài hạn của khu vực, đồng thời tạo thêm động lực phát triển kinh tế – xã hội.</w:t>
        <w:br/>
        <w:t xml:space="preserve">(Nguồn: https://baodautu.vn/ha-tang-ty-do-dan-song-dau-tu---phuc-tho-buoc-vao-chu-ky-tang-truong-moi-d431768.html)</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3478"/>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10252" w:type="dxa"/>
            <w:vAlign w:val="center"/>
            <w:textDirection w:val="lrTb"/>
            <w:noWrap w:val="false"/>
          </w:tcPr>
          <w:p>
            <w:pPr>
              <w:pBdr/>
              <w:spacing/>
              <w:ind/>
              <w:jc w:val="both"/>
              <w:rPr>
                <w:b/>
                <w:bCs/>
                <w:color w:val="000000"/>
              </w:rPr>
            </w:pPr>
            <w:r>
              <w:rPr>
                <w:b/>
                <w:bCs/>
                <w:color w:val="000000"/>
              </w:rPr>
              <w:t xml:space="preserve">Quyền sử dụng đất tại thửa đất số: 143, tờ bản đồ số: 09, có địa chỉ: Xã Thanh Đa, huyện Phúc Thọ, thành phố Hà Nội (nay là Xã Phúc Lộc, thà</w:t>
            </w:r>
            <w:r>
              <w:rPr>
                <w:b/>
                <w:bCs/>
                <w:color w:val="000000"/>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ee0000"/>
              </w:rPr>
            </w:pPr>
            <w:r>
              <w:rPr>
                <w:color w:val="000000" w:themeColor="text1"/>
              </w:rPr>
              <w:t xml:space="preserve">09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jc w:val="both"/>
              <w:rPr>
                <w:color w:val="000000"/>
              </w:rPr>
            </w:pPr>
            <w:r>
              <w:rPr>
                <w:color w:val="000000"/>
              </w:rPr>
              <w:t xml:space="preserve">Xã Thanh Đa, Huyện Phúc Thọ,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jc w:val="both"/>
              <w:rPr>
                <w:color w:val="000000"/>
              </w:rPr>
            </w:pPr>
            <w:r>
              <w:rPr>
                <w:color w:val="000000"/>
              </w:rPr>
              <w:t xml:space="preserve">Nhà nước công nhận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jc w:val="both"/>
              <w:rPr>
                <w:color w:val="000000"/>
              </w:rPr>
            </w:pPr>
            <w:r>
              <w:rPr>
                <w:color w:val="000000"/>
              </w:rPr>
              <w:t xml:space="preserve">Tại thời điểm thẩm định giá, theo thông tin chủ tài sản cung cấp, Tổ thẩm định không xác định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jc w:val="both"/>
              <w:rPr>
                <w:color w:val="000000"/>
              </w:rPr>
            </w:pPr>
            <w:r>
              <w:rPr>
                <w:color w:val="000000" w:themeColor="text1"/>
              </w:rPr>
              <w:t xml:space="preserve">Cách TL477 khoảng 1,8km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tiếp giáp đường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10252"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21.111055555556</w:t>
            </w:r>
            <w:r>
              <w:rPr>
                <w:color w:val="000000"/>
              </w:rPr>
              <w:t xml:space="preserve">, </w:t>
            </w:r>
            <w:r>
              <w:rPr>
                <w:color w:val="000000"/>
              </w:rPr>
              <w:t xml:space="preserve">105.63244444444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10252"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78839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788399"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77.0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15,9</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3478" w:type="dxa"/>
            <w:vAlign w:val="center"/>
            <w:textDirection w:val="lrTb"/>
            <w:noWrap w:val="false"/>
          </w:tcPr>
          <w:p>
            <w:pPr>
              <w:pBdr/>
              <w:spacing/>
              <w:ind/>
              <w:jc w:val="center"/>
              <w:rPr>
                <w:color w:val="000000" w:themeColor="text1"/>
              </w:rPr>
            </w:pPr>
            <w:r>
              <w:rPr>
                <w:color w:val="000000" w:themeColor="text1"/>
              </w:rPr>
              <w:t xml:space="preserve">19,1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7730" w:type="dxa"/>
            <w:vAlign w:val="center"/>
            <w:textDirection w:val="lrTb"/>
            <w:noWrap w:val="false"/>
          </w:tcPr>
          <w:p>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3478"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10252"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10252" w:type="dxa"/>
            <w:textDirection w:val="lrTb"/>
            <w:noWrap w:val="false"/>
          </w:tcPr>
          <w:p>
            <w:pPr>
              <w:pBdr/>
              <w:spacing/>
              <w:ind/>
              <w:jc w:val="both"/>
              <w:rPr>
                <w:color w:val="000000"/>
              </w:rPr>
            </w:pPr>
            <w:r>
              <w:rPr>
                <w:color w:val="000000"/>
              </w:rPr>
              <w:t xml:space="preserve">Tại thời điểm thẩm định giá, Tổ thẩm định xác đinh trên đất có CTXD nhà 2 tầng, diện tích xây dựng khoảng 90m2/sàn; 01 nhà bếp diện tích xây dựng khoảng 20m2; xây dựng năm 2015, hiện đang sử dụng bình thường. CTXD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Thanh Đa, Huyện Phúc Thọ, Thành phố Hà Nội</w:t>
            </w:r>
            <w:r/>
          </w:p>
        </w:tc>
        <w:tc>
          <w:tcPr>
            <w:tcBorders/>
            <w:tcW w:w="1605" w:type="dxa"/>
            <w:vAlign w:val="center"/>
            <w:textDirection w:val="lrTb"/>
            <w:noWrap w:val="false"/>
          </w:tcPr>
          <w:p>
            <w:pPr>
              <w:pBdr/>
              <w:spacing/>
              <w:ind/>
              <w:jc w:val="center"/>
              <w:rPr/>
            </w:pPr>
            <w:r>
              <w:t xml:space="preserve">Xã Thanh Đa, Huyện Phúc Thọ,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Phúc Lộc, Thành phố Hà Nội</w:t>
            </w:r>
            <w:r/>
          </w:p>
        </w:tc>
        <w:tc>
          <w:tcPr>
            <w:tcBorders/>
            <w:tcW w:w="1605" w:type="dxa"/>
            <w:vAlign w:val="center"/>
            <w:textDirection w:val="lrTb"/>
            <w:noWrap w:val="false"/>
          </w:tcPr>
          <w:p>
            <w:pPr>
              <w:pBdr/>
              <w:spacing/>
              <w:ind/>
              <w:jc w:val="center"/>
              <w:rPr/>
            </w:pPr>
            <w:r>
              <w:t xml:space="preserve">Xã Phúc Lộc,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VT4</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199</w:t>
            </w:r>
            <w:r/>
          </w:p>
        </w:tc>
        <w:tc>
          <w:tcPr>
            <w:tcBorders/>
            <w:tcW w:w="1605" w:type="dxa"/>
            <w:vAlign w:val="center"/>
            <w:textDirection w:val="lrTb"/>
            <w:noWrap w:val="false"/>
          </w:tcPr>
          <w:p>
            <w:pPr>
              <w:pBdr/>
              <w:spacing/>
              <w:ind/>
              <w:jc w:val="center"/>
              <w:rPr/>
            </w:pPr>
            <w:r>
              <w:t xml:space="preserve">199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15,9</w:t>
            </w:r>
            <w:r/>
          </w:p>
        </w:tc>
        <w:tc>
          <w:tcPr>
            <w:tcBorders/>
            <w:tcW w:w="1605" w:type="dxa"/>
            <w:vAlign w:val="center"/>
            <w:textDirection w:val="lrTb"/>
            <w:noWrap w:val="false"/>
          </w:tcPr>
          <w:p>
            <w:pPr>
              <w:pBdr/>
              <w:spacing/>
              <w:ind/>
              <w:jc w:val="center"/>
              <w:rPr/>
            </w:pPr>
            <w:r>
              <w:t xml:space="preserve">15,9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19,1</w:t>
            </w:r>
            <w:r/>
          </w:p>
        </w:tc>
        <w:tc>
          <w:tcPr>
            <w:tcBorders/>
            <w:tcW w:w="1605" w:type="dxa"/>
            <w:vAlign w:val="center"/>
            <w:textDirection w:val="lrTb"/>
            <w:noWrap w:val="false"/>
          </w:tcPr>
          <w:p>
            <w:pPr>
              <w:pBdr/>
              <w:spacing/>
              <w:ind/>
              <w:jc w:val="center"/>
              <w:rPr/>
            </w:pPr>
            <w:r>
              <w:t xml:space="preserve">19,1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w:t>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doanh</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Phú An, xã Phúc Lộc,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https://www.facebook.com/groups/830769337437425/posts/2293450294502648/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https://www.facebook.com/bao.trang.7921/posts/pfbid02WkbXKAaHK8rwwyg15RvdyS3YMSpsaieaYqrqrP3F1nqYmBS32Ywjmdubva5w98kul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0923381992</w:t>
            </w:r>
            <w:r>
              <w:rPr>
                <w:sz w:val="22"/>
                <w:szCs w:val="22"/>
              </w:rPr>
              <w:t xml:space="preserve"> </w:t>
            </w:r>
            <w:r>
              <w:rPr>
                <w:sz w:val="22"/>
                <w:szCs w:val="22"/>
              </w:rPr>
              <w:b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0982920858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0978919493</w:t>
            </w:r>
            <w:r>
              <w:rPr>
                <w:sz w:val="22"/>
                <w:szCs w:val="22"/>
              </w:rPr>
              <w:br/>
            </w:r>
            <w:r>
              <w:rPr>
                <w:sz w:val="22"/>
                <w:szCs w:val="22"/>
              </w:rPr>
              <w:t xml:space="preserve">(</w:t>
            </w:r>
            <w:r>
              <w:rPr>
                <w:sz w:val="22"/>
                <w:szCs w:val="22"/>
              </w:rPr>
              <w:t xml:space="preserve">Trang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Thôn Phú An, xã Phúc Lộc,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Thôn Phú An, xã Phúc Lộc,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Thôn Phú An, xã Phúc Lộc,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Thôn Phú An, xã Phúc Lộc,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7,980,000,000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4,730,000,000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3,880,000,000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4.336.750.000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46,372,549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46,746,988 </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10.260.000.000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5.324.400.000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4.336.750.000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46,372,549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46,746,988 </w:t>
            </w: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46,372,549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46,746,988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46,372,549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46,746,988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46,372,549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46,746,988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Thôn Phú An, xã Phúc Lộc,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46,372,549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46,746,988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46,372,549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46,746,988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2,337,349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41,895,000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46,372,549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49,084,337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-5,564,706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-7,012,048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41,895,000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40,807,843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42,072,289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3,246,078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3,739,759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43,890,000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44,053,922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45,812,048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43,890,000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44,053,922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shd w:val="clear" w:color="000000" w:fill="ffffff"/>
            <w:tcBorders/>
            <w:tcW w:w="1522" w:type="dxa"/>
            <w:vAlign w:val="center"/>
            <w:textDirection w:val="lrTb"/>
            <w:noWrap/>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rPr>
              <w:t xml:space="preserve">45,812,048 </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41,895,000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44,053,922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45,812,048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-1,995,000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-4,637,255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-4,674,699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39,900,000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39,416,667 </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41,137,349 </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39,900,000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39,416,667 </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41,137,349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40,151,339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10.260.000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15.138.000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19.855.000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6,955,882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5,609,639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-2,5</w:t>
      </w:r>
      <w:r>
        <w:t xml:space="preserve">% </w:t>
      </w:r>
      <w:r>
        <w:t xml:space="preserve">đến</w:t>
      </w:r>
      <w:r>
        <w:t xml:space="preserve"> </w:t>
      </w:r>
      <w:r>
        <w:t xml:space="preserve">0,6%,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0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t xml:space="preserve">    39,900,000 </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13.298.670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t xml:space="preserve">    39,416,667 </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13.137.575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14:ligatures w14:val="none"/>
              </w:rPr>
            </w:pPr>
            <w:r>
              <w:rPr>
                <w:color w:val="000000"/>
              </w:rPr>
              <w:t xml:space="preserve">    41,137,349 </w:t>
            </w:r>
            <w:r>
              <w:rPr>
                <w:color w:val="000000"/>
                <w14:ligatures w14:val="none"/>
              </w:rPr>
            </w:r>
            <w:r>
              <w:rPr>
                <w:color w:val="000000"/>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13.711.079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40.147.324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143, tờ bản đồ số: 09, có địa chỉ: Xã Thanh Đa, huyện Phúc Thọ, thành phố Hà Nội (nay là Xã Phúc Lộc, thà</w:t>
            </w:r>
            <w:r>
              <w:rPr>
                <w:color w:val="000000"/>
              </w:rPr>
              <w:t xml:space="preserve">nh phố Hà Nội) theo Giấy chứng nhận quyền sử dụng đất, quyền sở hữu nhà ở và tài sản khác gắn liền với đất  số: BG 108412, Số vào sổ cấp GCN: CH00298 do UBND Huyện Phúc Thọ cấp ngày 18/2/2011; chủ sử dụng đất là Ông Hoàng Văn Hanh (cập nhật ngày 02/7/2024)</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199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7.960.000.000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7.960.000.000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chín trăm sáu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spacing w:after="120" w:before="120" w:line="288" w:lineRule="auto"/>
        <w:ind/>
        <w:jc w:val="both"/>
        <w:rPr>
          <w:color w:val="000000"/>
        </w:rPr>
      </w:pPr>
      <w:r>
        <w:rPr>
          <w:bCs/>
          <w:spacing w:val="-2"/>
          <w:lang w:val="pt-BR"/>
        </w:rPr>
      </w:r>
      <w:r>
        <w:rPr>
          <w:lang w:val="vi-VN"/>
        </w:rPr>
        <w:t xml:space="preserve"> Tại thời điểm thẩm định giá, Tổ thẩm định xác đinh trên đất có CTXD nhà 2 tầng, diện tích xây dựng khoảng 90m2/sàn; 01 nhà bếp diện tích xây dựng khoảng 20m2; xây dựng năm 2015, hiện đang sử dụng bình thường. CTXD chưa được công nhận trên GCN QSDĐ.</w:t>
      </w:r>
      <w:r>
        <w:rPr>
          <w:lang w:val="vi-VN"/>
        </w:rPr>
        <w:t xml:space="preserve"> Tổ thẩm định không nhận được các hồ sơ pháp lý khác liên quan đến các công trìn</w:t>
      </w:r>
      <w:r>
        <w:rPr>
          <w:lang w:val="vi-VN"/>
        </w:rPr>
        <w:t xml:space="preserve">h xây dựng. Do vậy, theo yêu cầu của Ngân hàng/khách hàng, Tổ thẩm định không xác định giá trị c</w:t>
      </w:r>
      <w:r>
        <w:rPr>
          <w:rFonts w:ascii="Times New Roman" w:hAnsi="Times New Roman" w:eastAsia="Times New Roman" w:cs="Times New Roman"/>
          <w:color w:val="000000"/>
          <w:sz w:val="24"/>
        </w:rPr>
        <w:t xml:space="preserve">ông trình vào tổng giá trị tài sản nhưng vẫn coi đó là phần không thể tách rời của tài sản thẩm định.</w:t>
      </w:r>
      <w:r>
        <w:rPr>
          <w:bCs/>
          <w:spacing w:val="-2"/>
          <w:lang w:val="pt-BR"/>
        </w:rPr>
        <w:t xml:space="preserve"> </w:t>
      </w:r>
      <w:r>
        <w:rPr>
          <w:color w:val="000000"/>
        </w:rPr>
      </w:r>
      <w:r>
        <w:rPr>
          <w:color w:val="000000"/>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275/2026/0416/VFI-CT.63.A</w:t>
      </w:r>
      <w:r>
        <w:rPr>
          <w:color w:val="ff0000"/>
          <w:lang w:val="vi-VN"/>
        </w:rPr>
        <w:t xml:space="preserve"> </w:t>
      </w:r>
      <w:r>
        <w:rPr>
          <w:color w:val="000000" w:themeColor="text1"/>
        </w:rPr>
        <w:t xml:space="preserve">ngày 18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275/2026/0416/VFI-BC.63.A</w:t>
      </w:r>
      <w:r>
        <w:rPr>
          <w:i/>
          <w:lang w:val="pt-BR"/>
        </w:rPr>
        <w:t xml:space="preserve"> ngày </w:t>
      </w:r>
      <w:r>
        <w:rPr>
          <w:i/>
          <w:lang w:val="pt-BR"/>
        </w:rPr>
        <w:t xml:space="preserve">18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5571" cy="25112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269774" name=""/>
                              <pic:cNvPicPr>
                                <a:picLocks noChangeAspect="1"/>
                              </pic:cNvPicPr>
                              <pic:nvPr/>
                            </pic:nvPicPr>
                            <pic:blipFill rotWithShape="1">
                              <a:blip r:embed="rId18"/>
                              <a:stretch/>
                            </pic:blipFill>
                            <pic:spPr bwMode="auto">
                              <a:xfrm flipH="0" flipV="0">
                                <a:off x="0" y="0"/>
                                <a:ext cx="2435571" cy="2511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1.78pt;height:197.74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20706" cy="24155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696521" name=""/>
                              <pic:cNvPicPr>
                                <a:picLocks noChangeAspect="1"/>
                              </pic:cNvPicPr>
                              <pic:nvPr/>
                            </pic:nvPicPr>
                            <pic:blipFill rotWithShape="1">
                              <a:blip r:embed="rId19"/>
                              <a:stretch/>
                            </pic:blipFill>
                            <pic:spPr bwMode="auto">
                              <a:xfrm flipH="0" flipV="0">
                                <a:off x="0" y="0"/>
                                <a:ext cx="3220705" cy="2415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3.60pt;height:190.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2275" cy="222170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2866" name=""/>
                              <pic:cNvPicPr>
                                <a:picLocks noChangeAspect="1"/>
                              </pic:cNvPicPr>
                              <pic:nvPr/>
                            </pic:nvPicPr>
                            <pic:blipFill rotWithShape="1">
                              <a:blip r:embed="rId20"/>
                              <a:stretch/>
                            </pic:blipFill>
                            <pic:spPr bwMode="auto">
                              <a:xfrm flipH="0" flipV="0">
                                <a:off x="0" y="0"/>
                                <a:ext cx="2962274" cy="2221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25pt;height:174.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65475" cy="237410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00476" name=""/>
                              <pic:cNvPicPr>
                                <a:picLocks noChangeAspect="1"/>
                              </pic:cNvPicPr>
                              <pic:nvPr/>
                            </pic:nvPicPr>
                            <pic:blipFill rotWithShape="1">
                              <a:blip r:embed="rId21"/>
                              <a:stretch/>
                            </pic:blipFill>
                            <pic:spPr bwMode="auto">
                              <a:xfrm flipH="0" flipV="0">
                                <a:off x="0" y="0"/>
                                <a:ext cx="3165474" cy="2374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9.25pt;height:186.9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1095" cy="225082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7815" name=""/>
                              <pic:cNvPicPr>
                                <a:picLocks noChangeAspect="1"/>
                              </pic:cNvPicPr>
                              <pic:nvPr/>
                            </pic:nvPicPr>
                            <pic:blipFill rotWithShape="1">
                              <a:blip r:embed="rId22"/>
                              <a:stretch/>
                            </pic:blipFill>
                            <pic:spPr bwMode="auto">
                              <a:xfrm flipH="0" flipV="0">
                                <a:off x="0" y="0"/>
                                <a:ext cx="3001094" cy="2250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31pt;height:177.2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40795" cy="23555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2442" name=""/>
                              <pic:cNvPicPr>
                                <a:picLocks noChangeAspect="1"/>
                              </pic:cNvPicPr>
                              <pic:nvPr/>
                            </pic:nvPicPr>
                            <pic:blipFill rotWithShape="1">
                              <a:blip r:embed="rId23"/>
                              <a:stretch/>
                            </pic:blipFill>
                            <pic:spPr bwMode="auto">
                              <a:xfrm flipH="0" flipV="0">
                                <a:off x="0" y="0"/>
                                <a:ext cx="3140794" cy="23555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7.31pt;height:185.4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275/2026/0416/VFI-BC.63.A</w:t>
      </w:r>
      <w:r>
        <w:rPr>
          <w:i/>
          <w:lang w:val="pt-BR"/>
        </w:rPr>
        <w:t xml:space="preserve"> ngày </w:t>
      </w:r>
      <w:r>
        <w:rPr>
          <w:i/>
          <w:lang w:val="pt-BR"/>
        </w:rPr>
        <w:t xml:space="preserve">18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0923381992</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Thôn Phú An, xã Phúc Lộc,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077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407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2.4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940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7940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8.7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249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4824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5.4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https://www.facebook.com/groups/830769337437425/posts/2293450294502648/</w:t>
            </w:r>
            <w:r>
              <w:rPr>
                <w:color w:val="000000" w:themeColor="text1"/>
                <w:sz w:val="22"/>
                <w:szCs w:val="22"/>
              </w:rPr>
              <w:br/>
              <w:t xml:space="preserve">0982920858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Thôn Phú An, xã Phúc Lộc,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929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29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8.7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770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077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https://www.facebook.com/bao.trang.7921/posts/pfbid02WkbXKAaHK8rwwyg15RvdyS3YMSpsaieaYqrqrP3F1nqYmBS32Ywjmdubva5w98kul</w:t>
            </w:r>
            <w:r>
              <w:rPr>
                <w:color w:val="000000" w:themeColor="text1"/>
                <w:sz w:val="22"/>
                <w:szCs w:val="22"/>
              </w:rPr>
              <w:br/>
            </w:r>
            <w:r>
              <w:rPr>
                <w:sz w:val="22"/>
                <w:szCs w:val="22"/>
              </w:rPr>
              <w:t xml:space="preserve">SĐT: </w:t>
            </w:r>
            <w:r>
              <w:rPr>
                <w:color w:val="000000" w:themeColor="text1"/>
                <w:sz w:val="22"/>
                <w:szCs w:val="22"/>
              </w:rPr>
              <w:t xml:space="preserve">0978919493</w:t>
            </w:r>
            <w:r>
              <w:rPr>
                <w:sz w:val="22"/>
                <w:szCs w:val="22"/>
              </w:rPr>
              <w:t xml:space="preserve"> </w:t>
            </w:r>
            <w:r>
              <w:rPr>
                <w:sz w:val="22"/>
                <w:szCs w:val="22"/>
              </w:rPr>
              <w:br/>
              <w:t xml:space="preserve">(Trang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4.336.750.000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Thôn Phú An, xã Phúc Lộc,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2029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320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97.6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1941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1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0.7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7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t xml:space="preserve">ỷ</w:t>
      </w:r>
      <w:r>
        <mc:AlternateContent>
          <mc:Choice Requires="wpg">
            <w:drawing>
              <wp:inline xmlns:wp="http://schemas.openxmlformats.org/drawingml/2006/wordprocessingDrawing" distT="0" distB="0" distL="0" distR="0">
                <wp:extent cx="3680648" cy="818632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963560" name=""/>
                        <pic:cNvPicPr>
                          <a:picLocks noChangeAspect="1"/>
                        </pic:cNvPicPr>
                        <pic:nvPr/>
                      </pic:nvPicPr>
                      <pic:blipFill rotWithShape="1">
                        <a:blip r:embed="rId35"/>
                        <a:stretch/>
                      </pic:blipFill>
                      <pic:spPr bwMode="auto">
                        <a:xfrm flipH="0" flipV="0">
                          <a:off x="0" y="0"/>
                          <a:ext cx="3680648" cy="8186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89.81pt;height:644.59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275</cp:revision>
  <dcterms:created xsi:type="dcterms:W3CDTF">2025-09-15T09:58:00Z</dcterms:created>
  <dcterms:modified xsi:type="dcterms:W3CDTF">2026-03-18T10:32:34Z</dcterms:modified>
</cp:coreProperties>
</file>