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603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603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275/2026/0543/VFI-CT.53.A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NGHIÊM THỊ THU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CL3-12, tờ bản đồ số: 00 có địa chỉ: Khu đất dịch vụ Man Bồi Trong, phường Phú Lãm, quận Hà Đông, Thành phố Hà Nội </w:t>
                            </w:r>
                            <w:r>
                              <w:rPr>
                                <w:i/>
                                <w:iCs/>
                                <w:color w:val="000000"/>
                              </w:rPr>
                              <w:t xml:space="preserve">(Nay là phường Phú Lương, Thành phố Hà Nội) </w:t>
                            </w:r>
                            <w:r>
                              <w:rPr>
                                <w:color w:val="000000"/>
                              </w:rPr>
                              <w:t xml:space="preserve">theo</w:t>
                            </w:r>
                            <w:r>
                              <w:rPr>
                                <w:color w:val="000000"/>
                              </w:rPr>
                              <w:t xml:space="preserve"> Giấy chứng nhận quyền sử dụng đất, quyền sở hữu nhà ở và tài sản khác gắn liền với đất số: CH 888336, số vào sổ cấp GCN: CS-HĐO 11045 do Sở Tài nguyên và Môi trường Thành phố Hà Nội  cấp ngày 15/6/2017 cho Ông Nguyễn Duy Hưng và Bà Nghiêm Thị Thu Hương</w:t>
                            </w:r>
                            <w:r>
                              <w:rPr>
                                <w:bCs/>
                                <w:i/>
                                <w:iCs/>
                              </w:rPr>
                              <w:t xml:space="preserve">.</w:t>
                            </w:r>
                            <w:r>
                              <w:rPr>
                                <w:bCs/>
                                <w:i/>
                                <w:iCs/>
                              </w:rPr>
                            </w:r>
                            <w:r>
                              <w:rPr>
                                <w:bCs/>
                                <w:i/>
                                <w:iCs/>
                              </w:rPr>
                            </w:r>
                            <w:r>
                              <w:rPr>
                                <w:highlight w:val="none"/>
                                <w:lang w:val="pt-BR"/>
                              </w:rPr>
                            </w:r>
                            <w:r>
                              <w:rPr>
                                <w:highlight w:val="none"/>
                                <w:lang w:val="pt-BR"/>
                              </w:rPr>
                            </w:r>
                            <w:r>
                              <w:rPr>
                                <w:bCs/>
                                <w:i/>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4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275/2026/0543/VFI-CT.53.A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NGHIÊM THỊ THU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CL3-12, tờ bản đồ số: 00 có địa chỉ: Khu đất dịch vụ Man Bồi Trong, phường Phú Lãm, quận Hà Đông, Thành phố Hà Nội </w:t>
                      </w:r>
                      <w:r>
                        <w:rPr>
                          <w:i/>
                          <w:iCs/>
                          <w:color w:val="000000"/>
                        </w:rPr>
                        <w:t xml:space="preserve">(Nay là phường Phú Lương, Thành phố Hà Nội) </w:t>
                      </w:r>
                      <w:r>
                        <w:rPr>
                          <w:color w:val="000000"/>
                        </w:rPr>
                        <w:t xml:space="preserve">theo</w:t>
                      </w:r>
                      <w:r>
                        <w:rPr>
                          <w:color w:val="000000"/>
                        </w:rPr>
                        <w:t xml:space="preserve"> Giấy chứng nhận quyền sử dụng đất, quyền sở hữu nhà ở và tài sản khác gắn liền với đất số: CH 888336, số vào sổ cấp GCN: CS-HĐO 11045 do Sở Tài nguyên và Môi trường Thành phố Hà Nội  cấp ngày 15/6/2017 cho Ông Nguyễn Duy Hưng và Bà Nghiêm Thị Thu Hương</w:t>
                      </w:r>
                      <w:r>
                        <w:rPr>
                          <w:bCs/>
                          <w:i/>
                          <w:iCs/>
                        </w:rPr>
                        <w:t xml:space="preserve">.</w:t>
                      </w:r>
                      <w:r>
                        <w:rPr>
                          <w:bCs/>
                          <w:i/>
                          <w:iCs/>
                        </w:rPr>
                      </w:r>
                      <w:r>
                        <w:rPr>
                          <w:bCs/>
                          <w:i/>
                          <w:iCs/>
                        </w:rPr>
                      </w:r>
                      <w:r>
                        <w:rPr>
                          <w:highlight w:val="none"/>
                          <w:lang w:val="pt-BR"/>
                        </w:rPr>
                      </w:r>
                      <w:r>
                        <w:rPr>
                          <w:highlight w:val="none"/>
                          <w:lang w:val="pt-BR"/>
                        </w:rPr>
                      </w:r>
                      <w:r>
                        <w:rPr>
                          <w:bCs/>
                          <w:i/>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420" w:type="dxa"/>
        <w:tblBorders/>
        <w:tblLayout w:type="fixed"/>
        <w:tblLook w:val="04A0" w:firstRow="1" w:lastRow="0" w:firstColumn="1" w:lastColumn="0" w:noHBand="0" w:noVBand="1"/>
      </w:tblPr>
      <w:tblGrid>
        <w:gridCol w:w="856"/>
        <w:gridCol w:w="6481"/>
        <w:gridCol/>
        <w:gridCol w:w="4084"/>
        <w:gridCol/>
      </w:tblGrid>
      <w:tr>
        <w:trPr>
          <w:trHeight w:val="1152"/>
        </w:trPr>
        <w:tc>
          <w:tcPr>
            <w:gridSpan w:val="2"/>
            <w:tcBorders/>
            <w:tcW w:w="733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481"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 </w:t>
            </w:r>
            <w:r>
              <w:rPr>
                <w:rStyle w:val="1026"/>
                <w:rFonts w:ascii="Times New Roman" w:hAnsi="Times New Roman"/>
                <w:color w:val="000000" w:themeColor="text1"/>
                <w:lang w:val="pt-BR"/>
              </w:rPr>
              <w:t xml:space="preserve">275/2026/0543/VFI-CT.53.A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08 tháng 4 năm 2026</w:t>
            </w:r>
            <w:r>
              <w:rPr>
                <w:color w:val="000000" w:themeColor="text1"/>
                <w:sz w:val="24"/>
                <w:szCs w:val="24"/>
                <w:lang w:val="vi-VN"/>
              </w:rPr>
            </w:r>
            <w:r>
              <w:rPr>
                <w:color w:val="000000" w:themeColor="text1"/>
                <w:sz w:val="24"/>
                <w:szCs w:val="24"/>
                <w:lang w:val="vi-VN"/>
              </w:rPr>
            </w:r>
          </w:p>
        </w:tc>
      </w:tr>
    </w:tbl>
    <w:p>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BÀ </w:t>
      </w:r>
      <w:r>
        <w:rPr>
          <w:rFonts w:ascii="Times New Roman Bold" w:hAnsi="Times New Roman Bold"/>
          <w:b/>
          <w:color w:val="000000" w:themeColor="text1"/>
          <w:lang w:val="pt-BR"/>
        </w:rPr>
        <w:t xml:space="preserve">NGHIÊM THỊ THU 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275/2026/0543/VFI-HĐTĐ.53.A</w:t>
      </w:r>
      <w:r>
        <w:rPr>
          <w:spacing w:val="-4"/>
          <w:lang w:val="vi-VN"/>
        </w:rPr>
        <w:t xml:space="preserve"> ký ngày </w:t>
      </w:r>
      <w:r>
        <w:rPr>
          <w:color w:val="000000" w:themeColor="text1"/>
          <w:spacing w:val="-4"/>
        </w:rPr>
        <w:t xml:space="preserve">01 tháng 4 năm 2026</w:t>
      </w:r>
      <w:r>
        <w:rPr>
          <w:spacing w:val="-4"/>
          <w:lang w:val="vi-VN"/>
        </w:rPr>
        <w:t xml:space="preserve"> </w:t>
      </w:r>
      <w:r>
        <w:rPr>
          <w:spacing w:val="-4"/>
          <w:lang w:val="vi-VN"/>
        </w:rPr>
        <w:t xml:space="preserve">giữa </w:t>
      </w:r>
      <w:r>
        <w:rPr>
          <w:color w:val="000000" w:themeColor="text1"/>
          <w:spacing w:val="-4"/>
        </w:rPr>
        <w:t xml:space="preserve">Bà Nghiêm Thị Thu 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275/2026/0543/VFI-BC.53.A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NGHIÊM THỊ THU HƯƠNG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014180000052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405-B3, Thành Công, Phường Thành Công, quận Ba Đình, Thành phố Hà Nội </w:t>
            </w:r>
            <w:r>
              <w:rPr>
                <w:i/>
                <w:iCs/>
                <w:color w:val="000000" w:themeColor="text1"/>
                <w:lang w:val="vi-VN"/>
              </w:rPr>
              <w:t xml:space="preserve">(Nay là phường Giảng Võ,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64"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rPr>
        <w:t xml:space="preserve">Quyền sử dụng đất tại thửa đất số: CL3-12, tờ bản đồ số: 00 có địa chỉ: Khu đất dịch vụ Man Bồi Trong, phường Phú Lãm, quận Hà Đông, Thành phố Hà Nội </w:t>
      </w:r>
      <w:r>
        <w:rPr>
          <w:i/>
          <w:iCs/>
          <w:color w:val="000000"/>
        </w:rPr>
        <w:t xml:space="preserve">(Nay là phường Phú Lương, Thành phố Hà Nội) </w:t>
      </w:r>
      <w:r>
        <w:rPr>
          <w:color w:val="000000"/>
        </w:rPr>
        <w:t xml:space="preserve">theo</w:t>
      </w:r>
      <w:r>
        <w:rPr>
          <w:color w:val="000000"/>
        </w:rPr>
        <w:t xml:space="preserve"> Giấy chứng nhận quyền sử dụng đất, quyền sở hữu nhà ở và tài sản khác gắn liền với đất số: CH 888336, số vào sổ cấp GCN: CS-HĐO 11045 do Sở Tài nguyên và Môi trường Thành phố Hà Nội  cấp ngày 15/6/2017 cho Ông Nguyễn Duy Hưng và Bà Nghiêm Thị Thu Hương</w:t>
      </w:r>
      <w:r/>
      <w:r>
        <w:rPr>
          <w:i/>
          <w:iCs/>
        </w:rPr>
        <w:t xml:space="preserve">.</w:t>
      </w:r>
      <w:r>
        <w:rPr>
          <w:b/>
          <w:bCs/>
        </w:rPr>
      </w:r>
      <w:r>
        <w:rPr>
          <w:b/>
          <w:bCs/>
        </w:rPr>
      </w:r>
    </w:p>
    <w:p>
      <w:pPr>
        <w:pBdr/>
        <w:spacing w:after="120" w:before="120" w:line="264"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64"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64"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64"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64"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64"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4"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64"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8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226"/>
        <w:gridCol w:w="1559"/>
        <w:gridCol w:w="1805"/>
        <w:gridCol w:w="1951"/>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90" w:type="dxa"/>
            <w:vAlign w:val="center"/>
            <w:textDirection w:val="lrTb"/>
            <w:noWrap w:val="false"/>
          </w:tcPr>
          <w:p>
            <w:pPr>
              <w:pBdr/>
              <w:spacing w:after="40" w:before="40" w:line="264" w:lineRule="auto"/>
              <w:ind/>
              <w:jc w:val="both"/>
              <w:rPr>
                <w:b/>
                <w:bCs/>
              </w:rPr>
            </w:pPr>
            <w:r>
              <w:rPr>
                <w:b/>
                <w:bCs/>
                <w:color w:val="000000"/>
              </w:rPr>
              <w:t xml:space="preserve">Quyền sử dụng đất tại thửa đất số: CL3-12, tờ bản đồ số: 9 có địa chỉ: Khu đất dịch vụ Man Bồi Trong, phường Phú Lãm, quận Hà Đông, Thành phố Hà Nội </w:t>
            </w:r>
            <w:r>
              <w:rPr>
                <w:b/>
                <w:bCs/>
                <w:i/>
                <w:iCs/>
                <w:color w:val="000000"/>
              </w:rPr>
              <w:t xml:space="preserve">(Nay là phường Phú Lương, Thành phố Hà Nội)</w:t>
            </w:r>
            <w:r>
              <w:rPr>
                <w:b/>
                <w:bCs/>
                <w:color w:val="000000"/>
              </w:rPr>
              <w:t xml:space="preserve"> theo</w:t>
            </w:r>
            <w:r>
              <w:rPr>
                <w:b/>
                <w:bCs/>
                <w:color w:val="000000"/>
              </w:rPr>
              <w:t xml:space="preserve"> Giấy chứng nhận quyền sử dụng đất, quyền sở hữu nhà ở và tài sản khác gắn liền với đất   số: CH 888336, số vào sổ cấp GCN: CS-HĐO 11045 do Sở tài nguyên và Môi trường Thành phố Hà Nội  cấp ngày 15/06/2017 cho Ông Nguyễn Duy Hưng và Bà Nghiêm Thị Thu Hương</w:t>
            </w:r>
            <w:r>
              <w:rPr>
                <w:b/>
                <w:bCs/>
              </w:rPr>
              <w:t xml:space="preserve">.</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3226" w:type="dxa"/>
            <w:vAlign w:val="center"/>
            <w:textDirection w:val="lrTb"/>
            <w:noWrap w:val="false"/>
          </w:tcPr>
          <w:p>
            <w:pPr>
              <w:pBdr/>
              <w:spacing w:after="40" w:before="40" w:line="288" w:lineRule="auto"/>
              <w:ind/>
              <w:rPr>
                <w:b w:val="0"/>
                <w:bCs w:val="0"/>
              </w:rPr>
            </w:pPr>
            <w:r>
              <w:rPr>
                <w:b w:val="0"/>
                <w:bCs w:val="0"/>
              </w:rPr>
              <w:t xml:space="preserve">Đất CSSX phi nông nghiệp</w:t>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53,8</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250.000.000</w:t>
            </w:r>
            <w:r/>
          </w:p>
        </w:tc>
        <w:tc>
          <w:tcPr>
            <w:shd w:val="clear" w:color="000000" w:fill="ffffff"/>
            <w:tcBorders/>
            <w:tcW w:w="1951" w:type="dxa"/>
            <w:vAlign w:val="center"/>
            <w:textDirection w:val="lrTb"/>
            <w:noWrap w:val="false"/>
          </w:tcPr>
          <w:p>
            <w:pPr>
              <w:pBdr/>
              <w:spacing w:after="40" w:before="40" w:line="288" w:lineRule="auto"/>
              <w:ind/>
              <w:jc w:val="center"/>
              <w:rPr/>
            </w:pPr>
            <w:r>
              <w:rPr>
                <w:color w:val="000000" w:themeColor="text1"/>
              </w:rPr>
              <w:t xml:space="preserve">13.450.000.000</w:t>
            </w:r>
            <w:r/>
          </w:p>
        </w:tc>
      </w:tr>
      <w:tr>
        <w:trPr>
          <w:trHeight w:val="20"/>
        </w:trPr>
        <w:tc>
          <w:tcPr>
            <w:gridSpan w:val="4"/>
            <w:tcBorders/>
            <w:tcW w:w="754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51" w:type="dxa"/>
            <w:vAlign w:val="center"/>
            <w:textDirection w:val="lrTb"/>
            <w:noWrap/>
          </w:tcPr>
          <w:p>
            <w:pPr>
              <w:pBdr/>
              <w:spacing w:after="40" w:before="40" w:line="288" w:lineRule="auto"/>
              <w:ind/>
              <w:jc w:val="center"/>
              <w:rPr>
                <w:b/>
                <w:bCs/>
                <w:color w:val="000000"/>
              </w:rPr>
            </w:pPr>
            <w:r>
              <w:rPr>
                <w:b/>
                <w:bCs/>
              </w:rPr>
              <w:t xml:space="preserve">13.450.000.000</w:t>
            </w:r>
            <w:r>
              <w:rPr>
                <w:b/>
                <w:bCs/>
                <w:color w:val="000000"/>
              </w:rPr>
            </w:r>
            <w:r>
              <w:rPr>
                <w:b/>
                <w:bCs/>
                <w:color w:val="000000"/>
              </w:rPr>
            </w:r>
          </w:p>
        </w:tc>
      </w:tr>
      <w:tr>
        <w:trPr>
          <w:trHeight w:val="20"/>
        </w:trPr>
        <w:tc>
          <w:tcPr>
            <w:gridSpan w:val="5"/>
            <w:tcBorders/>
            <w:tcW w:w="9493"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ba tỷ, bốn trăm năm mươi triệu đồng chẵn</w:t>
            </w:r>
            <w:r>
              <w:rPr>
                <w:b/>
                <w:bCs/>
                <w:i/>
                <w:iCs/>
                <w:color w:val="000000"/>
              </w:rPr>
              <w:t xml:space="preserve">./.)</w:t>
            </w:r>
            <w:r>
              <w:rPr>
                <w:b/>
                <w:bCs/>
                <w:i/>
                <w:iCs/>
                <w:color w:val="000000"/>
              </w:rPr>
            </w:r>
            <w:r>
              <w:rPr>
                <w:b/>
                <w:bCs/>
                <w:i/>
                <w:iCs/>
                <w:color w:val="000000"/>
              </w:rPr>
            </w:r>
          </w:p>
        </w:tc>
      </w:tr>
    </w:tbl>
    <w:p>
      <w:pPr>
        <w:pBdr/>
        <w:spacing w:after="120" w:before="120" w:line="264"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64"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64" w:lineRule="auto"/>
        <w:ind/>
        <w:rPr/>
      </w:pPr>
      <w:r>
        <w:rPr>
          <w:b/>
          <w:bCs/>
          <w:lang w:val="vi-VN"/>
        </w:rPr>
        <w:t xml:space="preserve">11. Những điều khoản loại trừ và hạn chế của kết quả thẩm định giá:</w:t>
      </w:r>
      <w:r/>
    </w:p>
    <w:p>
      <w:pPr>
        <w:pBdr/>
        <w:spacing w:after="120" w:before="120" w:line="264"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2412" w:type="dxa"/>
        <w:tblBorders/>
        <w:tblLayout w:type="fixed"/>
        <w:tblLook w:val="04A0" w:firstRow="1" w:lastRow="0" w:firstColumn="1" w:lastColumn="0" w:noHBand="0" w:noVBand="1"/>
      </w:tblPr>
      <w:tblGrid>
        <w:gridCol w:w="856"/>
        <w:gridCol w:w="7473"/>
        <w:gridCol/>
        <w:gridCol w:w="4084"/>
        <w:gridCol/>
      </w:tblGrid>
      <w:tr>
        <w:trPr>
          <w:trHeight w:val="1843"/>
        </w:trPr>
        <w:tc>
          <w:tcPr>
            <w:gridSpan w:val="2"/>
            <w:tcBorders/>
            <w:tcW w:w="832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7473"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 </w:t>
            </w:r>
            <w:r>
              <w:rPr>
                <w:rStyle w:val="1026"/>
                <w:rFonts w:ascii="Times New Roman" w:hAnsi="Times New Roman"/>
                <w:color w:val="000000" w:themeColor="text1"/>
                <w:lang w:val="pt-BR"/>
              </w:rPr>
              <w:t xml:space="preserve">275/2026/0543/VFI-BC.53.A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08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7473" w:type="dxa"/>
            <w:textDirection w:val="lrTb"/>
            <w:noWrap w:val="false"/>
          </w:tcPr>
          <w:p>
            <w:pPr>
              <w:pStyle w:val="1027"/>
              <w:pBdr/>
              <w:spacing w:after="60"/>
              <w:ind/>
              <w:rPr>
                <w:rStyle w:val="1026"/>
                <w:rFonts w:ascii="Times New Roman" w:hAnsi="Times New Roman"/>
                <w:color w:val="000000" w:themeColor="text1"/>
                <w:lang w:val="pt-BR"/>
              </w:rPr>
            </w:pPr>
            <w:r>
              <w:rPr>
                <w:rStyle w:val="1026"/>
                <w:rFonts w:ascii="Times New Roman" w:hAnsi="Times New Roman"/>
                <w:color w:val="000000" w:themeColor="text1"/>
                <w:lang w:val="pt-BR"/>
              </w:rPr>
            </w:r>
            <w:r>
              <w:rPr>
                <w:rStyle w:val="1026"/>
                <w:rFonts w:ascii="Times New Roman" w:hAnsi="Times New Roman"/>
                <w:color w:val="000000" w:themeColor="text1"/>
                <w:lang w:val="pt-BR"/>
              </w:rPr>
            </w:r>
            <w:r>
              <w:rPr>
                <w:rStyle w:val="1026"/>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7"/>
              <w:pBdr/>
              <w:spacing w:after="60"/>
              <w:ind w:right="-56"/>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tc>
      </w:tr>
    </w:tbl>
    <w:p>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275/2026/0543/VFI-CT.53.A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NGHIÊM THỊ THU HƯƠNG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014180000052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405-B3, Thành Công, Phường Thành Công, quận Ba Đình, Thành phố Hà Nội.</w:t>
            </w:r>
            <w:r>
              <w:rPr>
                <w:color w:val="000000" w:themeColor="text1"/>
                <w:lang w:val="vi-VN"/>
              </w:rPr>
              <w:t xml:space="preserve">405-B3, Thành Công, Phường Thành Công, quận Ba Đình, Thành phố Hà Nội </w:t>
            </w:r>
            <w:r>
              <w:rPr>
                <w:i/>
                <w:iCs/>
                <w:color w:val="000000" w:themeColor="text1"/>
                <w:lang w:val="vi-VN"/>
              </w:rPr>
              <w:t xml:space="preserve">(Nay là phường Giảng Võ,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CL3-12, tờ bản đồ số: 00 có địa chỉ: Khu đất dịch vụ Man Bồi Trong, phường Phú Lãm, quận Hà Đông, Thành phố Hà Nội </w:t>
            </w:r>
            <w:r>
              <w:rPr>
                <w:i/>
                <w:iCs/>
                <w:color w:val="000000"/>
              </w:rPr>
              <w:t xml:space="preserve">(Nay là phường Phú Lương, Thành phố Hà Nội) </w:t>
            </w:r>
            <w:r>
              <w:rPr>
                <w:color w:val="000000"/>
              </w:rPr>
              <w:t xml:space="preserve">theo</w:t>
            </w:r>
            <w:r>
              <w:rPr>
                <w:color w:val="000000"/>
              </w:rPr>
              <w:t xml:space="preserve"> Giấy chứng nhận quyền sử dụng đất, quyền sở hữu nhà ở và tài sản khác gắn liền với đất số: CH 888336, số vào sổ cấp GCN: CS-HĐO 11045 do Sở Tài nguyên và Môi trường Thành phố Hà Nội  cấp ngày 15/6/2017 cho Ông Nguyễn Duy Hưng và Bà Nghiêm Thị Thu Hương</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 Phường Phú Lương,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20.9532794, 105.75586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r>
      <w:r>
        <w:rPr>
          <w:color w:val="000000"/>
        </w:rPr>
        <w:t xml:space="preserve">Giấy chứng nhận quyền sử dụng đất, quyền sở hữu nhà ở và tài sản khác gắn liền với đất số: CH 888336, số vào sổ cấp GCN: CS-HĐO 11045 do Sở Tài nguyên và Môi trường Thành phố Hà Nội  cấp ngày 15/6/2017 cho Ông Nguyễn Duy Hưng và Bà Nghiêm Thị Thu Hương</w:t>
      </w:r>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275/2026/0543/VFI-HĐTĐ.53.A ngày 01/4/2026 giữa Bà Nghiêm Thị Thu Hương với Công ty Cổ phần Thẩm định và Đầu tư Tài chính Hoa Sen;</w:t>
      </w:r>
      <w:r>
        <w:rPr>
          <w:b/>
          <w:lang w:val="pt-BR"/>
        </w:rPr>
      </w:r>
      <w:r>
        <w:rPr>
          <w:b/>
          <w:lang w:val="pt-BR"/>
        </w:rPr>
      </w:r>
    </w:p>
    <w:p>
      <w:pPr>
        <w:pStyle w:val="102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single" w:color="e5e5ea" w:sz="2" w:space="0"/>
          <w:left w:val="single" w:color="e5e5ea" w:sz="2" w:space="0"/>
          <w:bottom w:val="single" w:color="e5e5ea" w:sz="2" w:space="0"/>
          <w:right w:val="single" w:color="e5e5ea" w:sz="2" w:space="0"/>
        </w:pBdr>
        <w:spacing w:after="299"/>
        <w:ind w:right="0" w:firstLine="0" w:left="0"/>
        <w:jc w:val="both"/>
        <w:rPr/>
      </w:pPr>
      <w:r>
        <w:rPr>
          <w:rFonts w:ascii="Times New Roman" w:hAnsi="Times New Roman" w:eastAsia="Times New Roman" w:cs="Times New Roman"/>
          <w:color w:val="000000"/>
          <w:sz w:val="24"/>
        </w:rPr>
        <w:t xml:space="preserve">Quận Hà Đông đang bước vào giai đoạn phát triển đô thị mạnh mẽ với định hướng rõ ràng từ thành phố Hà Nội. Khu vực từ phía Nam sông Hồng đến đường vành đai 2 sẽ được phát triển gắn với bảo tồn, nhằm giữ lại vẻ đẹp văn hóa - lịch sử vốn có mà không làm mất </w:t>
      </w:r>
      <w:r>
        <w:rPr>
          <w:rFonts w:ascii="Times New Roman" w:hAnsi="Times New Roman" w:eastAsia="Times New Roman" w:cs="Times New Roman"/>
          <w:color w:val="000000"/>
          <w:sz w:val="24"/>
        </w:rPr>
        <w:t xml:space="preserve">đi sự năng động của khu vực.</w:t>
      </w:r>
      <w:r/>
    </w:p>
    <w:p>
      <w:pPr>
        <w:pBdr>
          <w:top w:val="single" w:color="e5e5ea" w:sz="2" w:space="0"/>
          <w:left w:val="single" w:color="e5e5ea" w:sz="2" w:space="0"/>
          <w:bottom w:val="single" w:color="e5e5ea" w:sz="2" w:space="0"/>
          <w:right w:val="single" w:color="e5e5ea" w:sz="2" w:space="0"/>
        </w:pBdr>
        <w:spacing w:after="299" w:before="299"/>
        <w:ind w:right="0" w:firstLine="0" w:left="0"/>
        <w:jc w:val="both"/>
        <w:rPr/>
      </w:pPr>
      <w:r>
        <w:rPr>
          <w:rFonts w:ascii="Times New Roman" w:hAnsi="Times New Roman" w:eastAsia="Times New Roman" w:cs="Times New Roman"/>
          <w:color w:val="000000"/>
          <w:sz w:val="24"/>
        </w:rPr>
        <w:t xml:space="preserve">Trong khi đó, khu nội đô mở rộng kéo dài đến vành đai 4 sẽ là nơi hình thành các khu đô thị, dịch vụ, thương mại hiện đại, hứa hẹn trở thành trung tâm sôi động trong tương lai. Khu vực hai bên sông Hồng cũng được xác định là không gian đô thị công cộng, nơ</w:t>
      </w:r>
      <w:r>
        <w:rPr>
          <w:rFonts w:ascii="Times New Roman" w:hAnsi="Times New Roman" w:eastAsia="Times New Roman" w:cs="Times New Roman"/>
          <w:color w:val="000000"/>
          <w:sz w:val="24"/>
        </w:rPr>
        <w:t xml:space="preserve">i bố trí các công trình văn hóa và sinh hoạt chung.  </w:t>
      </w:r>
      <w:r/>
    </w:p>
    <w:p>
      <w:pPr>
        <w:pBdr>
          <w:top w:val="single" w:color="e5e5ea" w:sz="2" w:space="0"/>
          <w:left w:val="single" w:color="e5e5ea" w:sz="2" w:space="0"/>
          <w:bottom w:val="single" w:color="e5e5ea" w:sz="2" w:space="0"/>
          <w:right w:val="single" w:color="e5e5ea" w:sz="2" w:space="0"/>
        </w:pBdr>
        <w:spacing w:after="299"/>
        <w:ind w:right="0" w:firstLine="0" w:left="0"/>
        <w:jc w:val="both"/>
        <w:rPr/>
      </w:pPr>
      <w:r>
        <w:rPr>
          <w:rFonts w:ascii="Times New Roman" w:hAnsi="Times New Roman" w:eastAsia="Times New Roman" w:cs="Times New Roman"/>
          <w:color w:val="000000"/>
          <w:sz w:val="24"/>
        </w:rPr>
        <w:t xml:space="preserve">Quy hoạch quận Hà Đông có nhiều tác động tích cực đến thị trường bất động sản tại khu vực này. Tại quận Hà Đông, khách hàng quan tâm nhà đất nhiều tại các khu vực:</w:t>
      </w:r>
      <w:r/>
    </w:p>
    <w:p>
      <w:pPr>
        <w:numPr>
          <w:ilvl w:val="0"/>
          <w:numId w:val="39"/>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Văn Quán, Trần Phú, Nguyễn Trãi: Giá nhà cao nhất, khu vực trung tâm, giao thông thuận lợi.</w:t>
      </w:r>
      <w:r/>
    </w:p>
    <w:p>
      <w:pPr>
        <w:numPr>
          <w:ilvl w:val="0"/>
          <w:numId w:val="39"/>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Hà Cầu, Vạn Phúc, Mộ Lao, Dương Nội, La Khê: Vị trí lõi, hạ tầng tốt, giá nhà tăng nhanh.</w:t>
      </w:r>
      <w:r/>
    </w:p>
    <w:p>
      <w:pPr>
        <w:numPr>
          <w:ilvl w:val="0"/>
          <w:numId w:val="39"/>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Yên Nghĩa: Gần bến xe và ga metro, giá nhà tăng đáng kể.</w:t>
      </w:r>
      <w:r/>
    </w:p>
    <w:p>
      <w:pPr>
        <w:numPr>
          <w:ilvl w:val="0"/>
          <w:numId w:val="39"/>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Biên Giang, Đồng Mai: Xa hơn nhưng cũng ghi nhận mức giá tăng.</w:t>
      </w:r>
      <w:r/>
    </w:p>
    <w:p>
      <w:pPr>
        <w:pBdr>
          <w:top w:val="single" w:color="e5e5ea" w:sz="2" w:space="0"/>
          <w:left w:val="single" w:color="e5e5ea" w:sz="2" w:space="0"/>
          <w:bottom w:val="single" w:color="e5e5ea" w:sz="2" w:space="0"/>
          <w:right w:val="single" w:color="e5e5ea" w:sz="2" w:space="0"/>
        </w:pBdr>
        <w:spacing w:after="299" w:before="299"/>
        <w:ind w:right="0" w:firstLine="0" w:left="0"/>
        <w:jc w:val="both"/>
        <w:rPr/>
      </w:pPr>
      <w:r>
        <w:rPr>
          <w:rFonts w:ascii="Times New Roman" w:hAnsi="Times New Roman" w:eastAsia="Times New Roman" w:cs="Times New Roman"/>
          <w:color w:val="000000"/>
          <w:sz w:val="24"/>
        </w:rPr>
        <w:t xml:space="preserve">Bên cạnh đó, các nhà đầu tư cũng cần lưu ý đến một số rủi ro khi quy hoạch quận Hà Đông được công bố:</w:t>
      </w:r>
      <w:r/>
    </w:p>
    <w:p>
      <w:pPr>
        <w:numPr>
          <w:ilvl w:val="0"/>
          <w:numId w:val="40"/>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Một số khu vực có thể gặp rủi ro nếu nằm trong diện quy hoạch như đất công cộng, đất cây xanh hoặc đất giao thông.</w:t>
      </w:r>
      <w:r/>
    </w:p>
    <w:p>
      <w:pPr>
        <w:numPr>
          <w:ilvl w:val="0"/>
          <w:numId w:val="40"/>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Sự phát triển nhanh chóng có thể dẫn đến nguồn cung bất động sản tăng mạnh, tạo áp lực cạnh tranh và ảnh hưởng đến lợi nhuận đầu tư.</w:t>
      </w:r>
      <w:r/>
    </w:p>
    <w:p>
      <w:pPr>
        <w:numPr>
          <w:ilvl w:val="0"/>
          <w:numId w:val="40"/>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Giá trị bất động sản có thể bị ảnh hưởng nếu các dự án hạ tầng chậm tiến độ hoặc không được triển khai như kế hoạch.</w:t>
      </w:r>
      <w:r/>
    </w:p>
    <w:p>
      <w:pPr>
        <w:pBdr>
          <w:top w:val="single" w:color="e5e5ea" w:sz="2" w:space="0"/>
          <w:left w:val="single" w:color="e5e5ea" w:sz="2" w:space="0"/>
          <w:bottom w:val="single" w:color="e5e5ea" w:sz="2" w:space="0"/>
          <w:right w:val="single" w:color="e5e5ea" w:sz="2" w:space="0"/>
        </w:pBdr>
        <w:spacing w:after="299" w:before="299"/>
        <w:ind w:right="0" w:firstLine="0" w:left="0"/>
        <w:jc w:val="both"/>
        <w:rPr/>
      </w:pPr>
      <w:r>
        <w:rPr>
          <w:rFonts w:ascii="Times New Roman" w:hAnsi="Times New Roman" w:eastAsia="Times New Roman" w:cs="Times New Roman"/>
          <w:color w:val="000000"/>
          <w:sz w:val="24"/>
        </w:rPr>
        <w:t xml:space="preserve">Quy hoạch quận Hà Đông không chỉ giúp nâng cao chất lượng cuộc sống mà còn tạo ra động lực mạnh mẽ cho sự phát triển kinh tế và thị trường bất động sản, đồng thời góp phần xây dựng một cộng đồng dân cư ổn định, văn minh.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u w:val="none"/>
        </w:rPr>
      </w:pPr>
      <w:r>
        <w:rPr>
          <w:rFonts w:ascii="Times New Roman" w:hAnsi="Times New Roman" w:eastAsia="Times New Roman" w:cs="Times New Roman"/>
          <w:i/>
          <w:color w:val="000000"/>
          <w:sz w:val="24"/>
          <w:u w:val="none"/>
        </w:rPr>
        <w:t xml:space="preserve">(Nguồn:https://onehousing.vn/blog/quy-hoach-quan-ha-dong-ha-noi-sau-khi-sap-xep-lai-don-vi-hanh-chinh-n17t</w:t>
      </w:r>
      <w:r>
        <w:rPr>
          <w:rFonts w:ascii="Times New Roman" w:hAnsi="Times New Roman" w:eastAsia="Times New Roman" w:cs="Times New Roman"/>
          <w:sz w:val="24"/>
          <w:u w:val="none"/>
        </w:rPr>
        <w:t xml:space="preserve">)</w:t>
      </w:r>
      <w:r>
        <w:rPr>
          <w:u w:val="none"/>
        </w:rPr>
      </w:r>
    </w:p>
    <w:p>
      <w:pPr>
        <w:pStyle w:val="1028"/>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323"/>
        <w:gridCol w:w="2051"/>
        <w:gridCol w:w="2540"/>
        <w:gridCol w:w="2793"/>
      </w:tblGrid>
      <w:tr>
        <w:trPr>
          <w:trHeight w:val="1692"/>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both"/>
              <w:rPr>
                <w:b/>
                <w:bCs/>
              </w:rPr>
            </w:pPr>
            <w:r>
              <w:rPr>
                <w:rFonts w:ascii="Times New Roman" w:hAnsi="Times New Roman" w:eastAsia="Times New Roman" w:cs="Times New Roman"/>
                <w:b/>
                <w:bCs/>
                <w:color w:val="000000"/>
                <w:sz w:val="24"/>
              </w:rPr>
              <w:t xml:space="preserve">Tên tài sản</w:t>
            </w:r>
            <w:r>
              <w:rPr>
                <w:b/>
                <w:bCs/>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ight="148" w:firstLine="0" w:left="142"/>
              <w:jc w:val="both"/>
              <w:rPr>
                <w:b/>
                <w:bCs/>
              </w:rPr>
            </w:pPr>
            <w:r>
              <w:rPr>
                <w:rFonts w:ascii="Times New Roman" w:hAnsi="Times New Roman" w:eastAsia="Times New Roman" w:cs="Times New Roman"/>
                <w:b/>
                <w:bCs/>
                <w:color w:val="000000"/>
                <w:sz w:val="24"/>
              </w:rPr>
            </w:r>
            <w:r>
              <w:rPr>
                <w:b/>
                <w:bCs/>
                <w:color w:val="000000"/>
              </w:rPr>
              <w:t xml:space="preserve">Quyền sử dụng đất tại thửa đất số: CL3-12, tờ bản đồ số: 00 có địa chỉ: Khu đất dịch vụ Man Bồi Trong, phường Phú Lãm, quận Hà Đông, Thành phố Hà Nội </w:t>
            </w:r>
            <w:r>
              <w:rPr>
                <w:b/>
                <w:bCs/>
                <w:i/>
                <w:iCs/>
                <w:color w:val="000000"/>
              </w:rPr>
              <w:t xml:space="preserve">(Nay là phường Phú Lương, Thành phố Hà Nội) </w:t>
            </w:r>
            <w:r>
              <w:rPr>
                <w:b/>
                <w:bCs/>
                <w:color w:val="000000"/>
              </w:rPr>
              <w:t xml:space="preserve">theo</w:t>
            </w:r>
            <w:r>
              <w:rPr>
                <w:b/>
                <w:bCs/>
                <w:color w:val="000000"/>
              </w:rPr>
              <w:t xml:space="preserve"> Giấy chứng nhận quyền sử dụng đất, quyền sở hữu nhà ở và tài sản khác gắn liền với đất số: CH 888336, số vào sổ cấp GCN: CS-HĐO 11045 do Sở Tài nguyên và Môi trường Thành phố Hà Nội  cấp ngày 15/6/2017 cho Ông Nguyễn Duy Hưng và Bà Nghiêm Thị Thu Hương</w:t>
            </w:r>
            <w:r>
              <w:rPr>
                <w:b/>
                <w:bCs/>
                <w:i/>
                <w:iCs/>
              </w:rPr>
              <w:t xml:space="preserve">.</w:t>
            </w:r>
            <w:r>
              <w:rPr>
                <w:b/>
                <w:bCs/>
              </w:rPr>
            </w:r>
            <w:r>
              <w:rPr>
                <w:rFonts w:ascii="Times New Roman" w:hAnsi="Times New Roman" w:eastAsia="Times New Roman" w:cs="Times New Roman"/>
                <w:b/>
                <w:bCs/>
                <w:color w:val="000000"/>
                <w:sz w:val="24"/>
              </w:rPr>
            </w:r>
            <w:r>
              <w:rPr>
                <w:b/>
                <w:bCs/>
              </w:rPr>
            </w:r>
          </w:p>
        </w:tc>
      </w:tr>
      <w:tr>
        <w:trPr>
          <w:trHeight w:val="31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Thửa đất:</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CL3-12</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00</w:t>
            </w:r>
            <w:r/>
          </w:p>
        </w:tc>
      </w:tr>
      <w:tr>
        <w:trPr>
          <w:trHeight w:val="633"/>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Khu đất dịch vụ Man Bồi Trong, phường Phú Lãm, quận Hà Đông, Thành phố Hà Nội </w:t>
            </w:r>
            <w:r>
              <w:rPr>
                <w:rFonts w:ascii="Times New Roman" w:hAnsi="Times New Roman" w:eastAsia="Times New Roman" w:cs="Times New Roman"/>
                <w:i/>
                <w:color w:val="000000"/>
                <w:sz w:val="24"/>
              </w:rPr>
              <w:t xml:space="preserve">(Nay là phường Phú Lương, Thành phố Hà Nội).</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53,8 </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w:t>
            </w:r>
            <w:r/>
          </w:p>
        </w:tc>
      </w:tr>
      <w:tr>
        <w:trPr>
          <w:trHeight w:val="111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Đất cơ sở sản xuất phi nông nghiệp </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Lâu dài</w:t>
            </w:r>
            <w:r/>
          </w:p>
        </w:tc>
      </w:tr>
      <w:tr>
        <w:trPr>
          <w:trHeight w:val="5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Nguồn gốc sử dụng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Nhận chuyển nhượng đất được Nhà nước giao đất có thu tiền sử dụng đất </w:t>
            </w:r>
            <w:r/>
          </w:p>
        </w:tc>
      </w:tr>
      <w:tr>
        <w:trPr>
          <w:trHeight w:val="127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Ghi chú </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Giấy chứng nhận này được cấp đổi từ Giấy chứng nhận số BY 035511, by 035512, số vào sổ cấp GCN: CH-01707 do UBND quận Hà Đông cấp ngày 21/01/2015. </w:t>
            </w:r>
            <w:r>
              <w:rPr>
                <w:i/>
                <w:iCs/>
              </w:rPr>
            </w:r>
          </w:p>
          <w:p>
            <w:pPr>
              <w:pBdr/>
              <w:spacing w:after="0" w:before="0" w:line="240" w:lineRule="auto"/>
              <w:ind w:right="0" w:firstLine="0" w:left="142"/>
              <w:jc w:val="both"/>
              <w:rPr>
                <w:bCs/>
                <w:i/>
              </w:rPr>
            </w:pPr>
            <w:r>
              <w:rPr>
                <w:rFonts w:ascii="Times New Roman" w:hAnsi="Times New Roman" w:eastAsia="Times New Roman" w:cs="Times New Roman"/>
                <w:i/>
                <w:iCs/>
                <w:color w:val="000000"/>
                <w:sz w:val="24"/>
              </w:rPr>
              <w:t xml:space="preserve">+ Số tờ, số thửa và sơ đồ sẽ được điều chỉnh khi có bản đồ chính quy.</w:t>
            </w:r>
            <w:r>
              <w:rPr>
                <w:i/>
                <w:iCs/>
              </w:rPr>
            </w:r>
            <w:r>
              <w:rPr>
                <w:i/>
                <w:iCs/>
              </w:rPr>
            </w:r>
          </w:p>
        </w:tc>
      </w:tr>
      <w:tr>
        <w:trPr>
          <w:trHeight w:val="413"/>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Về đất:</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Vị trí; Giao thông:</w:t>
            </w:r>
            <w:r/>
          </w:p>
        </w:tc>
      </w:tr>
      <w:tr>
        <w:trPr>
          <w:trHeight w:val="64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 thực tế: </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Khu đất dịch vụ Man Bồi Trong, phường Phú Lãm, quận Hà Đông, Thành phố Hà Nội ( Nay là phường Phú Lương, Thành phố Hà Nội)</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tiếp giáp chính:</w:t>
            </w:r>
            <w:r/>
          </w:p>
        </w:tc>
        <w:tc>
          <w:tcPr>
            <w:shd w:val="clear" w:color="ffffff" w:fill="ffffff"/>
            <w:tcBorders>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nhựa </w:t>
            </w:r>
            <w:r/>
          </w:p>
        </w:tc>
        <w:tc>
          <w:tcPr>
            <w:shd w:val="clear" w:color="ffffff" w:fill="ffffff"/>
            <w:tcBorders>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Số mặt tiền:</w:t>
            </w:r>
            <w:r/>
          </w:p>
        </w:tc>
        <w:tc>
          <w:tcPr>
            <w:shd w:val="clear" w:color="ffffff" w:fill="ffffff"/>
            <w:tcBorders>
              <w:right w:val="single" w:color="000000" w:sz="5" w:space="0"/>
            </w:tcBorders>
            <w:tcMar>
              <w:left w:w="0" w:type="dxa"/>
              <w:top w:w="0" w:type="dxa"/>
              <w:right w:w="0" w:type="dxa"/>
              <w:bottom w:w="0" w:type="dxa"/>
            </w:tcMar>
            <w:tcW w:w="2793"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4"/>
              </w:rPr>
              <w:t xml:space="preserve">1 mặt tiền</w:t>
            </w:r>
            <w:r/>
          </w:p>
        </w:tc>
      </w:tr>
      <w:tr>
        <w:trPr>
          <w:trHeight w:val="147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6</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Mặt cắt đường/ngõ trước mặt tài sản thẩm định giá:</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6</w:t>
            </w:r>
            <w:r/>
          </w:p>
        </w:tc>
      </w:tr>
      <w:tr>
        <w:trPr>
          <w:trHeight w:val="97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Tài sản nằm trong khu đất dịch vụ Man Bồi Trong, Phường Phú Lương, Hà Nội </w:t>
            </w:r>
            <w:r/>
          </w:p>
        </w:tc>
      </w:tr>
      <w:tr>
        <w:trPr>
          <w:trHeight w:val="6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Giao thông:</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Tài sản nằm tiếp giáp đường nhựa rộng khoảng 6m+ 3m via hè </w:t>
            </w:r>
            <w:r/>
          </w:p>
        </w:tc>
      </w:tr>
      <w:tr>
        <w:trPr>
          <w:trHeight w:val="86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Hướng Tây Nam : Tiếp giáp đường nhựa rộng khoảng 6m+ 3m vỉa hè </w:t>
              <w:br/>
              <w:t xml:space="preserve">- Các hướng khác: Tiếp giáp thửa đất khác</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w:t>
            </w:r>
            <w:r>
              <w:rPr>
                <w:color w:val="000000"/>
              </w:rPr>
              <w:t xml:space="preserve">20.9532794</w:t>
            </w:r>
            <w:r>
              <w:rPr>
                <w:color w:val="000000"/>
              </w:rPr>
              <w:t xml:space="preserve">, </w:t>
            </w:r>
            <w:r>
              <w:rPr>
                <w:color w:val="000000"/>
              </w:rPr>
              <w:t xml:space="preserve">105.75586</w:t>
            </w:r>
            <w:r>
              <w:rPr>
                <w:color w:val="000000"/>
              </w:rPr>
              <w:t xml:space="preserve">)</w:t>
            </w:r>
            <w:r>
              <w:rPr>
                <w:rFonts w:ascii="Times New Roman" w:hAnsi="Times New Roman" w:eastAsia="Times New Roman" w:cs="Times New Roman"/>
                <w:color w:val="000000"/>
                <w:sz w:val="24"/>
              </w:rPr>
            </w:r>
            <w:r/>
          </w:p>
        </w:tc>
      </w:tr>
      <w:tr>
        <w:trPr>
          <w:trHeight w:val="7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03101" cy="29840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1044" name=""/>
                              <pic:cNvPicPr>
                                <a:picLocks noChangeAspect="1"/>
                              </pic:cNvPicPr>
                              <pic:nvPr/>
                            </pic:nvPicPr>
                            <pic:blipFill rotWithShape="1">
                              <a:blip r:embed="rId17"/>
                              <a:stretch/>
                            </pic:blipFill>
                            <pic:spPr bwMode="auto">
                              <a:xfrm flipH="0" flipV="0">
                                <a:off x="0" y="0"/>
                                <a:ext cx="5603101" cy="29840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1.19pt;height:234.9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Diện tích; Kích thước; Hình dáng</w:t>
            </w:r>
            <w:r/>
          </w:p>
        </w:tc>
      </w:tr>
      <w:tr>
        <w:trPr>
          <w:trHeight w:val="7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53,8 </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w:t>
            </w:r>
            <w:r/>
          </w:p>
        </w:tc>
      </w:tr>
      <w:tr>
        <w:trPr>
          <w:trHeight w:val="4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4,34</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Chiều sâu (m):</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12,40</w:t>
            </w:r>
            <w:r/>
          </w:p>
        </w:tc>
      </w:tr>
      <w:tr>
        <w:trPr>
          <w:trHeight w:val="4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4,34</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chữ nhật </w:t>
            </w:r>
            <w:r/>
          </w:p>
        </w:tc>
      </w:tr>
      <w:tr>
        <w:trPr>
          <w:trHeight w:val="49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Hướng mặt tiền chính: </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Tây </w:t>
            </w:r>
            <w:r/>
          </w:p>
        </w:tc>
      </w:tr>
      <w:tr>
        <w:trPr>
          <w:trHeight w:val="4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07"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3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Ổn định</w:t>
            </w:r>
            <w:r/>
          </w:p>
        </w:tc>
      </w:tr>
      <w:tr>
        <w:trPr>
          <w:trHeight w:val="4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5" w:space="0"/>
              <w:right w:val="single" w:color="000000" w:sz="5" w:space="0"/>
            </w:tcBorders>
            <w:tcMar>
              <w:left w:w="0" w:type="dxa"/>
              <w:top w:w="0" w:type="dxa"/>
              <w:right w:w="0" w:type="dxa"/>
              <w:bottom w:w="0" w:type="dxa"/>
            </w:tcMar>
            <w:tcW w:w="205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Thích hợp để ở</w:t>
            </w:r>
            <w:r/>
          </w:p>
        </w:tc>
        <w:tc>
          <w:tcPr>
            <w:shd w:val="clear" w:color="ffffff" w:fill="ffffff"/>
            <w:tcBorders>
              <w:bottom w:val="single" w:color="000000" w:sz="5" w:space="0"/>
              <w:right w:val="single" w:color="000000" w:sz="5" w:space="0"/>
            </w:tcBorders>
            <w:tcMar>
              <w:left w:w="0" w:type="dxa"/>
              <w:top w:w="0" w:type="dxa"/>
              <w:right w:w="0" w:type="dxa"/>
              <w:bottom w:w="0" w:type="dxa"/>
            </w:tcMar>
            <w:tcW w:w="254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5" w:space="0"/>
              <w:right w:val="single" w:color="000000" w:sz="5" w:space="0"/>
            </w:tcBorders>
            <w:tcMar>
              <w:left w:w="0" w:type="dxa"/>
              <w:top w:w="0" w:type="dxa"/>
              <w:right w:w="0" w:type="dxa"/>
              <w:bottom w:w="0" w:type="dxa"/>
            </w:tcMar>
            <w:tcW w:w="279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Tốt </w:t>
            </w:r>
            <w:r/>
          </w:p>
        </w:tc>
      </w:tr>
    </w:tbl>
    <w:p>
      <w:pPr>
        <w:pBdr/>
        <w:spacing w:line="235" w:lineRule="auto"/>
        <w:ind w:left="0"/>
        <w:jc w:val="both"/>
        <w:rPr>
          <w:b/>
          <w:bCs/>
          <w:u w:val="single"/>
        </w:rPr>
      </w:pPr>
      <w:r>
        <w:rPr>
          <w:b/>
          <w:bCs/>
          <w:highlight w:val="none"/>
          <w:u w:val="single"/>
        </w:rPr>
      </w:r>
      <w:r>
        <w:rPr>
          <w:b/>
          <w:bCs/>
          <w:highlight w:val="none"/>
          <w:u w:val="single"/>
        </w:rPr>
      </w:r>
      <w:r>
        <w:rPr>
          <w:b/>
          <w:bCs/>
          <w:u w:val="single"/>
        </w:rPr>
      </w:r>
    </w:p>
    <w:p>
      <w:pPr>
        <w:pBdr/>
        <w:spacing w:line="235" w:lineRule="auto"/>
        <w:ind w:left="0"/>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Lương,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Phú Lương,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Phú Lương,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Phú Lương, Thành phố Hà Nội</w:t>
            </w:r>
            <w:r>
              <w:rPr>
                <w:sz w:val="22"/>
                <w:szCs w:val="22"/>
              </w:rPr>
            </w:r>
            <w:r/>
          </w:p>
        </w:tc>
      </w:tr>
      <w:tr>
        <w:trPr>
          <w:trHeight w:val="5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0966898739</w:t>
            </w:r>
            <w:r>
              <w:rPr>
                <w:sz w:val="22"/>
                <w:szCs w:val="22"/>
              </w:rPr>
              <w:t xml:space="preserve"> </w:t>
            </w:r>
            <w:r>
              <w:rPr>
                <w:sz w:val="22"/>
                <w:szCs w:val="22"/>
              </w:rPr>
              <w:br/>
              <w:t xml:space="preserve">(</w:t>
            </w:r>
            <w:r>
              <w:rPr>
                <w:sz w:val="22"/>
                <w:szCs w:val="22"/>
              </w:rPr>
              <w:t xml:space="preserve">Sale Vũ 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0972741489</w:t>
            </w:r>
            <w:r>
              <w:rPr>
                <w:sz w:val="22"/>
                <w:szCs w:val="22"/>
              </w:rPr>
              <w:br/>
            </w:r>
            <w:r>
              <w:rPr>
                <w:sz w:val="22"/>
                <w:szCs w:val="22"/>
              </w:rPr>
              <w:t xml:space="preserve">(</w:t>
            </w:r>
            <w:r>
              <w:rPr>
                <w:sz w:val="22"/>
                <w:szCs w:val="22"/>
              </w:rPr>
              <w:t xml:space="preserve">Sale Nguyễn 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0969893457</w:t>
            </w:r>
            <w:r>
              <w:rPr>
                <w:sz w:val="22"/>
                <w:szCs w:val="22"/>
              </w:rPr>
              <w:br/>
            </w:r>
            <w:r>
              <w:rPr>
                <w:sz w:val="22"/>
                <w:szCs w:val="22"/>
              </w:rPr>
              <w:t xml:space="preserve">(</w:t>
            </w:r>
            <w:r>
              <w:rPr>
                <w:sz w:val="22"/>
                <w:szCs w:val="22"/>
              </w:rPr>
              <w:t xml:space="preserve">Sale Trần Hiện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4/2026</w:t>
            </w:r>
            <w:r>
              <w:rPr>
                <w:color w:val="000000"/>
                <w:sz w:val="22"/>
                <w:szCs w:val="22"/>
              </w:rPr>
            </w:r>
            <w:r/>
          </w:p>
        </w:tc>
      </w:tr>
      <w:tr>
        <w:trPr>
          <w:trHeight w:val="83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themeColor="text1"/>
                <w:sz w:val="22"/>
                <w:szCs w:val="22"/>
              </w:rPr>
              <w:t xml:space="preserve">Tài sản tại: Khu đất dịch vụ Man Bồi Trong, Phú Lương, Hà Nội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pPr>
            <w:r>
              <w:rPr>
                <w:color w:val="000000" w:themeColor="text1"/>
                <w:sz w:val="22"/>
                <w:szCs w:val="22"/>
              </w:rPr>
              <w:t xml:space="preserve">Tài sản tại: Khu đất dịch vụ Man Bồi Trong, Phú Lương,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pPr>
            <w:r>
              <w:rPr>
                <w:color w:val="000000" w:themeColor="text1"/>
                <w:sz w:val="22"/>
                <w:szCs w:val="22"/>
              </w:rPr>
              <w:t xml:space="preserve">Tài sản tại: Khu đất dịch vụ Man Bồi Trong, Phú Lương,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pPr>
            <w:r>
              <w:rPr>
                <w:color w:val="000000" w:themeColor="text1"/>
                <w:sz w:val="22"/>
                <w:szCs w:val="22"/>
              </w:rPr>
              <w:t xml:space="preserve">Tài sản tại: Khu đất dịch vụ Man Bồi Trong, Phú Lương, Hà Nội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lỗi phong thủy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lỗi phong thủy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lỗi phong thủy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bốt điện cạnh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13.903.500.000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12.878.000.000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13.903.500.000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12.878.000.000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242.420.394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230.532.720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13.306.002.000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12.508.892.352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11.526.636.000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242.420.394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230.532.720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Khu đất dịch vụ Man Bồi Trong, Phú Lương, Hà Nội</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Khu đất dịch vụ Man Bồi Trong, Phú Lương, Hà Nội</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Khu đất dịch vụ Man Bồi Trong, Phú Lương, Hà Nội</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Khu đất dịch vụ Man Bồi Trong, Phú Lương, Hà Nội</w:t>
            </w:r>
            <w:r>
              <w:rPr>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266.120.040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255.920.040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248.214.968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219.572.720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255.920.040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233.728.534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219.572.720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255.920.040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233.728.534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219.572.720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255.920.040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233.728.534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219.572.720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255.920.040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233.728.534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219.572.720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lỗi phong thủy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Không lỗi phong thủy</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Không lỗi phong thủy</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bốt điện cạnh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11.663.636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255.920.040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233.728.534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231.236.356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266.120.040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242.420.394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242.196.356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250.245.597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11.663.636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11.663.636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-3,22</w:t>
      </w:r>
      <w:r>
        <w:t xml:space="preserve">% đến</w:t>
      </w:r>
      <w:r>
        <w:t xml:space="preserve"> </w:t>
      </w:r>
      <w:r>
        <w:t xml:space="preserve"> </w:t>
      </w:r>
      <w:r>
        <w:t xml:space="preserve">6,34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266.120.040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88.724.421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242.420.394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80.798.717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242.196.356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80.724.045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250.247.183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250.000.000</w:t>
      </w:r>
      <w:r>
        <w:rPr>
          <w:b/>
          <w:bCs/>
          <w:color w:val="000000" w:themeColor="text1"/>
        </w:rPr>
        <w:t xml:space="preserve"> </w:t>
      </w:r>
      <w:r>
        <w:rPr>
          <w:b/>
          <w:bCs/>
        </w:rPr>
        <w:t xml:space="preserve">đồng/m².</w:t>
      </w:r>
      <w:r>
        <w:rPr>
          <w:b/>
          <w:bCs/>
        </w:rPr>
      </w:r>
      <w:r>
        <w:rPr>
          <w:b/>
          <w:bCs/>
        </w:rPr>
      </w:r>
    </w:p>
    <w:p>
      <w:pPr>
        <w:pStyle w:val="102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8"/>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W w:w="498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3226"/>
        <w:gridCol w:w="1559"/>
        <w:gridCol w:w="1805"/>
        <w:gridCol w:w="1951"/>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90" w:type="dxa"/>
            <w:vAlign w:val="center"/>
            <w:textDirection w:val="lrTb"/>
            <w:noWrap w:val="false"/>
          </w:tcPr>
          <w:p>
            <w:pPr>
              <w:pBdr/>
              <w:spacing w:after="40" w:before="40" w:line="264" w:lineRule="auto"/>
              <w:ind/>
              <w:jc w:val="both"/>
              <w:rPr>
                <w:b/>
                <w:bCs/>
              </w:rPr>
            </w:pPr>
            <w:r>
              <w:rPr>
                <w:b/>
                <w:bCs/>
                <w:color w:val="000000"/>
              </w:rPr>
              <w:t xml:space="preserve">Quyền sử dụng đất tại thửa đất số: CL3-12, tờ bản đồ số: 9 có địa chỉ: Khu đất dịch vụ Man Bồi Trong, phường Phú Lãm, quận Hà Đông, Thành phố Hà Nội </w:t>
            </w:r>
            <w:r>
              <w:rPr>
                <w:b/>
                <w:bCs/>
                <w:i/>
                <w:iCs/>
                <w:color w:val="000000"/>
              </w:rPr>
              <w:t xml:space="preserve">(Nay là phường Phú Lương, Thành phố Hà Nội)</w:t>
            </w:r>
            <w:r>
              <w:rPr>
                <w:b/>
                <w:bCs/>
                <w:color w:val="000000"/>
              </w:rPr>
              <w:t xml:space="preserve"> theo</w:t>
            </w:r>
            <w:r>
              <w:rPr>
                <w:b/>
                <w:bCs/>
                <w:color w:val="000000"/>
              </w:rPr>
              <w:t xml:space="preserve"> Giấy chứng nhận quyền sử dụng đất, quyền sở hữu nhà ở và tài sản khác gắn liền với đất   số: CH 888336, số vào sổ cấp GCN: CS-HĐO 11045 do Sở tài nguyên và Môi trường Thành phố Hà Nội  cấp ngày 15/06/2017 cho Ông Nguyễn Duy Hưng và Bà Nghiêm Thị Thu Hương</w:t>
            </w:r>
            <w:r>
              <w:rPr>
                <w:b/>
                <w:bCs/>
              </w:rPr>
              <w:t xml:space="preserve">.</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226" w:type="dxa"/>
            <w:vAlign w:val="center"/>
            <w:textDirection w:val="lrTb"/>
            <w:noWrap w:val="false"/>
          </w:tcPr>
          <w:p>
            <w:pPr>
              <w:pBdr/>
              <w:spacing w:after="40" w:before="40" w:line="288" w:lineRule="auto"/>
              <w:ind/>
              <w:rPr>
                <w:b w:val="0"/>
                <w:bCs w:val="0"/>
              </w:rPr>
            </w:pPr>
            <w:r>
              <w:rPr>
                <w:b w:val="0"/>
                <w:bCs w:val="0"/>
              </w:rPr>
              <w:t xml:space="preserve">Đất CSSX phi nông nghiệp</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53,8</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250.000.000</w:t>
            </w:r>
            <w:r/>
            <w:r/>
          </w:p>
        </w:tc>
        <w:tc>
          <w:tcPr>
            <w:shd w:val="clear" w:color="000000" w:fill="ffffff"/>
            <w:tcBorders/>
            <w:tcW w:w="1951" w:type="dxa"/>
            <w:vAlign w:val="center"/>
            <w:textDirection w:val="lrTb"/>
            <w:noWrap w:val="false"/>
          </w:tcPr>
          <w:p>
            <w:pPr>
              <w:pBdr/>
              <w:spacing w:after="40" w:before="40" w:line="288" w:lineRule="auto"/>
              <w:ind/>
              <w:jc w:val="center"/>
              <w:rPr/>
            </w:pPr>
            <w:r>
              <w:rPr>
                <w:color w:val="000000" w:themeColor="text1"/>
              </w:rPr>
              <w:t xml:space="preserve">13.450.000.000</w:t>
            </w:r>
            <w:r/>
            <w:r/>
          </w:p>
        </w:tc>
      </w:tr>
      <w:tr>
        <w:trPr>
          <w:trHeight w:val="20"/>
        </w:trPr>
        <w:tc>
          <w:tcPr>
            <w:gridSpan w:val="4"/>
            <w:tcBorders/>
            <w:tcW w:w="754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51" w:type="dxa"/>
            <w:vAlign w:val="center"/>
            <w:textDirection w:val="lrTb"/>
            <w:noWrap/>
          </w:tcPr>
          <w:p>
            <w:pPr>
              <w:pBdr/>
              <w:spacing w:after="40" w:before="40" w:line="288" w:lineRule="auto"/>
              <w:ind/>
              <w:jc w:val="center"/>
              <w:rPr>
                <w:b/>
                <w:bCs/>
                <w:color w:val="000000"/>
              </w:rPr>
            </w:pPr>
            <w:r>
              <w:rPr>
                <w:b/>
                <w:bCs/>
              </w:rPr>
              <w:t xml:space="preserve">13.450.000.000</w:t>
            </w:r>
            <w:r>
              <w:rPr>
                <w:b/>
                <w:bCs/>
                <w:color w:val="000000"/>
              </w:rPr>
            </w:r>
            <w:r>
              <w:rPr>
                <w:b/>
                <w:bCs/>
                <w:color w:val="000000"/>
              </w:rPr>
            </w:r>
          </w:p>
        </w:tc>
      </w:tr>
      <w:tr>
        <w:trPr>
          <w:trHeight w:val="20"/>
        </w:trPr>
        <w:tc>
          <w:tcPr>
            <w:gridSpan w:val="5"/>
            <w:tcBorders/>
            <w:tcW w:w="9493"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ba tỷ, bốn trăm năm mươi triệu đồng chẵn</w:t>
            </w:r>
            <w:r>
              <w:rPr>
                <w:b/>
                <w:bCs/>
                <w:i/>
                <w:iCs/>
                <w:color w:val="000000"/>
              </w:rPr>
              <w:t xml:space="preserve">./.)</w:t>
            </w:r>
            <w:r>
              <w:rPr>
                <w:b/>
                <w:bCs/>
                <w:i/>
                <w:iCs/>
                <w:color w:val="000000"/>
              </w:rPr>
            </w:r>
            <w:r>
              <w:rPr>
                <w:b/>
                <w:bCs/>
                <w:i/>
                <w:iCs/>
                <w:color w:val="000000"/>
              </w:rPr>
            </w:r>
          </w:p>
        </w:tc>
      </w:tr>
    </w:tbl>
    <w:p>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8"/>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8"/>
        <w:pBdr/>
        <w:tabs>
          <w:tab w:val="left" w:leader="none" w:pos="993"/>
        </w:tabs>
        <w:spacing w:after="120" w:before="120" w:line="288" w:lineRule="auto"/>
        <w:ind w:left="0"/>
        <w:jc w:val="both"/>
        <w:rPr>
          <w:lang w:val="pt-BR"/>
        </w:rPr>
      </w:pPr>
      <w:r>
        <w:rPr>
          <w:highlight w:val="none"/>
          <w:lang w:val="pt-BR" w:bidi="pt-BR"/>
        </w:rPr>
      </w:r>
      <w:r>
        <w:rPr>
          <w:highlight w:val="none"/>
          <w:lang w:val="pt-BR"/>
        </w:rPr>
      </w:r>
      <w:r>
        <w:rPr>
          <w:lang w:val="pt-BR"/>
        </w:rPr>
      </w:r>
    </w:p>
    <w:p>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275/2026/0543/VFI-CT.53.A</w:t>
      </w:r>
      <w:r>
        <w:rPr>
          <w:color w:val="ff0000"/>
          <w:lang w:val="vi-VN"/>
        </w:rPr>
        <w:t xml:space="preserve"> </w:t>
      </w:r>
      <w:r>
        <w:rPr>
          <w:color w:val="000000" w:themeColor="text1"/>
        </w:rPr>
        <w:t xml:space="preserve">ngày 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275/2026/0543/VFI-BC.53.A</w:t>
      </w:r>
      <w:r>
        <w:rPr>
          <w:i/>
          <w:lang w:val="pt-BR"/>
        </w:rPr>
        <w:t xml:space="preserve">  ngày </w:t>
      </w:r>
      <w:r>
        <w:rPr>
          <w:i/>
          <w:lang w:val="pt-BR"/>
        </w:rPr>
        <w:t xml:space="preserve">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93606" cy="238078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45368" name=""/>
                              <pic:cNvPicPr>
                                <a:picLocks noChangeAspect="1"/>
                              </pic:cNvPicPr>
                              <pic:nvPr/>
                            </pic:nvPicPr>
                            <pic:blipFill rotWithShape="1">
                              <a:blip r:embed="rId18"/>
                              <a:stretch/>
                            </pic:blipFill>
                            <pic:spPr bwMode="auto">
                              <a:xfrm flipH="1" flipV="0">
                                <a:off x="0" y="0"/>
                                <a:ext cx="2193606" cy="23807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2.72pt;height:187.46pt;mso-wrap-distance-left:0.00pt;mso-wrap-distance-top:0.00pt;mso-wrap-distance-right:0.00pt;mso-wrap-distance-bottom:0.00pt;flip:x;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3812" cy="216285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31492" name=""/>
                              <pic:cNvPicPr>
                                <a:picLocks noChangeAspect="1"/>
                              </pic:cNvPicPr>
                              <pic:nvPr/>
                            </pic:nvPicPr>
                            <pic:blipFill rotWithShape="1">
                              <a:blip r:embed="rId19"/>
                              <a:stretch/>
                            </pic:blipFill>
                            <pic:spPr bwMode="auto">
                              <a:xfrm flipH="0" flipV="0">
                                <a:off x="0" y="0"/>
                                <a:ext cx="2883811" cy="2162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07pt;height:170.3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47708" cy="26607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95115" name=""/>
                              <pic:cNvPicPr>
                                <a:picLocks noChangeAspect="1"/>
                              </pic:cNvPicPr>
                              <pic:nvPr/>
                            </pic:nvPicPr>
                            <pic:blipFill rotWithShape="1">
                              <a:blip r:embed="rId20"/>
                              <a:stretch/>
                            </pic:blipFill>
                            <pic:spPr bwMode="auto">
                              <a:xfrm flipH="0" flipV="0">
                                <a:off x="0" y="0"/>
                                <a:ext cx="3547707" cy="26607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9.35pt;height:209.5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55287" cy="244146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70851" name=""/>
                              <pic:cNvPicPr>
                                <a:picLocks noChangeAspect="1"/>
                              </pic:cNvPicPr>
                              <pic:nvPr/>
                            </pic:nvPicPr>
                            <pic:blipFill rotWithShape="1">
                              <a:blip r:embed="rId21"/>
                              <a:stretch/>
                            </pic:blipFill>
                            <pic:spPr bwMode="auto">
                              <a:xfrm flipH="0" flipV="0">
                                <a:off x="0" y="0"/>
                                <a:ext cx="3255286" cy="2441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6.32pt;height:192.2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4085" cy="22305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66308" name=""/>
                              <pic:cNvPicPr>
                                <a:picLocks noChangeAspect="1"/>
                              </pic:cNvPicPr>
                              <pic:nvPr/>
                            </pic:nvPicPr>
                            <pic:blipFill rotWithShape="1">
                              <a:blip r:embed="rId22"/>
                              <a:stretch/>
                            </pic:blipFill>
                            <pic:spPr bwMode="auto">
                              <a:xfrm flipH="0" flipV="0">
                                <a:off x="0" y="0"/>
                                <a:ext cx="2974084" cy="22305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4.18pt;height:175.6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97510" cy="22481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63995" name=""/>
                              <pic:cNvPicPr>
                                <a:picLocks noChangeAspect="1"/>
                              </pic:cNvPicPr>
                              <pic:nvPr/>
                            </pic:nvPicPr>
                            <pic:blipFill rotWithShape="1">
                              <a:blip r:embed="rId23"/>
                              <a:stretch/>
                            </pic:blipFill>
                            <pic:spPr bwMode="auto">
                              <a:xfrm flipH="0" flipV="0">
                                <a:off x="0" y="0"/>
                                <a:ext cx="2997509" cy="22481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02pt;height:177.0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275/2026/0543/VFI-BC.53.A</w:t>
      </w:r>
      <w:r>
        <w:rPr>
          <w:i/>
          <w:lang w:val="pt-BR"/>
        </w:rPr>
        <w:t xml:space="preserve"> ngày </w:t>
      </w:r>
      <w:r>
        <w:rPr>
          <w:i/>
          <w:lang w:val="pt-BR"/>
        </w:rPr>
        <w:t xml:space="preserve">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66" w:type="dxa"/>
        <w:tblBorders/>
        <w:tblLayout w:type="fixed"/>
        <w:tblLook w:val="04A0" w:firstRow="1" w:lastRow="0" w:firstColumn="1" w:lastColumn="0" w:noHBand="0" w:noVBand="1"/>
      </w:tblPr>
      <w:tblGrid>
        <w:gridCol w:w="632"/>
        <w:gridCol w:w="4493"/>
        <w:gridCol w:w="454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0966898739</w:t>
            </w:r>
            <w:r>
              <w:rPr>
                <w:sz w:val="22"/>
                <w:szCs w:val="22"/>
              </w:rPr>
              <w:t xml:space="preserve"> </w:t>
            </w:r>
            <w:r>
              <w:rPr>
                <w:sz w:val="22"/>
                <w:szCs w:val="22"/>
              </w:rPr>
              <w:br/>
              <w:t xml:space="preserve">(Sale Vũ 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15.810.000.000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ind/>
              <w:jc w:val="center"/>
              <w:rPr/>
            </w:pPr>
            <w:r>
              <w:rPr>
                <w:color w:val="000000" w:themeColor="text1"/>
                <w:sz w:val="22"/>
                <w:szCs w:val="22"/>
              </w:rPr>
              <w:t xml:space="preserve">Tài sản tại: Khu đất dịch vụ Man Bồi Trong, Phường Phú Lương, Hà Nội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4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34"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5305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4530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1.8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35562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3556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42.9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3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0972741489</w:t>
            </w:r>
            <w:r>
              <w:rPr>
                <w:sz w:val="22"/>
                <w:szCs w:val="22"/>
              </w:rPr>
              <w:t xml:space="preserve"> </w:t>
            </w:r>
            <w:r>
              <w:rPr>
                <w:sz w:val="22"/>
                <w:szCs w:val="22"/>
              </w:rPr>
              <w:br/>
              <w:t xml:space="preserve">(Sale Nguyễn 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13.903.500.000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(51,6m²)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Khu đất dịch vụ Man Bồi Trong, Phường Phú Lương, Hà Nội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7012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5701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9.8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4430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4443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8.6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0969893457</w:t>
            </w:r>
            <w:r>
              <w:rPr>
                <w:sz w:val="22"/>
                <w:szCs w:val="22"/>
              </w:rPr>
              <w:t xml:space="preserve"> </w:t>
            </w:r>
            <w:r>
              <w:rPr>
                <w:sz w:val="22"/>
                <w:szCs w:val="22"/>
              </w:rPr>
              <w:br/>
              <w:t xml:space="preserve">(Sale Trần Hiện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12.878.000.000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Khu đất dịch vụ Man Bồi Trong, Phường Phú Lương, Hà Nội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2029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7202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71.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1845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7184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1.5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466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6346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3.6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gridSpan w:val="2"/>
            <w:tcBorders/>
            <w:tcW w:w="9203" w:type="dxa"/>
            <w:vAlign w:val="center"/>
            <w:textDirection w:val="lrTb"/>
            <w:noWrap w:val="false"/>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                                                                  Trần Thị Thanh Tâm</w:t>
            </w:r>
            <w:r>
              <w:rPr>
                <w:highlight w:val="none"/>
              </w:rPr>
            </w:r>
          </w:p>
          <w:p>
            <w:pPr>
              <w:pBdr/>
              <w:spacing/>
              <w:ind/>
              <w:jc w:val="left"/>
              <w:rPr/>
            </w:pPr>
            <w:r/>
            <w:r/>
          </w:p>
          <w:p>
            <w:pPr>
              <w:pBdr/>
              <w:spacing/>
              <w:ind/>
              <w:jc w:val="center"/>
              <w:rPr/>
            </w:pPr>
            <w:r/>
            <w:r/>
          </w:p>
        </w:tc>
      </w:tr>
    </w:tbl>
    <w:p>
      <w:pPr>
        <w:pBdr/>
        <w:spacing w:after="200" w:line="276" w:lineRule="auto"/>
        <w:ind/>
        <w:jc w:val="center"/>
        <w:rPr>
          <w:b/>
          <w:bCs/>
          <w:iCs/>
          <w:highlight w:val="none"/>
        </w:rPr>
      </w:pPr>
      <w:r>
        <w:rPr>
          <w:b/>
          <w:bCs/>
          <w:iCs/>
          <w:lang w:val="pt-BR"/>
        </w:rPr>
        <w:t xml:space="preserve">HỒ SƠ PHÁP LÝ</w:t>
      </w:r>
      <w:r>
        <w:rPr>
          <w:b/>
          <w:bCs/>
          <w:iCs/>
          <w:lang w:val="pt-BR"/>
        </w:rPr>
      </w:r>
      <w:r>
        <w:rPr>
          <w:b/>
          <w:bCs/>
          <w:iCs/>
          <w:highlight w:val="none"/>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510128" cy="589060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55453" name=""/>
                        <pic:cNvPicPr>
                          <a:picLocks noChangeAspect="1"/>
                        </pic:cNvPicPr>
                        <pic:nvPr/>
                      </pic:nvPicPr>
                      <pic:blipFill rotWithShape="1">
                        <a:blip r:embed="rId34"/>
                        <a:stretch/>
                      </pic:blipFill>
                      <pic:spPr bwMode="auto">
                        <a:xfrm rot="5399977" flipH="0" flipV="0">
                          <a:off x="0" y="0"/>
                          <a:ext cx="8510127" cy="5890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70.09pt;height:463.83pt;mso-wrap-distance-left:0.00pt;mso-wrap-distance-top:0.00pt;mso-wrap-distance-right:0.00pt;mso-wrap-distance-bottom:0.00pt;rotation:89;z-index:1;" stroked="false">
                <v:imagedata r:id="rId34" o:title=""/>
                <o:lock v:ext="edit" rotation="t"/>
              </v:shape>
            </w:pict>
          </mc:Fallback>
        </mc:AlternateContent>
      </w:r>
      <w:r>
        <w:rPr>
          <w:lang w:val="pt-BR"/>
        </w:rPr>
      </w:r>
      <w:r>
        <w:rPr>
          <w:highlight w:val="none"/>
          <w:lang w:val="pt-BR" w:bidi="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highlight w:val="none"/>
        </w:rPr>
      </w:pPr>
      <w:r>
        <w:rPr>
          <w:iCs/>
          <w:highlight w:val="none"/>
          <w:lang w:val="pt-BR" w:bidi="pt-BR"/>
        </w:rPr>
      </w:r>
      <w:r>
        <mc:AlternateContent>
          <mc:Choice Requires="wpg">
            <w:drawing>
              <wp:inline xmlns:wp="http://schemas.openxmlformats.org/drawingml/2006/wordprocessingDrawing" distT="0" distB="0" distL="0" distR="0">
                <wp:extent cx="8505285" cy="5953699"/>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69178" name=""/>
                        <pic:cNvPicPr>
                          <a:picLocks noChangeAspect="1"/>
                        </pic:cNvPicPr>
                        <pic:nvPr/>
                      </pic:nvPicPr>
                      <pic:blipFill rotWithShape="1">
                        <a:blip r:embed="rId35"/>
                        <a:stretch/>
                      </pic:blipFill>
                      <pic:spPr bwMode="auto">
                        <a:xfrm rot="5399977" flipH="0" flipV="0">
                          <a:off x="0" y="0"/>
                          <a:ext cx="8505284" cy="5953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669.71pt;height:468.80pt;mso-wrap-distance-left:0.00pt;mso-wrap-distance-top:0.00pt;mso-wrap-distance-right:0.00pt;mso-wrap-distance-bottom:0.00pt;rotation:89;z-index:1;" stroked="false">
                <v:imagedata r:id="rId35" o:title=""/>
                <o:lock v:ext="edit" rotation="t"/>
              </v:shape>
            </w:pict>
          </mc:Fallback>
        </mc:AlternateContent>
      </w:r>
      <w:r>
        <w:rPr>
          <w:lang w:val="pt-BR"/>
        </w:rPr>
      </w:r>
      <w:r>
        <w:rPr>
          <w:highlight w:val="none"/>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b/>
          <w:bCs/>
          <w:highlight w:val="none"/>
          <w:lang w:val="pt-BR" w:bidi="pt-BR"/>
        </w:rPr>
      </w:pPr>
      <w:r>
        <w:rPr>
          <w:b/>
          <w:bCs/>
          <w:highlight w:val="none"/>
          <w:lang w:val="pt-BR" w:bidi="pt-BR"/>
        </w:rPr>
        <w:t xml:space="preserve">BIÊN BẢN KHẢO SÁT</w:t>
      </w:r>
      <w:r>
        <w:rPr>
          <w:b/>
          <w:bCs/>
        </w:rPr>
      </w:r>
      <w:r>
        <w:rPr>
          <w:b/>
          <w:bCs/>
          <w:highlight w:val="none"/>
          <w:lang w:val="pt-BR" w:bidi="pt-BR"/>
        </w:rPr>
      </w:r>
    </w:p>
    <w:p>
      <w:pPr>
        <w:pBdr/>
        <w:spacing w:after="200" w:line="276" w:lineRule="auto"/>
        <w:ind/>
        <w:jc w:val="center"/>
        <w:rPr>
          <w:b/>
          <w:bCs/>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59970"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highlight w:val="none"/>
          <w:lang w:val="pt-BR" w:bidi="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E9A8F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20EB5D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2026-04-08T09:31:51Z</dcterms:modified>
</cp:coreProperties>
</file>