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82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82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275/2026/0497/VFI-CT.24.A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Quốc Bảo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trên đất tại thửa đất số 3250, tờ bản đồ số 8 có địa chỉ xã Nghĩa Trụ, huyện Văn Gi</w:t>
                            </w:r>
                            <w:r>
                              <w:rPr>
                                <w:color w:val="000000"/>
                              </w:rPr>
                              <w:t xml:space="preserve">ang, tỉnh Hưng Yên </w:t>
                            </w:r>
                            <w:r>
                              <w:rPr>
                                <w:i/>
                                <w:iCs/>
                                <w:color w:val="000000"/>
                              </w:rPr>
                              <w:t xml:space="preserve">(Nay là xã Nghĩa Trụ, tỉnh Hưng Yên) </w:t>
                            </w:r>
                            <w:r>
                              <w:rPr>
                                <w:color w:val="000000"/>
                              </w:rPr>
                              <w:t xml:space="preserve">theo Giấy chứng nhận quyền sử dụng đất, quyền sở hữ tìa sản gắn liền với đất số AA01894635 số vào sổ cấp GCN VP4123 do Văn phòng đăng ký đất đai tỉnh Hưng Yên cấp ngày 22/5/2025 cho ông Hoàng Quốc Bảo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275/2026/0497/VFI-CT.24.A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Quốc Bảo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trên đất tại thửa đất số 3250, tờ bản đồ số 8 có địa chỉ xã Nghĩa Trụ, huyện Văn Gi</w:t>
                      </w:r>
                      <w:r>
                        <w:rPr>
                          <w:color w:val="000000"/>
                        </w:rPr>
                        <w:t xml:space="preserve">ang, tỉnh Hưng Yên </w:t>
                      </w:r>
                      <w:r>
                        <w:rPr>
                          <w:i/>
                          <w:iCs/>
                          <w:color w:val="000000"/>
                        </w:rPr>
                        <w:t xml:space="preserve">(Nay là xã Nghĩa Trụ, tỉnh Hưng Yên) </w:t>
                      </w:r>
                      <w:r>
                        <w:rPr>
                          <w:color w:val="000000"/>
                        </w:rPr>
                        <w:t xml:space="preserve">theo Giấy chứng nhận quyền sử dụng đất, quyền sở hữ tìa sản gắn liền với đất số AA01894635 số vào sổ cấp GCN VP4123 do Văn phòng đăng ký đất đai tỉnh Hưng Yên cấp ngày 22/5/2025 cho ông Hoàng Quốc Bảo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23-24</w:t>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25-30</w:t>
            </w:r>
            <w:r>
              <w:rPr>
                <w:b/>
                <w:bCs/>
              </w:rPr>
            </w:r>
            <w:r>
              <w:rPr>
                <w:b/>
                <w:bCs/>
              </w:rPr>
            </w:r>
          </w:p>
        </w:tc>
      </w:tr>
    </w:tbl>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417"/>
        <w:gridCol w:w="2409"/>
        <w:gridCol w:w="6094"/>
      </w:tblGrid>
      <w:tr>
        <w:trPr>
          <w:trHeight w:val="115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827"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275/2026/0497/VFI-CT.24.A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bl>
    <w:p>
      <w:pPr>
        <w:pStyle w:val="1033"/>
        <w:pBdr/>
        <w:spacing w:after="120" w:before="200" w:line="288" w:lineRule="auto"/>
        <w:ind/>
        <w:jc w:val="center"/>
        <w:rPr>
          <w:rStyle w:val="1032"/>
          <w:rFonts w:ascii="Times New Roman" w:hAnsi="Times New Roman"/>
          <w:b/>
          <w:bCs/>
          <w:color w:val="auto"/>
          <w:sz w:val="30"/>
          <w:szCs w:val="30"/>
          <w:lang w:val="vi-VN"/>
        </w:rPr>
      </w:pPr>
      <w:r>
        <w:rPr>
          <w:rStyle w:val="1032"/>
          <w:rFonts w:ascii="Times New Roman" w:hAnsi="Times New Roman"/>
          <w:b/>
          <w:bCs/>
          <w:color w:val="auto"/>
          <w:sz w:val="30"/>
          <w:szCs w:val="30"/>
          <w:lang w:val="vi-VN"/>
        </w:rPr>
        <w:t xml:space="preserve">CHỨNG THƯ THẨM ĐỊNH GIÁ</w:t>
      </w:r>
      <w:r>
        <w:rPr>
          <w:rStyle w:val="1032"/>
          <w:rFonts w:ascii="Times New Roman" w:hAnsi="Times New Roman"/>
          <w:b/>
          <w:bCs/>
          <w:color w:val="auto"/>
          <w:sz w:val="30"/>
          <w:szCs w:val="30"/>
          <w:lang w:val="vi-VN"/>
        </w:rPr>
      </w:r>
      <w:r>
        <w:rPr>
          <w:rStyle w:val="103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Quốc Bảo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275/2026/0497/VFI-HĐTĐ.24.A</w:t>
      </w:r>
      <w:r>
        <w:rPr>
          <w:spacing w:val="-4"/>
          <w:lang w:val="vi-VN"/>
        </w:rPr>
        <w:t xml:space="preserve"> ký ngày </w:t>
      </w:r>
      <w:r>
        <w:rPr>
          <w:color w:val="000000" w:themeColor="text1"/>
          <w:spacing w:val="-4"/>
        </w:rPr>
        <w:t xml:space="preserve">31 tháng 3 năm 2026</w:t>
      </w:r>
      <w:r>
        <w:rPr>
          <w:spacing w:val="-4"/>
          <w:lang w:val="vi-VN"/>
        </w:rPr>
        <w:t xml:space="preserve"> </w:t>
      </w:r>
      <w:r>
        <w:rPr>
          <w:spacing w:val="-4"/>
          <w:lang w:val="vi-VN"/>
        </w:rPr>
        <w:t xml:space="preserve">giữa </w:t>
      </w:r>
      <w:r>
        <w:rPr>
          <w:color w:val="000000" w:themeColor="text1"/>
          <w:spacing w:val="-4"/>
        </w:rPr>
        <w:t xml:space="preserve">Ông Hoàng Quốc Bảo</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275/2026/0497/VFI-BC.24.A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31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Hoàng Quốc Bảo</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001091000026</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p>
            <w:pPr>
              <w:pBdr/>
              <w:spacing w:after="40" w:before="40" w:line="276" w:lineRule="auto"/>
              <w:ind/>
              <w:jc w:val="both"/>
              <w:rPr>
                <w:bCs/>
                <w:color w:val="000000" w:themeColor="text1"/>
                <w:lang w:val="pt-BR"/>
              </w:rPr>
            </w:pPr>
            <w:r>
              <w:rPr>
                <w:bCs/>
                <w:color w:val="000000" w:themeColor="text1"/>
                <w:lang w:val="pt-BR"/>
              </w:rPr>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128 Khâm Thiên, phường Khâm Thiên, quận Đống Đa, Hà Nội </w:t>
            </w:r>
            <w:r>
              <w:rPr>
                <w:rFonts w:ascii="Times New Roman" w:hAnsi="Times New Roman" w:eastAsia="Times New Roman" w:cs="Times New Roman"/>
                <w:i/>
                <w:color w:val="000000"/>
                <w:sz w:val="24"/>
              </w:rPr>
              <w:t xml:space="preserve">(Nay là phường Văn Miếu – Quốc Tử Giám,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ayout w:type="fixed"/>
        <w:tblLook w:val="04A0" w:firstRow="1" w:lastRow="0" w:firstColumn="1" w:lastColumn="0" w:noHBand="0" w:noVBand="1"/>
      </w:tblPr>
      <w:tblGrid>
        <w:gridCol w:w="2046"/>
        <w:gridCol w:w="216"/>
        <w:gridCol w:w="7411"/>
      </w:tblGrid>
      <w:tr>
        <w:trPr>
          <w:trHeight w:val="20"/>
        </w:trPr>
        <w:tc>
          <w:tcPr>
            <w:tcBorders/>
            <w:tcW w:w="2046"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41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Thông báo</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1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11"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công trình xây dựng trên đất tại thửa đất số 3250, tờ bản đồ số 8 có địa chỉ xã Nghĩa Trụ, huyện Văn Gi</w:t>
      </w:r>
      <w:r>
        <w:rPr>
          <w:color w:val="000000" w:themeColor="text1"/>
        </w:rPr>
        <w:t xml:space="preserve">ang, tỉnh Hưng Yên </w:t>
      </w:r>
      <w:r>
        <w:rPr>
          <w:i/>
          <w:iCs/>
          <w:color w:val="000000" w:themeColor="text1"/>
        </w:rPr>
        <w:t xml:space="preserve">(Nay là xã Nghĩa Trụ, tỉnh Hưng Yên)</w:t>
      </w:r>
      <w:r>
        <w:rPr>
          <w:color w:val="000000" w:themeColor="text1"/>
        </w:rPr>
        <w:t xml:space="preserve"> theo Giấy chứng nhận quyền sử dụng đất, quyền sở hữ tìa sản gắn liền với đất số AA01894635 số vào sổ cấp GCN VP4123 do Văn phòng đăng ký đất đai tỉnh Hưng Yên cấp ngày 22/5/2025 cho ông Hoàng Quốc Bảo</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Ind w:w="-198" w:type="dxa"/>
        <w:tblW w:w="50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80"/>
        <w:gridCol w:w="2850"/>
        <w:gridCol w:w="1134"/>
        <w:gridCol w:w="1701"/>
        <w:gridCol w:w="1368"/>
        <w:gridCol w:w="1985"/>
      </w:tblGrid>
      <w:tr>
        <w:trPr>
          <w:trHeight w:val="20"/>
        </w:trPr>
        <w:tc>
          <w:tcPr>
            <w:shd w:val="clear" w:color="000000" w:fill="ffffff"/>
            <w:tcBorders/>
            <w:tcW w:w="58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5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3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368" w:type="dxa"/>
            <w:vAlign w:val="center"/>
            <w:textDirection w:val="lrTb"/>
            <w:noWrap w:val="false"/>
          </w:tcPr>
          <w:p>
            <w:pPr>
              <w:pBdr/>
              <w:spacing/>
              <w:ind/>
              <w:jc w:val="center"/>
              <w:rPr>
                <w:b/>
                <w:bCs/>
              </w:rPr>
            </w:pPr>
            <w:r>
              <w:rPr>
                <w:b/>
                <w:bCs/>
              </w:rPr>
              <w:t xml:space="preserve">Tỷ lệ hoàn thiện</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8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053" w:type="dxa"/>
            <w:vAlign w:val="center"/>
            <w:textDirection w:val="lrTb"/>
            <w:noWrap w:val="false"/>
          </w:tcPr>
          <w:p>
            <w:pPr>
              <w:pBdr/>
              <w:spacing w:after="40" w:before="40" w:line="288" w:lineRule="auto"/>
              <w:ind/>
              <w:jc w:val="both"/>
              <w:rPr>
                <w:b/>
                <w:bCs/>
              </w:rPr>
            </w:pPr>
            <w:r>
              <w:rPr>
                <w:b/>
                <w:bCs/>
                <w:color w:val="000000"/>
              </w:rPr>
              <w:t xml:space="preserve">Quyền sử dụng đất và công trình xây dựng trên đất tại thửa đất số 3250, tờ bản đồ số 8 có địa chỉ xã Nghĩa Trụ, huyện Văn Gi</w:t>
            </w:r>
            <w:r>
              <w:rPr>
                <w:b/>
                <w:bCs/>
                <w:color w:val="000000"/>
              </w:rPr>
              <w:t xml:space="preserve">ang, tỉnh Hưng Yên </w:t>
            </w:r>
            <w:r>
              <w:rPr>
                <w:b/>
                <w:bCs/>
                <w:i/>
                <w:iCs/>
                <w:color w:val="000000"/>
              </w:rPr>
              <w:t xml:space="preserve">(Nay là xã Nghĩa Trụ, tỉnh Hưng Yên) </w:t>
            </w:r>
            <w:r>
              <w:rPr>
                <w:b/>
                <w:bCs/>
                <w:color w:val="000000"/>
              </w:rPr>
              <w:t xml:space="preserve">theo Giấy chứng nhận quyền sử dụng đất, quyền sở hữ tìa sản gắn liền với đất số AA01894635 số vào sổ cấp GCN VP4123 do Văn phòng đăng ký đất đai tỉnh Hưng Yên cấp ngày 22/5/2025 cho ông Hoàng Quốc Bảo</w:t>
            </w:r>
            <w:r>
              <w:rPr>
                <w:b/>
                <w:bCs/>
              </w:rPr>
              <w:t xml:space="preserve">.</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8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85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134" w:type="dxa"/>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1701" w:type="dxa"/>
            <w:vAlign w:val="center"/>
            <w:textDirection w:val="lrTb"/>
            <w:noWrap w:val="false"/>
          </w:tcPr>
          <w:p>
            <w:pPr>
              <w:pBdr/>
              <w:spacing w:after="40" w:before="40" w:line="288" w:lineRule="auto"/>
              <w:ind/>
              <w:jc w:val="center"/>
              <w:rPr/>
            </w:pPr>
            <w:r>
              <w:rPr>
                <w:color w:val="000000" w:themeColor="text1"/>
              </w:rPr>
              <w:t xml:space="preserve">172.000.000</w:t>
            </w:r>
            <w:r/>
          </w:p>
        </w:tc>
        <w:tc>
          <w:tcPr>
            <w:shd w:val="clear" w:color="000000" w:fill="ffffff"/>
            <w:tcBorders/>
            <w:tcW w:w="1368"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985" w:type="dxa"/>
            <w:vAlign w:val="center"/>
            <w:textDirection w:val="lrTb"/>
            <w:noWrap w:val="false"/>
          </w:tcPr>
          <w:p>
            <w:pPr>
              <w:pBdr/>
              <w:spacing w:after="40" w:before="40" w:line="288" w:lineRule="auto"/>
              <w:ind/>
              <w:jc w:val="right"/>
              <w:rPr/>
            </w:pPr>
            <w:r>
              <w:rPr>
                <w:color w:val="000000" w:themeColor="text1"/>
              </w:rPr>
              <w:t xml:space="preserve">20.640.000.000</w:t>
            </w:r>
            <w:r/>
          </w:p>
        </w:tc>
      </w:tr>
      <w:tr>
        <w:trPr>
          <w:trHeight w:val="20"/>
        </w:trPr>
        <w:tc>
          <w:tcPr>
            <w:shd w:val="clear" w:color="000000" w:fill="ffffff"/>
            <w:tcBorders/>
            <w:tcW w:w="580"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850" w:type="dxa"/>
            <w:vAlign w:val="center"/>
            <w:textDirection w:val="lrTb"/>
            <w:noWrap w:val="false"/>
          </w:tcPr>
          <w:p>
            <w:pPr>
              <w:pBdr/>
              <w:spacing w:after="40" w:before="40" w:line="288" w:lineRule="auto"/>
              <w:ind/>
              <w:rPr>
                <w:b w:val="0"/>
                <w:bCs w:val="0"/>
              </w:rPr>
            </w:pPr>
            <w:r>
              <w:rPr>
                <w:b w:val="0"/>
                <w:bCs w:val="0"/>
              </w:rPr>
              <w:t xml:space="preserve">Công trình xây dựng</w:t>
            </w:r>
            <w:r>
              <w:rPr>
                <w:b w:val="0"/>
                <w:bCs w:val="0"/>
              </w:rPr>
            </w:r>
            <w:r>
              <w:rPr>
                <w:b w:val="0"/>
                <w:bCs w:val="0"/>
              </w:rPr>
            </w:r>
          </w:p>
        </w:tc>
        <w:tc>
          <w:tcPr>
            <w:tcBorders/>
            <w:tcW w:w="1134" w:type="dxa"/>
            <w:vAlign w:val="center"/>
            <w:textDirection w:val="lrTb"/>
            <w:noWrap/>
          </w:tcPr>
          <w:p>
            <w:pPr>
              <w:pBdr/>
              <w:spacing w:after="40" w:before="40" w:line="288" w:lineRule="auto"/>
              <w:ind/>
              <w:jc w:val="center"/>
              <w:rPr>
                <w:color w:val="000000"/>
              </w:rPr>
            </w:pPr>
            <w:r>
              <w:rPr>
                <w:color w:val="000000" w:themeColor="text1"/>
              </w:rPr>
              <w:t xml:space="preserve">443,7</w:t>
            </w:r>
            <w:r>
              <w:rPr>
                <w:color w:val="000000"/>
              </w:rPr>
            </w:r>
            <w:r>
              <w:rPr>
                <w:color w:val="000000"/>
              </w:rPr>
            </w:r>
          </w:p>
        </w:tc>
        <w:tc>
          <w:tcPr>
            <w:shd w:val="clear" w:color="000000" w:fill="ffffff"/>
            <w:tcBorders/>
            <w:tcW w:w="1701" w:type="dxa"/>
            <w:vAlign w:val="center"/>
            <w:textDirection w:val="lrTb"/>
            <w:noWrap w:val="false"/>
          </w:tcPr>
          <w:p>
            <w:pPr>
              <w:pBdr/>
              <w:spacing w:after="40" w:before="40" w:line="288" w:lineRule="auto"/>
              <w:ind/>
              <w:jc w:val="center"/>
              <w:rPr/>
            </w:pPr>
            <w:r>
              <w:rPr>
                <w:color w:val="000000" w:themeColor="text1"/>
              </w:rPr>
              <w:t xml:space="preserve">6.461.051</w:t>
            </w:r>
            <w:r/>
          </w:p>
        </w:tc>
        <w:tc>
          <w:tcPr>
            <w:shd w:val="clear" w:color="000000" w:fill="ffffff"/>
            <w:tcBorders/>
            <w:tcW w:w="1368" w:type="dxa"/>
            <w:vAlign w:val="center"/>
            <w:textDirection w:val="lrTb"/>
            <w:noWrap w:val="false"/>
          </w:tcPr>
          <w:p>
            <w:pPr>
              <w:pBdr/>
              <w:spacing/>
              <w:ind/>
              <w:jc w:val="center"/>
              <w:rPr>
                <w:color w:val="000000" w:themeColor="text1"/>
              </w:rPr>
            </w:pPr>
            <w:r>
              <w:rPr>
                <w:color w:val="000000" w:themeColor="text1"/>
              </w:rPr>
              <w:t xml:space="preserve">62%</w:t>
            </w:r>
            <w:r>
              <w:rPr>
                <w:color w:val="000000" w:themeColor="text1"/>
              </w:rPr>
            </w:r>
            <w:r>
              <w:rPr>
                <w:color w:val="000000" w:themeColor="text1"/>
              </w:rPr>
            </w:r>
          </w:p>
        </w:tc>
        <w:tc>
          <w:tcPr>
            <w:shd w:val="clear" w:color="000000" w:fill="ffffff"/>
            <w:tcBorders/>
            <w:tcW w:w="1985" w:type="dxa"/>
            <w:vAlign w:val="center"/>
            <w:textDirection w:val="lrTb"/>
            <w:noWrap w:val="false"/>
          </w:tcPr>
          <w:p>
            <w:pPr>
              <w:pBdr/>
              <w:spacing w:after="40" w:before="40" w:line="288" w:lineRule="auto"/>
              <w:ind/>
              <w:jc w:val="right"/>
              <w:rPr/>
            </w:pPr>
            <w:r>
              <w:rPr>
                <w:color w:val="000000" w:themeColor="text1"/>
              </w:rPr>
              <w:t xml:space="preserve">1.777.396.364</w:t>
            </w:r>
            <w:r/>
          </w:p>
        </w:tc>
      </w:tr>
      <w:tr>
        <w:trPr>
          <w:trHeight w:val="20"/>
        </w:trPr>
        <w:tc>
          <w:tcPr>
            <w:gridSpan w:val="5"/>
            <w:tcBorders/>
            <w:tcW w:w="763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88" w:lineRule="auto"/>
              <w:ind/>
              <w:jc w:val="right"/>
              <w:rPr>
                <w:b/>
                <w:bCs/>
                <w:color w:val="000000"/>
              </w:rPr>
            </w:pPr>
            <w:r>
              <w:t xml:space="preserve">22.417.396.364</w:t>
            </w:r>
            <w:r>
              <w:rPr>
                <w:b/>
                <w:bCs/>
                <w:color w:val="000000"/>
              </w:rPr>
            </w:r>
            <w:r>
              <w:rPr>
                <w:b/>
                <w:bCs/>
                <w:color w:val="000000"/>
              </w:rPr>
            </w:r>
          </w:p>
        </w:tc>
      </w:tr>
      <w:tr>
        <w:trPr>
          <w:trHeight w:val="20"/>
        </w:trPr>
        <w:tc>
          <w:tcPr>
            <w:gridSpan w:val="5"/>
            <w:tcBorders/>
            <w:tcW w:w="763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88" w:lineRule="auto"/>
              <w:ind/>
              <w:jc w:val="right"/>
              <w:rPr>
                <w:b/>
                <w:bCs/>
                <w:color w:val="000000"/>
              </w:rPr>
            </w:pPr>
            <w:r>
              <w:rPr>
                <w:b/>
                <w:bCs/>
                <w:color w:val="000000"/>
              </w:rPr>
              <w:t xml:space="preserve">22.417.000.000</w:t>
            </w:r>
            <w:r>
              <w:rPr>
                <w:b/>
                <w:bCs/>
                <w:color w:val="000000"/>
              </w:rPr>
            </w:r>
            <w:r>
              <w:rPr>
                <w:b/>
                <w:bCs/>
                <w:color w:val="000000"/>
              </w:rPr>
            </w:r>
          </w:p>
        </w:tc>
      </w:tr>
      <w:tr>
        <w:trPr>
          <w:trHeight w:val="20"/>
        </w:trPr>
        <w:tc>
          <w:tcPr>
            <w:gridSpan w:val="6"/>
            <w:tcBorders/>
            <w:tcW w:w="961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hai tỷ, bốn trăm mười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75" w:type="dxa"/>
        <w:tblBorders/>
        <w:tblLayout w:type="fixed"/>
        <w:tblLook w:val="04A0" w:firstRow="1" w:lastRow="0" w:firstColumn="1" w:lastColumn="0" w:noHBand="0" w:noVBand="1"/>
      </w:tblPr>
      <w:tblGrid>
        <w:gridCol w:w="29"/>
        <w:gridCol w:w="1269"/>
        <w:gridCol w:w="2416"/>
        <w:gridCol w:w="6461"/>
      </w:tblGrid>
      <w:tr>
        <w:trPr>
          <w:trHeight w:val="1885"/>
        </w:trPr>
        <w:tc>
          <w:tcPr>
            <w:gridSpan w:val="2"/>
            <w:tcBorders/>
            <w:tcW w:w="129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87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44"/>
        </w:trPr>
        <w:tc>
          <w:tcPr>
            <w:gridSpan w:val="2"/>
            <w:shd w:val="clear" w:color="auto" w:fill="auto"/>
            <w:tcBorders/>
            <w:tcMar>
              <w:left w:w="108" w:type="dxa"/>
              <w:top w:w="0" w:type="dxa"/>
              <w:right w:w="108" w:type="dxa"/>
              <w:bottom w:w="0" w:type="dxa"/>
            </w:tcMar>
            <w:tcW w:w="3685"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275/2026/0497/VFI-BC.24.A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61"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bl>
    <w:p>
      <w:pPr>
        <w:pStyle w:val="103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275/2026/0497/VFI-CT.24.A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3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Ông Hoàng Quốc Bảo</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001091000026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p>
            <w:pPr>
              <w:pBdr/>
              <w:spacing w:after="40" w:before="40" w:line="276" w:lineRule="auto"/>
              <w:ind/>
              <w:jc w:val="both"/>
              <w:rPr>
                <w:bCs/>
                <w:color w:val="000000" w:themeColor="text1"/>
                <w:lang w:val="pt-BR"/>
              </w:rPr>
            </w:pPr>
            <w:r>
              <w:rPr>
                <w:bCs/>
                <w:color w:val="000000" w:themeColor="text1"/>
                <w:lang w:val="pt-BR"/>
              </w:rPr>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128 Khâm Thiên, phường Khâm Thiên, quận Đống Đa, Hà Nội </w:t>
            </w:r>
            <w:r>
              <w:rPr>
                <w:rFonts w:ascii="Times New Roman" w:hAnsi="Times New Roman" w:eastAsia="Times New Roman" w:cs="Times New Roman"/>
                <w:i/>
                <w:color w:val="000000"/>
                <w:sz w:val="24"/>
              </w:rPr>
              <w:t xml:space="preserve">(Nay là phường Văn Miếu – Quốc Tử Giám,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Style w:val="1032"/>
                <w:rFonts w:ascii="Times New Roman" w:hAnsi="Times New Roman"/>
                <w:color w:val="000000" w:themeColor="text1"/>
                <w:lang w:val="pt-BR"/>
              </w:rPr>
              <w:t xml:space="preserve">275/2026/0497/VFI-HĐTĐ.24.A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trên đất tại thửa đất số 3250, tờ bản đồ số 8 có địa chỉ xã Nghĩa Trụ, huyện Văn Gi</w:t>
            </w:r>
            <w:r>
              <w:rPr>
                <w:bCs/>
                <w:color w:val="000000" w:themeColor="text1"/>
                <w:lang w:val="pt-BR"/>
              </w:rPr>
              <w:t xml:space="preserve">ang, tỉnh Hưng Yên </w:t>
            </w:r>
            <w:r>
              <w:rPr>
                <w:bCs/>
                <w:i/>
                <w:iCs/>
                <w:color w:val="000000" w:themeColor="text1"/>
                <w:lang w:val="pt-BR"/>
              </w:rPr>
              <w:t xml:space="preserve">(Nay là xã Nghĩa Trụ, tỉnh Hưng Yên)</w:t>
            </w:r>
            <w:r>
              <w:rPr>
                <w:bCs/>
                <w:color w:val="000000" w:themeColor="text1"/>
                <w:lang w:val="pt-BR"/>
              </w:rPr>
              <w:t xml:space="preserve"> theo Giấy chứng nhận quyền sử dụng đất, quyền sở hữ tìa sản gắn liền với đất số AA01894635 số vào sổ cấp GCN VP4123 do Văn phòng đăng ký đất đai tỉnh Hưng Yên cấp ngày 22/5/2025 cho ông Hoàng Quốc Bảo</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Nghĩa Trụ, Huyện Văn Giang,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(20.9414929, 105.972904)</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w:t>
      </w:r>
      <w:r>
        <w:rPr>
          <w:bCs/>
          <w:color w:val="000000" w:themeColor="text1"/>
          <w:lang w:val="pt-BR"/>
        </w:rPr>
        <w:t xml:space="preserve">t, quyền sở hữ tìa sản gắn liền với đất số AA01894635 số vào sổ cấp GCN VP4123 tại thửa đất số 3250, tờ bản đồ số 8 có địa chỉ xã Nghĩa Trụ, huyện Văn Giang, tỉnh Hưng Yên do Văn phòng đăng ký đất đai tỉnh Hưng Yên cấp ngày 22/5/2025 cho ông Hoàng Quốc Bảo</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275/2026/0497/VFI-HĐTĐ.24.A ngày 31/03/2026 giữa Ông Hoàng Quốc Bảo với Công ty Cổ phần Thẩm định và Đầu tư Tài chính Hoa Sen.</w:t>
      </w:r>
      <w:r>
        <w:rPr>
          <w:b/>
          <w:lang w:val="pt-BR"/>
        </w:rPr>
      </w:r>
      <w:r>
        <w:rPr>
          <w:b/>
          <w:lang w:val="pt-BR"/>
        </w:rPr>
      </w:r>
    </w:p>
    <w:p>
      <w:pPr>
        <w:pStyle w:val="103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Thời gian qua, tỉnh Hưng Yên thu hút nhiều “ông lớn” bất động sản đầu tư và xây dựng các khu đô thị với hàng loạt dự án về nhà ở quy mô lớn được khởi công. </w:t>
      </w:r>
      <w:r>
        <w:rPr>
          <w:color w:val="000000" w:themeColor="text1"/>
          <w:lang w:val="pt-BR"/>
        </w:rPr>
        <w:t xml:space="preserve">Chỉ tính riêng năm 2025, khu vực huyện Văn Giang (cũ) có đến 5 khu đô thị, dự án mới được xây dựng và mở bán của các Tập đoàn bất động sản lớn.</w:t>
      </w:r>
      <w:r>
        <w:rPr>
          <w:color w:val="000000" w:themeColor="text1"/>
          <w:lang w:val="pt-BR"/>
        </w:rPr>
        <w:t xml:space="preserve"> </w:t>
      </w:r>
      <w:r>
        <w:rPr>
          <w:color w:val="000000" w:themeColor="text1"/>
          <w:lang w:val="pt-BR"/>
        </w:rPr>
        <w:t xml:space="preserve">Đầu tháng 11/2025, tại xã Nghĩa Trụ, một tập đoàn lớn đã khởi công xây dựng khu đô thị với hàng chục toà chung cư được mở bán. Ngay sau đó, một đại đô thị khác với quy mô gần 200ha cũng vừa mở bán tại xã Văn Giang.</w:t>
      </w:r>
      <w:r>
        <w:rPr>
          <w:color w:val="000000" w:themeColor="text1"/>
          <w:lang w:val="pt-BR"/>
          <w14:ligatures w14:val="none"/>
        </w:rPr>
      </w:r>
      <w:r>
        <w:rPr>
          <w:color w:val="000000" w:themeColor="text1"/>
          <w:lang w:val="pt-BR"/>
          <w14:ligatures w14:val="none"/>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Ngoài các khu đô thị về nhà ở được khởi công xây dựng trong năm 2025, huyện Văn Giang (cũ) cũng có "siêu đô thị" khác nữa, tích hợp đa dạng sản phẩm cao tầng (chung cư) và thấp tầng (biệt thự, liền kề, shophouse) với hàng chục ngàn căn, đang được xây dựng </w:t>
      </w:r>
      <w:r>
        <w:rPr>
          <w:color w:val="000000" w:themeColor="text1"/>
          <w:lang w:val="pt-BR"/>
        </w:rPr>
        <w:t xml:space="preserve">và mở rộng, tạo thành một quần thể đô thị lớn ở phía Đông Hà Nội.</w:t>
      </w:r>
      <w:r>
        <w:rPr>
          <w:color w:val="000000" w:themeColor="text1"/>
          <w:lang w:val="pt-BR"/>
          <w14:ligatures w14:val="none"/>
        </w:rPr>
      </w:r>
      <w:r>
        <w:rPr>
          <w:color w:val="000000" w:themeColor="text1"/>
          <w:lang w:val="pt-BR"/>
          <w14:ligatures w14:val="none"/>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Ông Nguyễn Trọng Thìn, Tổng Giám đốc Home Plus đánh giá: Hưng Yên đang sở hữu hàng loạt lợi thế để thu hút đầu tư và trở thành một cực tăng trưởng mạnh mẽ trên thị trường bất động sản phía Bắc. Với vị trí giáp ranh Hà Nội, hạ tầng giao thông ngày càng được</w:t>
      </w:r>
      <w:r>
        <w:rPr>
          <w:color w:val="000000" w:themeColor="text1"/>
          <w:lang w:val="pt-BR"/>
        </w:rPr>
        <w:t xml:space="preserve"> phát triển. Bên cạnh các tuyến đường như cao tốc 5B, quốc lộ 5, kết nối giữa Hưng Yên và Thủ đô thời gian tới sẽ còn thuận tiện hơn nhờ tuyến vành đai 4, cầu Ngọc Hồi, chính điều này Hưng Yên trở thành tâm điểm thị trường bất động sản khu vực phía Đông Hà</w:t>
      </w:r>
      <w:r>
        <w:rPr>
          <w:color w:val="000000" w:themeColor="text1"/>
          <w:lang w:val="pt-BR"/>
        </w:rPr>
        <w:t xml:space="preserve"> Nội.</w:t>
      </w:r>
      <w:r>
        <w:rPr>
          <w:color w:val="000000" w:themeColor="text1"/>
          <w:lang w:val="pt-BR"/>
          <w14:ligatures w14:val="none"/>
        </w:rPr>
      </w:r>
      <w:r>
        <w:rPr>
          <w:color w:val="000000" w:themeColor="text1"/>
          <w:lang w:val="pt-BR"/>
          <w14:ligatures w14:val="none"/>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“Hưng Yên có lợi thế lớn là giáp với Hà Nội, khu vực Văn Giang là nơi tập trung nhiều dự án nhà ở, khu đô thị với nguồn cung rất lớn, tương lai tôi nhận định nơi đây sẽ là đô thị vệ tinh của Thủ đô Hà Nội “, ông Thìn cho hay.</w:t>
      </w:r>
      <w:r>
        <w:rPr>
          <w:color w:val="000000" w:themeColor="text1"/>
          <w:lang w:val="pt-BR"/>
          <w14:ligatures w14:val="none"/>
        </w:rPr>
      </w:r>
      <w:r>
        <w:rPr>
          <w:color w:val="000000" w:themeColor="text1"/>
          <w:lang w:val="pt-BR"/>
          <w14:ligatures w14:val="none"/>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Ở góc nhìn quy hoạch, phía Đông Hà Nội theo KTS Nguyễn Xuân Anh (Viện Quy hoạch Đô thị và Nông thôn quốc gia), Hưng Yên giữ địa lợi là cửa trước của Thủ đô, từ đó mở rộng ra toàn bộ tam giác châu thổ sông Hồng - nơi có dư địa lớn cho công nghiệp hóa. Đây c</w:t>
      </w:r>
      <w:r>
        <w:rPr>
          <w:color w:val="000000" w:themeColor="text1"/>
          <w:lang w:val="pt-BR"/>
        </w:rPr>
        <w:t xml:space="preserve">ũng là nơi chiếm lĩnh cả 3 mũi hành lang kinh tế Hà Nội - Hải Phòng, Hà Nội - Lạng Sơn và Hà Nội đi các tỉnh phía Nam. </w:t>
      </w:r>
      <w:r>
        <w:rPr>
          <w:color w:val="000000" w:themeColor="text1"/>
          <w:lang w:val="pt-BR"/>
          <w14:ligatures w14:val="none"/>
        </w:rPr>
      </w:r>
      <w:r>
        <w:rPr>
          <w:color w:val="000000" w:themeColor="text1"/>
          <w:lang w:val="pt-BR"/>
          <w14:ligatures w14:val="none"/>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"Khu vực phía Đông sẽ là khu vực lõi nội đô thứ 2 sẽ tạo thành tâm chấn, lan tỏa ảnh hưởng tích cực đến sự phát triển kinh tế tới các địa phương lân cận, trong đó có Hưng Yên”, KTS Nguyễn Xuân Anh nhận định.</w:t>
      </w:r>
      <w:r>
        <w:rPr>
          <w:color w:val="000000" w:themeColor="text1"/>
          <w:lang w:val="pt-BR"/>
          <w14:ligatures w14:val="none"/>
        </w:rPr>
      </w:r>
      <w:r>
        <w:rPr>
          <w:color w:val="000000" w:themeColor="text1"/>
          <w:lang w:val="pt-BR"/>
          <w14:ligatures w14:val="none"/>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Tuy nhiên, theo các chuyên gia bên cạnh những cơ hội lớn, Hưng Yên cũng đối mặt với không ít thách thức trong quá trình đô thị hóa nhanh chóng. Một trong những vấn đề lớn nhất là sự gia tăng dân số tại các khu đô thị mới, gây áp lực lớn lên cơ sở hạ tầng g</w:t>
      </w:r>
      <w:r>
        <w:rPr>
          <w:color w:val="000000" w:themeColor="text1"/>
          <w:lang w:val="pt-BR"/>
        </w:rPr>
        <w:t xml:space="preserve">iao thông, cấp thoát nước và các dịch vụ công cộng.</w:t>
      </w:r>
      <w:r>
        <w:rPr>
          <w:color w:val="000000" w:themeColor="text1"/>
          <w:lang w:val="pt-BR"/>
          <w14:ligatures w14:val="none"/>
        </w:rPr>
      </w:r>
      <w:r>
        <w:rPr>
          <w:color w:val="000000" w:themeColor="text1"/>
          <w:lang w:val="pt-BR"/>
          <w14:ligatures w14:val="none"/>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Các chuyên gia cho rằng, nếu không có sự phát triển đồng bộ, các dự án bất động sản có thể dẫn đến tình trạng ùn tắc giao thông, thiếu hụt các dịch vụ thiết yếu và ô nhiễm môi trường. Hơn nữa, việc quá chú trọng vào phát triển các khu đô thị cao cấp mà khô</w:t>
      </w:r>
      <w:r>
        <w:rPr>
          <w:color w:val="000000" w:themeColor="text1"/>
          <w:lang w:val="pt-BR"/>
        </w:rPr>
        <w:t xml:space="preserve">ng chú ý đến việc bảo vệ môi trường và duy trì hệ sinh thái sẽ làm mất đi những giá trị tự nhiên quý giá của Hưng Yên.</w:t>
      </w:r>
      <w:r>
        <w:rPr>
          <w:color w:val="000000" w:themeColor="text1"/>
          <w:lang w:val="pt-BR"/>
          <w14:ligatures w14:val="none"/>
        </w:rPr>
      </w:r>
      <w:r>
        <w:rPr>
          <w:color w:val="000000" w:themeColor="text1"/>
          <w:lang w:val="pt-BR"/>
          <w14:ligatures w14:val="none"/>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Để giải quyết những thách thức này, Hưng Yên cần một chiến lược phát triển đô thị bền vững. Việc quy hoạch đồng bộ các khu dân cư, khu thương mại, các công trình công cộng sẽ giúp giảm thiểu tình trạng ùn tắc giao thông và thiếu hụt dịch vụ. Đồng thời, việ</w:t>
      </w:r>
      <w:r>
        <w:rPr>
          <w:color w:val="000000" w:themeColor="text1"/>
          <w:lang w:val="pt-BR"/>
        </w:rPr>
        <w:t xml:space="preserve">c phát triển các khu đô thị sinh thái, khuyến khích sử dụng công nghệ xanh và áp dụng các biện pháp bảo vệ môi trường trong các dự án bất động sản sẽ giúp Hưng Yên phát triển bền vững, đồng thời giữ gìn được giá trị môi trường tự nhiên.</w:t>
      </w:r>
      <w:r>
        <w:rPr>
          <w:color w:val="000000" w:themeColor="text1"/>
          <w:lang w:val="pt-BR"/>
          <w14:ligatures w14:val="none"/>
        </w:rPr>
      </w:r>
      <w:r>
        <w:rPr>
          <w:color w:val="000000" w:themeColor="text1"/>
          <w:lang w:val="pt-BR"/>
          <w14:ligatures w14:val="none"/>
        </w:rPr>
      </w:r>
    </w:p>
    <w:p>
      <w:pPr>
        <w:pStyle w:val="1034"/>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Nhìn chung, Hưng Yên đang bước vào một giai đoạn phát triển mạnh mẽ nhờ vào những dự án bất động sản lớn, tạo ra cơ hội lớn cho kinh tế và xã hội của tỉnh. Tuy nhiên, để đảm bảo sự phát triển bền vững, Hưng Yên cần có những giải pháp đồng bộ, đảm bảo phát </w:t>
      </w:r>
      <w:r>
        <w:rPr>
          <w:color w:val="000000" w:themeColor="text1"/>
          <w:lang w:val="pt-BR"/>
        </w:rPr>
        <w:t xml:space="preserve">triển hạ tầng và bảo vệ môi trường, từ đó xây dựng một tỉnh phát triển mạnh mẽ về kinh tế, vững mạnh về xã hội và bền vững về môi trường.</w:t>
      </w:r>
      <w:r>
        <w:rPr>
          <w:color w:val="000000" w:themeColor="text1"/>
          <w:lang w:val="pt-BR"/>
          <w14:ligatures w14:val="none"/>
        </w:rPr>
      </w:r>
      <w:r>
        <w:rPr>
          <w:color w:val="000000" w:themeColor="text1"/>
          <w:lang w:val="pt-BR"/>
          <w14:ligatures w14:val="none"/>
        </w:rPr>
      </w:r>
    </w:p>
    <w:p>
      <w:pPr>
        <w:pBdr/>
        <w:tabs>
          <w:tab w:val="left" w:leader="none" w:pos="426"/>
        </w:tabs>
        <w:spacing w:after="120" w:before="120" w:line="276" w:lineRule="auto"/>
        <w:ind/>
        <w:rPr>
          <w:i/>
          <w:iCs/>
          <w:lang w:val="pt-BR"/>
        </w:rPr>
      </w:pPr>
      <w:r>
        <w:rPr>
          <w:shd w:val="clear" w:color="auto" w:fill="ffffff"/>
        </w:rPr>
        <w:t xml:space="preserve">Nguồn: </w:t>
      </w:r>
      <w:r>
        <w:rPr>
          <w:i/>
          <w:iCs/>
          <w:shd w:val="clear" w:color="auto" w:fill="ffffff"/>
        </w:rPr>
        <w:t xml:space="preserve">https://vov.vn/kinh-te/diem-nong-bat-dong-san-phia-dong-thach-thuc-do-thi-hoa-cho-hung-yen-post1260049.vov</w:t>
      </w:r>
      <w:r>
        <w:rPr>
          <w:i/>
          <w:iCs/>
          <w:lang w:val="pt-BR"/>
        </w:rPr>
      </w:r>
      <w:r>
        <w:rPr>
          <w:i/>
          <w:iCs/>
          <w:lang w:val="pt-BR"/>
        </w:rPr>
      </w:r>
    </w:p>
    <w:p>
      <w:pPr>
        <w:pStyle w:val="103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trên đất tại thửa đất số 3250, tờ bản đồ số 8 có địa chỉ xã Nghĩa Trụ, huyện Văn Gi</w:t>
            </w:r>
            <w:r>
              <w:rPr>
                <w:b/>
                <w:bCs/>
                <w:color w:val="000000"/>
              </w:rPr>
              <w:t xml:space="preserve">ang, tỉnh Hưng Yên (Nay là xã Nghĩa Trụ, tỉnh Hưng Yên) theo Giấy chứng nhận quyền sử dụng đất, quyền sở hữ tìa sản gắn liền với đất số AA01894635 số vào sổ cấp GCN VP4123 do Văn phòng đăng ký đất đai tỉnh Hưng Yên cấp ngày 22/5/2025 cho ông Hoàng Quốc Bảo</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Nghĩa Trụ, Huyện Văn Giang, Tỉnh Hưng Yên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tổ theo thông tin tham khảo tại </w:t>
            </w:r>
            <w:r>
              <w:rPr>
                <w:color w:val="000000"/>
              </w:rPr>
            </w:r>
            <w:hyperlink r:id="rId17" w:tooltip="https://meeymap.com/" w:history="1">
              <w:r>
                <w:rPr>
                  <w:rStyle w:val="1024"/>
                </w:rPr>
                <w:t xml:space="preserve">https://meeymap.com/</w:t>
              </w:r>
              <w:r>
                <w:rPr>
                  <w:rStyle w:val="1024"/>
                </w:rPr>
              </w:r>
            </w:hyperlink>
            <w:r>
              <w:rPr>
                <w:color w:val="000000"/>
              </w:rPr>
              <w:t xml:space="preserve"> tài sản thuộc quy hoạch đất ở.</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Biển Xanh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Tô Quyền khoảng 600m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t xml:space="preserve">-</w:t>
            </w:r>
            <w:r>
              <w:rPr>
                <w:color w:val="000000" w:themeColor="text1"/>
                <w:highlight w:val="yellow"/>
              </w:rPr>
              <w:t xml:space="preserve">Hường Đông và Tây</w:t>
            </w:r>
            <w:r>
              <w:rPr>
                <w:color w:val="000000" w:themeColor="text1"/>
              </w:rPr>
              <w:t xml:space="preserve"> giáp đường nội bộ trong khu đô thị</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w:t>
            </w:r>
            <w:r>
              <w:rPr>
                <w:color w:val="000000" w:themeColor="text1"/>
                <w:highlight w:val="none"/>
              </w:rPr>
              <w:t xml:space="preserve">Các hướng còn lại tiếp giáp BĐS khác liền kề</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(20.9414929, 105.972904)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9584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95849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69.1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yellow"/>
              </w:rPr>
            </w:r>
            <w:r>
              <w:rPr>
                <w:color w:val="000000" w:themeColor="text1"/>
                <w:highlight w:val="yellow"/>
              </w:rPr>
              <w:t xml:space="preserve">Đông chếch Bắc và Tây</w:t>
            </w:r>
            <w:r>
              <w:rPr>
                <w:color w:val="000000" w:themeColor="text1"/>
                <w:highlight w:val="none"/>
              </w:rPr>
              <w:t xml:space="preserve"> chếch Nam</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highlight w:val="yellow"/>
              </w:rPr>
            </w:pPr>
            <w:r>
              <w:rPr>
                <w:b/>
                <w:bCs/>
                <w:color w:val="000000"/>
                <w:highlight w:val="yellow"/>
              </w:rPr>
            </w:r>
            <w:commentRangeStart w:id="0"/>
            <w:r>
              <w:rPr>
                <w:b/>
                <w:bCs/>
                <w:color w:val="000000"/>
                <w:highlight w:val="yellow"/>
              </w:rPr>
              <w:t xml:space="preserve">3.</w:t>
            </w:r>
            <w:r>
              <w:rPr>
                <w:b/>
                <w:bCs/>
                <w:color w:val="000000"/>
                <w:highlight w:val="yellow"/>
              </w:rPr>
            </w:r>
            <w:r>
              <w:rPr>
                <w:b/>
                <w:bCs/>
                <w:color w:val="000000"/>
                <w:highlight w:val="yellow"/>
              </w:rPr>
            </w:r>
          </w:p>
        </w:tc>
        <w:tc>
          <w:tcPr>
            <w:gridSpan w:val="4"/>
            <w:tcBorders/>
            <w:tcW w:w="8781" w:type="dxa"/>
            <w:vAlign w:val="center"/>
            <w:textDirection w:val="lrTb"/>
            <w:noWrap w:val="false"/>
          </w:tcPr>
          <w:p>
            <w:pPr>
              <w:pBdr/>
              <w:spacing/>
              <w:ind/>
              <w:rPr>
                <w:b/>
                <w:bCs/>
                <w:color w:val="000000"/>
                <w:highlight w:val="yellow"/>
              </w:rPr>
            </w:pPr>
            <w:r>
              <w:rPr>
                <w:b/>
                <w:bCs/>
                <w:color w:val="000000"/>
                <w:highlight w:val="yellow"/>
              </w:rPr>
              <w:t xml:space="preserve">Tài sản gắn liền với đất</w:t>
            </w:r>
            <w:r>
              <w:rPr>
                <w:b/>
                <w:bCs/>
                <w:color w:val="000000"/>
                <w:highlight w:val="yellow"/>
              </w:rPr>
            </w:r>
            <w:r>
              <w:rPr>
                <w:b/>
                <w:bCs/>
                <w:color w:val="000000"/>
                <w:highlight w:val="yellow"/>
              </w:rPr>
            </w:r>
          </w:p>
        </w:tc>
      </w:tr>
      <w:tr>
        <w:trPr>
          <w:trHeight w:val="567"/>
        </w:trPr>
        <w:tc>
          <w:tcPr>
            <w:tcBorders/>
            <w:tcW w:w="734" w:type="dxa"/>
            <w:vAlign w:val="center"/>
            <w:textDirection w:val="lrTb"/>
            <w:noWrap w:val="false"/>
          </w:tcPr>
          <w:p>
            <w:pPr>
              <w:pBdr/>
              <w:spacing/>
              <w:ind/>
              <w:jc w:val="center"/>
              <w:rPr>
                <w:color w:val="000000"/>
                <w:highlight w:val="yellow"/>
              </w:rPr>
            </w:pPr>
            <w:r>
              <w:rPr>
                <w:color w:val="000000"/>
                <w:highlight w:val="yellow"/>
              </w:rPr>
              <w:t xml:space="preserve"> </w:t>
            </w:r>
            <w:r>
              <w:rPr>
                <w:color w:val="000000"/>
                <w:highlight w:val="yellow"/>
              </w:rPr>
            </w:r>
            <w:r>
              <w:rPr>
                <w:color w:val="000000"/>
                <w:highlight w:val="yellow"/>
              </w:rPr>
            </w:r>
          </w:p>
        </w:tc>
        <w:tc>
          <w:tcPr>
            <w:gridSpan w:val="4"/>
            <w:tcBorders/>
            <w:tcW w:w="8781" w:type="dxa"/>
            <w:textDirection w:val="lrTb"/>
            <w:noWrap w:val="false"/>
          </w:tcPr>
          <w:p>
            <w:pPr>
              <w:pBdr/>
              <w:spacing/>
              <w:ind/>
              <w:jc w:val="both"/>
              <w:rPr>
                <w:color w:val="000000"/>
                <w:highlight w:val="none"/>
                <w14:ligatures w14:val="none"/>
              </w:rPr>
            </w:pPr>
            <w:r>
              <w:rPr>
                <w:color w:val="000000"/>
                <w:highlight w:val="none"/>
              </w:rPr>
              <w:t xml:space="preserve">+ </w:t>
            </w:r>
            <w:r>
              <w:rPr>
                <w:color w:val="000000"/>
                <w:highlight w:val="none"/>
              </w:rPr>
            </w:r>
            <w:commentRangeEnd w:id="0"/>
            <w:r>
              <w:commentReference w:id="0"/>
            </w:r>
            <w:r>
              <w:rPr>
                <w:color w:val="000000"/>
                <w:highlight w:val="none"/>
              </w:rPr>
              <w:t xml:space="preserve">Công trình xây dựng trên đất là nhà 5 tầng xây thô hoàn thiện mặt ngoài; diện tích xây dựng 100m2; diện tích sàn xây dựng 443,7m2. Công trình kết cấu: tường xây gạch, khung cột bê tông, mái bằng bê tông cốt thép đã được chứng nhận trên Giấy chứng nhận số </w:t>
            </w:r>
            <w:r>
              <w:rPr>
                <w:color w:val="000000"/>
                <w:highlight w:val="none"/>
              </w:rPr>
              <w:t xml:space="preserve">AA01894635. Hiện trạng công trình ngoại quan còn tương đối mới, chưa có hiện trạng hao mòn xuống cấp.</w:t>
            </w:r>
            <w:r>
              <w:rPr>
                <w:color w:val="000000"/>
                <w:highlight w:val="none"/>
              </w:rPr>
            </w:r>
            <w:r>
              <w:rPr>
                <w:color w:val="000000"/>
                <w:highlight w:val="none"/>
                <w14:ligatures w14:val="none"/>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w:t>
      </w:r>
      <w:commentRangeStart w:id="1"/>
      <w:r>
        <w:rPr>
          <w:b/>
          <w:bCs/>
          <w:shd w:val="clear" w:color="auto" w:fill="ffffff"/>
        </w:rPr>
        <w:t xml:space="preserve"> pháp lý t</w:t>
      </w:r>
      <w:commentRangeEnd w:id="1"/>
      <w:r>
        <w:commentReference w:id="1"/>
      </w:r>
      <w:r>
        <w:rPr>
          <w:b/>
          <w:bCs/>
          <w:shd w:val="clear" w:color="auto" w:fill="ffffff"/>
        </w:rPr>
        <w:t xml:space="preserve">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8"/>
        <w:jc w:val="center"/>
        <w:tblW w:w="0" w:type="auto"/>
        <w:tblBorders/>
        <w:tblLayout w:type="fixed"/>
        <w:tblLook w:val="04A0" w:firstRow="1" w:lastRow="0" w:firstColumn="1" w:lastColumn="0" w:noHBand="0" w:noVBand="1"/>
      </w:tblPr>
      <w:tblGrid>
        <w:gridCol w:w="1167"/>
        <w:gridCol w:w="1663"/>
        <w:gridCol w:w="1870"/>
        <w:gridCol w:w="1843"/>
        <w:gridCol w:w="1134"/>
        <w:gridCol w:w="1838"/>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87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43"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13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838"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870" w:type="dxa"/>
            <w:vAlign w:val="center"/>
            <w:textDirection w:val="lrTb"/>
            <w:noWrap w:val="false"/>
          </w:tcPr>
          <w:p>
            <w:pPr>
              <w:pBdr/>
              <w:spacing/>
              <w:ind/>
              <w:jc w:val="center"/>
              <w:rPr/>
            </w:pPr>
            <w:r>
              <w:t xml:space="preserve">Xã Nghĩa Trụ, Huyện Văn Giang, Tỉnh Hưng Yên</w:t>
            </w:r>
            <w:r/>
          </w:p>
        </w:tc>
        <w:tc>
          <w:tcPr>
            <w:tcBorders/>
            <w:tcW w:w="1843" w:type="dxa"/>
            <w:vAlign w:val="center"/>
            <w:textDirection w:val="lrTb"/>
            <w:noWrap w:val="false"/>
          </w:tcPr>
          <w:p>
            <w:pPr>
              <w:pBdr/>
              <w:spacing/>
              <w:ind/>
              <w:jc w:val="center"/>
              <w:rPr/>
            </w:pPr>
            <w:r>
              <w:t xml:space="preserve">Xã Nghĩa Trụ, Tỉnh Hưng Yên ✔</w:t>
            </w:r>
            <w:r/>
          </w:p>
        </w:tc>
        <w:tc>
          <w:tcPr>
            <w:tcBorders/>
            <w:tcW w:w="1134" w:type="dxa"/>
            <w:vAlign w:val="center"/>
            <w:textDirection w:val="lrTb"/>
            <w:noWrap w:val="false"/>
          </w:tcPr>
          <w:p>
            <w:pPr>
              <w:pBdr/>
              <w:spacing/>
              <w:ind/>
              <w:jc w:val="center"/>
              <w:rPr/>
            </w:pPr>
            <w:r>
              <w:t xml:space="preserve">Có</w:t>
            </w:r>
            <w:r/>
          </w:p>
        </w:tc>
        <w:tc>
          <w:tcPr>
            <w:tcBorders/>
            <w:tcW w:w="1838"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87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843"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870" w:type="dxa"/>
            <w:vAlign w:val="center"/>
            <w:textDirection w:val="lrTb"/>
            <w:noWrap w:val="false"/>
          </w:tcPr>
          <w:p>
            <w:pPr>
              <w:pBdr/>
              <w:spacing/>
              <w:ind/>
              <w:jc w:val="center"/>
              <w:rPr/>
            </w:pPr>
            <w:r>
              <w:t xml:space="preserve">Đất ở tại đô thị</w:t>
            </w:r>
            <w:r/>
          </w:p>
        </w:tc>
        <w:tc>
          <w:tcPr>
            <w:tcBorders/>
            <w:tcW w:w="1843" w:type="dxa"/>
            <w:vAlign w:val="center"/>
            <w:textDirection w:val="lrTb"/>
            <w:noWrap w:val="false"/>
          </w:tcPr>
          <w:p>
            <w:pPr>
              <w:pBdr/>
              <w:spacing/>
              <w:ind/>
              <w:jc w:val="center"/>
              <w:rPr/>
            </w:pPr>
            <w:r>
              <w:t xml:space="preserve">Đất ở tại đô thị ✔</w:t>
            </w: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870" w:type="dxa"/>
            <w:vAlign w:val="center"/>
            <w:textDirection w:val="lrTb"/>
            <w:noWrap w:val="false"/>
          </w:tcPr>
          <w:p>
            <w:pPr>
              <w:pBdr/>
              <w:spacing/>
              <w:ind/>
              <w:jc w:val="center"/>
              <w:rPr/>
            </w:pPr>
            <w:r>
              <w:t xml:space="preserve">Lâu dài</w:t>
            </w:r>
            <w:r/>
          </w:p>
        </w:tc>
        <w:tc>
          <w:tcPr>
            <w:tcBorders/>
            <w:tcW w:w="1843" w:type="dxa"/>
            <w:vAlign w:val="center"/>
            <w:textDirection w:val="lrTb"/>
            <w:noWrap w:val="false"/>
          </w:tcPr>
          <w:p>
            <w:pPr>
              <w:pBdr/>
              <w:spacing/>
              <w:ind/>
              <w:jc w:val="center"/>
              <w:rPr/>
            </w:pPr>
            <w:r>
              <w:t xml:space="preserve">Lâu dài ✔</w:t>
            </w: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Height w:val="207"/>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870" w:type="dxa"/>
            <w:vAlign w:val="center"/>
            <w:textDirection w:val="lrTb"/>
            <w:noWrap w:val="false"/>
          </w:tcPr>
          <w:p>
            <w:pPr>
              <w:pBdr/>
              <w:spacing/>
              <w:ind/>
              <w:jc w:val="center"/>
              <w:rPr/>
            </w:pPr>
            <w:r>
              <w:t xml:space="preserve">120</w:t>
            </w:r>
            <w:r/>
          </w:p>
        </w:tc>
        <w:tc>
          <w:tcPr>
            <w:tcBorders/>
            <w:tcW w:w="1843" w:type="dxa"/>
            <w:vAlign w:val="center"/>
            <w:textDirection w:val="lrTb"/>
            <w:noWrap w:val="false"/>
          </w:tcPr>
          <w:p>
            <w:pPr>
              <w:pBdr/>
              <w:spacing/>
              <w:ind/>
              <w:jc w:val="center"/>
              <w:rPr/>
            </w:pPr>
            <w:r>
              <w:t xml:space="preserve">120 ✔</w:t>
            </w:r>
            <w:r/>
          </w:p>
        </w:tc>
        <w:tc>
          <w:tcPr>
            <w:tcBorders/>
            <w:tcW w:w="1134" w:type="dxa"/>
            <w:vAlign w:val="center"/>
            <w:textDirection w:val="lrTb"/>
            <w:noWrap w:val="false"/>
          </w:tcPr>
          <w:p>
            <w:pPr>
              <w:pBdr/>
              <w:spacing/>
              <w:ind/>
              <w:jc w:val="center"/>
              <w:rPr/>
            </w:pPr>
            <w:r>
              <w:t xml:space="preserve">0</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870" w:type="dxa"/>
            <w:vAlign w:val="center"/>
            <w:textDirection w:val="lrTb"/>
            <w:noWrap w:val="false"/>
          </w:tcPr>
          <w:p>
            <w:pPr>
              <w:pBdr/>
              <w:spacing/>
              <w:ind/>
              <w:jc w:val="center"/>
              <w:rPr/>
            </w:pPr>
            <w:r>
              <w:t xml:space="preserve">6 ✔</w:t>
            </w:r>
            <w:r/>
          </w:p>
        </w:tc>
        <w:tc>
          <w:tcPr>
            <w:tcBorders/>
            <w:tcW w:w="1843" w:type="dxa"/>
            <w:vAlign w:val="center"/>
            <w:textDirection w:val="lrTb"/>
            <w:noWrap w:val="false"/>
          </w:tcPr>
          <w:p>
            <w:pPr>
              <w:pBdr/>
              <w:spacing/>
              <w:ind/>
              <w:jc w:val="center"/>
              <w:rPr/>
            </w:pPr>
            <w:r>
              <w:t xml:space="preserve">6</w:t>
            </w:r>
            <w:r>
              <w:t xml:space="preserve"> ✔</w:t>
            </w:r>
            <w:r/>
          </w:p>
        </w:tc>
        <w:tc>
          <w:tcPr>
            <w:tcBorders/>
            <w:tcW w:w="1134" w:type="dxa"/>
            <w:vAlign w:val="center"/>
            <w:textDirection w:val="lrTb"/>
            <w:noWrap w:val="false"/>
          </w:tcPr>
          <w:p>
            <w:pPr>
              <w:pBdr/>
              <w:spacing/>
              <w:ind/>
              <w:jc w:val="center"/>
              <w:rPr/>
            </w:pPr>
            <w:r>
              <w:t xml:space="preserve">0</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870" w:type="dxa"/>
            <w:vAlign w:val="center"/>
            <w:textDirection w:val="lrTb"/>
            <w:noWrap w:val="false"/>
          </w:tcPr>
          <w:p>
            <w:pPr>
              <w:pBdr/>
              <w:spacing/>
              <w:ind/>
              <w:jc w:val="center"/>
              <w:rPr/>
            </w:pPr>
            <w:r>
              <w:t xml:space="preserve">Tiếp giáp 2 mặt đường trước sau</w:t>
            </w:r>
            <w:r/>
          </w:p>
        </w:tc>
        <w:tc>
          <w:tcPr>
            <w:tcBorders/>
            <w:tcW w:w="1843" w:type="dxa"/>
            <w:vAlign w:val="center"/>
            <w:textDirection w:val="lrTb"/>
            <w:noWrap w:val="false"/>
          </w:tcPr>
          <w:p>
            <w:pPr>
              <w:pBdr/>
              <w:spacing/>
              <w:ind/>
              <w:jc w:val="center"/>
              <w:rPr/>
            </w:pPr>
            <w:r>
              <w:t xml:space="preserve">Tiếp giáp 2 mặt đường trước sau ✔</w:t>
            </w: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870" w:type="dxa"/>
            <w:vAlign w:val="center"/>
            <w:textDirection w:val="lrTb"/>
            <w:noWrap w:val="false"/>
          </w:tcPr>
          <w:p>
            <w:pPr>
              <w:pBdr/>
              <w:spacing/>
              <w:ind/>
              <w:jc w:val="center"/>
              <w:rPr/>
            </w:pPr>
            <w:r>
              <w:t xml:space="preserve">Hình chữ nhật</w:t>
            </w:r>
            <w:r/>
          </w:p>
        </w:tc>
        <w:tc>
          <w:tcPr>
            <w:tcBorders/>
            <w:tcW w:w="1843" w:type="dxa"/>
            <w:vAlign w:val="center"/>
            <w:textDirection w:val="lrTb"/>
            <w:noWrap w:val="false"/>
          </w:tcPr>
          <w:p>
            <w:pPr>
              <w:pBdr/>
              <w:spacing/>
              <w:ind/>
              <w:jc w:val="center"/>
              <w:rPr/>
            </w:pPr>
            <w:r>
              <w:t xml:space="preserve">Hình chữ nhật ✔</w:t>
            </w: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Hướng</w:t>
            </w:r>
            <w:r/>
          </w:p>
        </w:tc>
        <w:tc>
          <w:tcPr>
            <w:tcBorders/>
            <w:tcW w:w="1870" w:type="dxa"/>
            <w:vAlign w:val="center"/>
            <w:textDirection w:val="lrTb"/>
            <w:noWrap w:val="false"/>
          </w:tcPr>
          <w:p>
            <w:pPr>
              <w:pBdr/>
              <w:spacing/>
              <w:ind/>
              <w:jc w:val="center"/>
              <w:rPr>
                <w:highlight w:val="yellow"/>
              </w:rPr>
            </w:pPr>
            <w:r>
              <w:rPr>
                <w:highlight w:val="yellow"/>
              </w:rPr>
              <w:t xml:space="preserve">Đông chếch Bắc ✔</w:t>
            </w:r>
            <w:r>
              <w:rPr>
                <w:highlight w:val="yellow"/>
              </w:rPr>
            </w:r>
            <w:r>
              <w:rPr>
                <w:highlight w:val="yellow"/>
              </w:rPr>
            </w:r>
          </w:p>
        </w:tc>
        <w:tc>
          <w:tcPr>
            <w:tcBorders/>
            <w:tcW w:w="1843" w:type="dxa"/>
            <w:vAlign w:val="center"/>
            <w:textDirection w:val="lrTb"/>
            <w:noWrap w:val="false"/>
          </w:tcPr>
          <w:p>
            <w:pPr>
              <w:pBdr/>
              <w:spacing/>
              <w:ind/>
              <w:jc w:val="center"/>
              <w:rPr>
                <w:highlight w:val="yellow"/>
              </w:rPr>
            </w:pPr>
            <w:r>
              <w:rPr>
                <w:highlight w:val="yellow"/>
              </w:rPr>
              <w:t xml:space="preserve">Đông chếch Bắc ✔</w:t>
            </w:r>
            <w:r>
              <w:rPr>
                <w:highlight w:val="yellow"/>
              </w:rPr>
            </w:r>
            <w:r>
              <w:rPr>
                <w:highlight w:val="yellow"/>
              </w:rP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44"/>
        <w:gridCol w:w="992"/>
        <w:gridCol w:w="2552"/>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55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4677"/>
        <w:gridCol w:w="1276"/>
        <w:gridCol w:w="2836"/>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64" w:lineRule="auto"/>
              <w:ind/>
              <w:jc w:val="center"/>
              <w:rPr>
                <w:b/>
                <w:bCs/>
                <w:lang w:eastAsia="ko-KR"/>
              </w:rPr>
            </w:pPr>
            <w:r>
              <w:rPr>
                <w:b/>
                <w:bCs/>
                <w:lang w:eastAsia="ko-KR"/>
              </w:rPr>
            </w:r>
            <w:r>
              <w:rPr>
                <w:b/>
                <w:bCs/>
                <w:lang w:eastAsia="ko-KR"/>
              </w:rPr>
            </w:r>
            <w:r>
              <w:rPr>
                <w:b/>
                <w:bCs/>
                <w:lang w:eastAsia="ko-KR"/>
              </w:rPr>
            </w:r>
          </w:p>
        </w:tc>
        <w:tc>
          <w:tcPr>
            <w:tcBorders/>
            <w:tcW w:w="2836" w:type="dxa"/>
            <w:vAlign w:val="center"/>
            <w:textDirection w:val="lrTb"/>
            <w:noWrap w:val="false"/>
          </w:tcPr>
          <w:p>
            <w:pPr>
              <w:widowControl w:val="false"/>
              <w:pBdr/>
              <w:spacing w:line="264"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sát khu mộ phần hoặc liền kề mộ phần</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sát hoặc liền kề nhà thờ họ</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gần đường sắt&lt;=50m</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64"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64" w:lineRule="auto"/>
              <w:ind w:left="144"/>
              <w:jc w:val="center"/>
              <w:rPr/>
            </w:pPr>
            <w:r>
              <w:t xml:space="preserve">Không</w:t>
            </w:r>
            <w:r/>
          </w:p>
        </w:tc>
        <w:tc>
          <w:tcPr>
            <w:tcBorders/>
            <w:tcW w:w="2836"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Nghĩa Trụ, Huyện Văn Giang,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Nghĩa Trụ, Huyện Văn Giang,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Nghĩa Trụ, Huyện Văn Giang,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Nghĩa Trụ, Huyện Văn Giang, Tỉnh Hưng Yên</w:t>
            </w:r>
            <w:r>
              <w:rPr>
                <w:sz w:val="22"/>
                <w:szCs w:val="22"/>
              </w:rPr>
            </w:r>
            <w:r>
              <w:rPr>
                <w:sz w:val="22"/>
                <w:szCs w:val="22"/>
              </w:rPr>
            </w:r>
          </w:p>
        </w:tc>
      </w:tr>
      <w:tr>
        <w:trPr>
          <w:trHeight w:val="6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74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SĐT: </w:t>
            </w:r>
            <w:r>
              <w:rPr>
                <w:color w:val="000000" w:themeColor="text1"/>
                <w:sz w:val="22"/>
                <w:szCs w:val="22"/>
              </w:rPr>
              <w:t xml:space="preserve">0965.83.84.83</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sz w:val="22"/>
                <w:szCs w:val="22"/>
              </w:rPr>
            </w:r>
            <w:r>
              <w:rPr>
                <w:sz w:val="22"/>
                <w:szCs w:val="22"/>
              </w:rPr>
            </w:r>
          </w:p>
          <w:p>
            <w:pPr>
              <w:pBdr/>
              <w:spacing/>
              <w:ind/>
              <w:jc w:val="center"/>
              <w:rPr>
                <w:sz w:val="22"/>
                <w:szCs w:val="22"/>
              </w:rPr>
            </w:pPr>
            <w:r>
              <w:rPr>
                <w:sz w:val="22"/>
                <w:szCs w:val="22"/>
              </w:rPr>
            </w:r>
            <w:r>
              <w:rPr>
                <w:color w:val="000000" w:themeColor="text1"/>
                <w:sz w:val="22"/>
                <w:szCs w:val="22"/>
              </w:rPr>
              <w:t xml:space="preserve">0971 536 736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sz w:val="22"/>
                <w:szCs w:val="22"/>
              </w:rPr>
            </w:r>
            <w:r>
              <w:rPr>
                <w:sz w:val="22"/>
                <w:szCs w:val="22"/>
              </w:rPr>
            </w:r>
          </w:p>
          <w:p>
            <w:pPr>
              <w:pBdr/>
              <w:spacing/>
              <w:ind/>
              <w:jc w:val="center"/>
              <w:rPr>
                <w:sz w:val="22"/>
                <w:szCs w:val="22"/>
              </w:rPr>
            </w:pPr>
            <w:r>
              <w:rPr>
                <w:sz w:val="22"/>
                <w:szCs w:val="22"/>
              </w:rPr>
            </w:r>
            <w:r>
              <w:rPr>
                <w:color w:val="000000" w:themeColor="text1"/>
                <w:sz w:val="22"/>
                <w:szCs w:val="22"/>
              </w:rPr>
              <w:t xml:space="preserve">0971 536 736</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Nghĩa Trụ, Huyện Văn Giang, Tỉnh Hưng Yên </w:t>
            </w:r>
            <w:r>
              <w:rPr>
                <w:rFonts w:ascii="Times New Roman" w:hAnsi="Times New Roman" w:eastAsia="Times New Roman" w:cs="Times New Roman"/>
                <w:i/>
                <w:color w:val="000000"/>
                <w:sz w:val="22"/>
              </w:rPr>
              <w:t xml:space="preserve">(Nay là xã Nghĩa Trụ, Hưng 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Nghĩa Trụ, Huyện Văn Giang, Tỉnh Hưng Yên </w:t>
            </w:r>
            <w:r>
              <w:rPr>
                <w:rFonts w:ascii="Times New Roman" w:hAnsi="Times New Roman" w:eastAsia="Times New Roman" w:cs="Times New Roman"/>
                <w:i/>
                <w:color w:val="000000"/>
                <w:sz w:val="22"/>
              </w:rPr>
              <w:t xml:space="preserve">(Nay là xã Nghĩa Trụ, Hưng 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Nghĩa Trụ, Huyện Văn Giang, Tỉnh Hưng Yên </w:t>
            </w:r>
            <w:r>
              <w:rPr>
                <w:rFonts w:ascii="Times New Roman" w:hAnsi="Times New Roman" w:eastAsia="Times New Roman" w:cs="Times New Roman"/>
                <w:i/>
                <w:color w:val="000000"/>
                <w:sz w:val="22"/>
              </w:rPr>
              <w:t xml:space="preserve">(Nay là xã Nghĩa Trụ, Hưng 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Nghĩa Trụ, Huyện Văn Giang, Tỉnh Hưng Yên </w:t>
            </w:r>
            <w:r>
              <w:rPr>
                <w:rFonts w:ascii="Times New Roman" w:hAnsi="Times New Roman" w:eastAsia="Times New Roman" w:cs="Times New Roman"/>
                <w:i/>
                <w:color w:val="000000"/>
                <w:sz w:val="22"/>
              </w:rPr>
              <w:t xml:space="preserve">(Nay là xã Nghĩa Trụ, Hưng Yên)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Đường hướng thửa đất </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12.632.500.000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26.100.000.000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1.622.998.638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1.777.396.364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1.777.396.364</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5.541.060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6.461.051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6.461.051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95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95</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11.009.501.362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20.272.603.636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24.322.603.636</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146.793.351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168.938.364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202.688.364</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8"/>
        <w:tblInd w:w="-396"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9"/>
        <w:gridCol w:w="1808"/>
        <w:gridCol w:w="992"/>
        <w:gridCol w:w="1559"/>
        <w:gridCol w:w="1701"/>
        <w:gridCol w:w="1559"/>
        <w:gridCol w:w="1701"/>
      </w:tblGrid>
      <w:tr>
        <w:trPr>
          <w:trHeight w:val="600"/>
        </w:trPr>
        <w:tc>
          <w:tcPr>
            <w:tcBorders>
              <w:top w:val="single" w:color="000000" w:sz="3" w:space="0"/>
              <w:left w:val="single" w:color="000000" w:sz="3" w:space="0"/>
              <w:bottom w:val="single" w:color="000000" w:sz="3" w:space="0"/>
              <w:right w:val="single" w:color="000000" w:sz="3" w:space="0"/>
            </w:tcBorders>
            <w:tcMar>
              <w:left w:w="15" w:type="dxa"/>
              <w:top w:w="15" w:type="dxa"/>
              <w:right w:w="15"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tcBorders>
              <w:top w:val="single" w:color="000000" w:sz="3" w:space="0"/>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Yếu tố so sánh</w:t>
            </w:r>
            <w:r>
              <w:rPr>
                <w:sz w:val="22"/>
                <w:szCs w:val="22"/>
              </w:rPr>
            </w:r>
            <w:r>
              <w:rPr>
                <w:sz w:val="22"/>
                <w:szCs w:val="22"/>
              </w:rPr>
            </w:r>
          </w:p>
        </w:tc>
        <w:tc>
          <w:tcPr>
            <w:tcBorders>
              <w:top w:val="single" w:color="000000" w:sz="3" w:space="0"/>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Đơn vị tính</w:t>
            </w:r>
            <w:r>
              <w:rPr>
                <w:sz w:val="22"/>
                <w:szCs w:val="22"/>
              </w:rPr>
            </w:r>
            <w:r>
              <w:rPr>
                <w:sz w:val="22"/>
                <w:szCs w:val="22"/>
              </w:rPr>
            </w:r>
          </w:p>
        </w:tc>
        <w:tc>
          <w:tcPr>
            <w:tcBorders>
              <w:top w:val="single" w:color="000000" w:sz="3" w:space="0"/>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tcBorders>
              <w:top w:val="single" w:color="000000" w:sz="3" w:space="0"/>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TSSS 1</w:t>
            </w:r>
            <w:r>
              <w:rPr>
                <w:sz w:val="22"/>
                <w:szCs w:val="22"/>
              </w:rPr>
            </w:r>
            <w:r>
              <w:rPr>
                <w:sz w:val="22"/>
                <w:szCs w:val="22"/>
              </w:rPr>
            </w:r>
          </w:p>
        </w:tc>
        <w:tc>
          <w:tcPr>
            <w:tcBorders>
              <w:top w:val="single" w:color="000000" w:sz="3" w:space="0"/>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TSSS 2</w:t>
            </w:r>
            <w:r>
              <w:rPr>
                <w:sz w:val="22"/>
                <w:szCs w:val="22"/>
              </w:rPr>
            </w:r>
            <w:r>
              <w:rPr>
                <w:sz w:val="22"/>
                <w:szCs w:val="22"/>
              </w:rPr>
            </w:r>
          </w:p>
        </w:tc>
        <w:tc>
          <w:tcPr>
            <w:tcBorders>
              <w:top w:val="single" w:color="000000" w:sz="3" w:space="0"/>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TSSS 3</w:t>
            </w:r>
            <w:r>
              <w:rPr>
                <w:sz w:val="22"/>
                <w:szCs w:val="22"/>
              </w:rPr>
            </w:r>
            <w:r>
              <w:rPr>
                <w:sz w:val="22"/>
                <w:szCs w:val="22"/>
              </w:rPr>
            </w:r>
          </w:p>
        </w:tc>
      </w:tr>
      <w:tr>
        <w:trPr>
          <w:trHeight w:val="900"/>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Giá trị QSDĐ thị trường (Ước tính sau thương lượng), (...%)</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11.009.501.362</w:t>
            </w:r>
            <w:r>
              <w:rPr>
                <w:b/>
                <w:bCs/>
                <w:color w:val="000000"/>
                <w:sz w:val="22"/>
                <w:szCs w:val="22"/>
              </w:rPr>
            </w:r>
            <w:r>
              <w:rPr>
                <w:b/>
                <w:bCs/>
                <w:color w:val="000000"/>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20.272.603.636</w:t>
            </w:r>
            <w:r>
              <w:rPr>
                <w:b/>
                <w:bCs/>
                <w:color w:val="000000"/>
                <w:sz w:val="22"/>
                <w:szCs w:val="22"/>
              </w:rPr>
            </w:r>
            <w:r>
              <w:rPr>
                <w:b/>
                <w:bCs/>
                <w:color w:val="000000"/>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24.322.603.636</w:t>
            </w:r>
            <w:r>
              <w:rPr>
                <w:b/>
                <w:bCs/>
                <w:color w:val="000000"/>
                <w:sz w:val="22"/>
                <w:szCs w:val="22"/>
              </w:rPr>
            </w:r>
            <w:r>
              <w:rPr>
                <w:b/>
                <w:bCs/>
                <w:color w:val="000000"/>
                <w:sz w:val="22"/>
                <w:szCs w:val="22"/>
              </w:rP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Đơn giá đất ước tính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146.793.351</w:t>
            </w:r>
            <w:r>
              <w:rPr>
                <w:b/>
                <w:bCs/>
                <w:color w:val="000000"/>
                <w:sz w:val="22"/>
                <w:szCs w:val="22"/>
              </w:rPr>
            </w:r>
            <w:r>
              <w:rPr>
                <w:b/>
                <w:bCs/>
                <w:color w:val="000000"/>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168.938.364</w:t>
            </w:r>
            <w:r>
              <w:rPr>
                <w:b/>
                <w:bCs/>
                <w:color w:val="000000"/>
                <w:sz w:val="22"/>
                <w:szCs w:val="22"/>
              </w:rPr>
            </w:r>
            <w:r>
              <w:rPr>
                <w:b/>
                <w:bCs/>
                <w:color w:val="000000"/>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202.688.364</w:t>
            </w:r>
            <w:r>
              <w:rPr>
                <w:b/>
                <w:bCs/>
                <w:color w:val="000000"/>
                <w:sz w:val="22"/>
                <w:szCs w:val="22"/>
              </w:rPr>
            </w:r>
            <w:r>
              <w:rPr>
                <w:b/>
                <w:bCs/>
                <w:color w:val="000000"/>
                <w:sz w:val="22"/>
                <w:szCs w:val="22"/>
              </w:rPr>
            </w:r>
          </w:p>
        </w:tc>
      </w:tr>
      <w:tr>
        <w:trPr>
          <w:trHeight w:val="600"/>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Điều chỉnh các yếu tố so sánh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877"/>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Pháp lý</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line="240" w:lineRule="auto"/>
              <w:ind/>
              <w:jc w:val="center"/>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line="240" w:lineRule="auto"/>
              <w:ind/>
              <w:jc w:val="center"/>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line="240" w:lineRule="auto"/>
              <w:ind/>
              <w:jc w:val="center"/>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146.793.351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Mục đích sử dụng</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 (75m²)</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 (120m²)</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 (120m²)</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146.793.351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614"/>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C3</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Thời hạn sử dụng đất</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 – Lâu dài</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 – Lâu dài</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 – Lâu dài</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 – Lâu dài</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146.793.351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1200"/>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Vị trí</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Xã Nghĩa Trụ, Huyện Văn Giang, Tỉnh Hưng Yên </w:t>
            </w:r>
            <w:r>
              <w:rPr>
                <w:rFonts w:ascii="Times New Roman" w:hAnsi="Times New Roman" w:eastAsia="Times New Roman" w:cs="Times New Roman"/>
                <w:i/>
                <w:color w:val="000000"/>
                <w:sz w:val="22"/>
                <w:szCs w:val="22"/>
              </w:rPr>
              <w:t xml:space="preserve">(Nay là xã Nghĩa Trụ, Hưng Yên)</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Xã Nghĩa Trụ, Huyện Văn Giang, Tỉnh Hưng Yên </w:t>
            </w:r>
            <w:r>
              <w:rPr>
                <w:rFonts w:ascii="Times New Roman" w:hAnsi="Times New Roman" w:eastAsia="Times New Roman" w:cs="Times New Roman"/>
                <w:i/>
                <w:color w:val="000000"/>
                <w:sz w:val="22"/>
                <w:szCs w:val="22"/>
              </w:rPr>
              <w:t xml:space="preserve">(Nay là xã Nghĩa Trụ, Hưng Yên)</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Xã Nghĩa Trụ, Huyện Văn Giang, Tỉnh Hưng Yên </w:t>
            </w:r>
            <w:r>
              <w:rPr>
                <w:rFonts w:ascii="Times New Roman" w:hAnsi="Times New Roman" w:eastAsia="Times New Roman" w:cs="Times New Roman"/>
                <w:i/>
                <w:color w:val="000000"/>
                <w:sz w:val="22"/>
                <w:szCs w:val="22"/>
              </w:rPr>
              <w:t xml:space="preserve">(Nay là xã Nghĩa Trụ, Hưng Yên)</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Xã Nghĩa Trụ, Huyện Văn Giang, Tỉnh Hưng Yên </w:t>
            </w:r>
            <w:r>
              <w:rPr>
                <w:rFonts w:ascii="Times New Roman" w:hAnsi="Times New Roman" w:eastAsia="Times New Roman" w:cs="Times New Roman"/>
                <w:i/>
                <w:color w:val="000000"/>
                <w:sz w:val="22"/>
                <w:szCs w:val="22"/>
              </w:rPr>
              <w:t xml:space="preserve">(Nay là xã Nghĩa Trụ, Hưng Yên)</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146.793.351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C5</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Giao thông</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146.793.351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600"/>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C6</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Độ rộng đường trước tài sản (m)</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25</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25</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25</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10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14.679.335</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161.472.686</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614"/>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C7</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Cơ sở hạ tầng kỹ thuật</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Hạ tầng khu đô thị, khu phân lô/tái định cư</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Hạ tầng khu đô thị, khu phân lô/tái định cư</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Hạ tầng khu đô thị, khu phân lô/tái định cư</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Hạ tầng khu đô thị, khu phân lô/tái định cư</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161.472.686</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C8</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Diện tích đất (m²)</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120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75</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120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120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-8</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-11.743.468</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149.729.218</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C9</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Mặt tiền (m)</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5</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7.339.668</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157.068.886</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614"/>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C10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Số lượng mặt tiếp giáp</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Tiếp giáp 2 mặt đường trước sau</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Tiếp giáp 2 mặt đường trước sau</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Tiếp giáp 2 mặt đường trước sau</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10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14.679.335</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171.748.221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C11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Hình dáng thửa đất</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171.748.221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202.688.364</w:t>
            </w:r>
            <w:r>
              <w:rPr>
                <w:sz w:val="22"/>
                <w:szCs w:val="22"/>
              </w:rPr>
            </w:r>
            <w:r>
              <w:rPr>
                <w:sz w:val="22"/>
                <w:szCs w:val="22"/>
              </w:rPr>
            </w:r>
          </w:p>
        </w:tc>
      </w:tr>
      <w:tr>
        <w:trPr>
          <w:trHeight w:val="614"/>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C12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Lợi thế kinh doanh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Khá</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Khá</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Khá</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Đối diện chung cư kinh doanh tốt</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-15</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-30.403.255</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171.748.221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168.938.364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172.285.109</w:t>
            </w:r>
            <w:r>
              <w:rPr>
                <w:sz w:val="22"/>
                <w:szCs w:val="22"/>
              </w:rPr>
            </w:r>
            <w:r>
              <w:rPr>
                <w:sz w:val="22"/>
                <w:szCs w:val="22"/>
              </w:rPr>
            </w:r>
          </w:p>
        </w:tc>
      </w:tr>
      <w:tr>
        <w:trPr>
          <w:trHeight w:val="606"/>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C13</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Bất lợi thương mại</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top"/>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Không có bất lợi thương mại</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Không có bất lợi thương mại</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line="240" w:lineRule="auto"/>
              <w:ind/>
              <w:jc w:val="center"/>
              <w:rPr>
                <w:color w:val="ff0000"/>
                <w:sz w:val="22"/>
                <w:szCs w:val="22"/>
              </w:rPr>
            </w:pPr>
            <w:r>
              <w:rPr>
                <w:color w:val="ff0000"/>
                <w:sz w:val="22"/>
                <w:szCs w:val="22"/>
              </w:rPr>
              <w:t xml:space="preserve">Đường hướng thửa đất </w:t>
            </w:r>
            <w:r>
              <w:rPr>
                <w:color w:val="ff0000"/>
                <w:sz w:val="22"/>
                <w:szCs w:val="22"/>
              </w:rPr>
            </w:r>
            <w:r>
              <w:rPr>
                <w:color w:val="ff0000"/>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Không có bất lợi thương mại</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3.378.767</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vMerge w:val="continue"/>
            <w:textDirection w:val="lrTb"/>
            <w:noWrap w:val="false"/>
          </w:tcPr>
          <w:p>
            <w:pPr>
              <w:pBdr/>
              <w:spacing/>
              <w:ind/>
              <w:rPr/>
            </w:pPr>
            <w: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171.748.221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172.317.131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172.285.109</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D</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Mức giá chỉ dẫn</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Đồng/m2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171.748.221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172.317.131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172.285.109</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60" w:type="dxa"/>
              <w:right w:w="15" w:type="dxa"/>
              <w:bottom w:w="6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D1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Giá trị trung bình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gridSpan w:val="3"/>
            <w:tcBorders>
              <w:top w:val="single" w:color="000000" w:sz="3" w:space="0"/>
              <w:bottom w:val="single" w:color="000000" w:sz="3" w:space="0"/>
              <w:right w:val="single" w:color="000000" w:sz="3" w:space="0"/>
            </w:tcBorders>
            <w:tcMar>
              <w:left w:w="15" w:type="dxa"/>
              <w:top w:w="15" w:type="dxa"/>
              <w:right w:w="15" w:type="dxa"/>
              <w:bottom w:w="0" w:type="dxa"/>
            </w:tcMar>
            <w:tcW w:w="49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172.116.820</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60" w:type="dxa"/>
              <w:right w:w="15" w:type="dxa"/>
              <w:bottom w:w="6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D2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Mức độ chênh lệch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-0,21%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0,12%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0,10%</w:t>
            </w:r>
            <w:r>
              <w:rPr>
                <w:sz w:val="22"/>
                <w:szCs w:val="22"/>
              </w:rPr>
            </w:r>
            <w:r>
              <w:rPr>
                <w:sz w:val="22"/>
                <w:szCs w:val="22"/>
              </w:rPr>
            </w:r>
          </w:p>
        </w:tc>
      </w:tr>
      <w:tr>
        <w:trPr>
          <w:trHeight w:val="600"/>
        </w:trPr>
        <w:tc>
          <w:tcPr>
            <w:tcBorders>
              <w:left w:val="single" w:color="000000" w:sz="3" w:space="0"/>
              <w:bottom w:val="single" w:color="000000" w:sz="3" w:space="0"/>
              <w:right w:val="single" w:color="000000" w:sz="3" w:space="0"/>
            </w:tcBorders>
            <w:tcMar>
              <w:left w:w="15" w:type="dxa"/>
              <w:top w:w="15" w:type="dxa"/>
              <w:right w:w="15"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b/>
                <w:color w:val="000000"/>
                <w:sz w:val="22"/>
                <w:szCs w:val="22"/>
              </w:rPr>
              <w:t xml:space="preserve">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b/>
                <w:color w:val="000000"/>
                <w:sz w:val="22"/>
                <w:szCs w:val="22"/>
              </w:rPr>
              <w:t xml:space="preserve">Tổng hợp các số liệu điều chỉnh tại mục C</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614"/>
        </w:trPr>
        <w:tc>
          <w:tcPr>
            <w:tcBorders>
              <w:left w:val="single" w:color="000000" w:sz="3" w:space="0"/>
              <w:bottom w:val="single" w:color="000000" w:sz="3" w:space="0"/>
              <w:right w:val="single" w:color="000000" w:sz="3" w:space="0"/>
            </w:tcBorders>
            <w:tcMar>
              <w:left w:w="15" w:type="dxa"/>
              <w:top w:w="60" w:type="dxa"/>
              <w:right w:w="15" w:type="dxa"/>
              <w:bottom w:w="6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E1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Tổng giá trị điều chỉnh gộp</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48.441.806</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3.378.767</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30.403.255</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60" w:type="dxa"/>
              <w:right w:w="15" w:type="dxa"/>
              <w:bottom w:w="6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E2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Tổng số lần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Lần</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r>
      <w:tr>
        <w:trPr>
          <w:trHeight w:val="307"/>
        </w:trPr>
        <w:tc>
          <w:tcPr>
            <w:tcBorders>
              <w:left w:val="single" w:color="000000" w:sz="3" w:space="0"/>
              <w:bottom w:val="single" w:color="000000" w:sz="3" w:space="0"/>
              <w:right w:val="single" w:color="000000" w:sz="3" w:space="0"/>
            </w:tcBorders>
            <w:tcMar>
              <w:left w:w="15" w:type="dxa"/>
              <w:top w:w="60" w:type="dxa"/>
              <w:right w:w="15" w:type="dxa"/>
              <w:bottom w:w="6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E3</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Biên độ điều chỉnh</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5% - 10%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 - 2%</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0% - 15%</w:t>
            </w:r>
            <w:r>
              <w:rPr>
                <w:sz w:val="22"/>
                <w:szCs w:val="22"/>
              </w:rPr>
            </w:r>
            <w:r>
              <w:rPr>
                <w:sz w:val="22"/>
                <w:szCs w:val="22"/>
              </w:rPr>
            </w:r>
          </w:p>
        </w:tc>
      </w:tr>
      <w:tr>
        <w:trPr>
          <w:trHeight w:val="614"/>
        </w:trPr>
        <w:tc>
          <w:tcPr>
            <w:tcBorders>
              <w:left w:val="single" w:color="000000" w:sz="3" w:space="0"/>
              <w:bottom w:val="single" w:color="000000" w:sz="3" w:space="0"/>
              <w:right w:val="single" w:color="000000" w:sz="3" w:space="0"/>
            </w:tcBorders>
            <w:tcMar>
              <w:left w:w="15" w:type="dxa"/>
              <w:top w:w="60" w:type="dxa"/>
              <w:right w:w="15" w:type="dxa"/>
              <w:bottom w:w="6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E4</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sz w:val="22"/>
                <w:szCs w:val="22"/>
              </w:rPr>
            </w:pPr>
            <w:r>
              <w:rPr>
                <w:rFonts w:ascii="Times New Roman" w:hAnsi="Times New Roman" w:eastAsia="Times New Roman" w:cs="Times New Roman"/>
                <w:color w:val="000000"/>
                <w:sz w:val="22"/>
                <w:szCs w:val="22"/>
              </w:rPr>
              <w:t xml:space="preserve">Tổng giá trị điều chỉnh thuần</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24.954.870</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3.378.767</w:t>
            </w:r>
            <w:r>
              <w:rPr>
                <w:sz w:val="22"/>
                <w:szCs w:val="22"/>
              </w:rPr>
            </w:r>
            <w:r>
              <w:rPr>
                <w:sz w:val="22"/>
                <w:szCs w:val="22"/>
              </w:rPr>
            </w:r>
          </w:p>
        </w:tc>
        <w:tc>
          <w:tcPr>
            <w:tcBorders>
              <w:bottom w:val="single" w:color="000000" w:sz="3" w:space="0"/>
              <w:right w:val="single" w:color="000000" w:sz="3" w:space="0"/>
            </w:tcBorders>
            <w:tcMar>
              <w:left w:w="15" w:type="dxa"/>
              <w:top w:w="15" w:type="dxa"/>
              <w:right w:w="15"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sz w:val="22"/>
                <w:szCs w:val="22"/>
              </w:rPr>
            </w:pPr>
            <w:r>
              <w:rPr>
                <w:rFonts w:ascii="Times New Roman" w:hAnsi="Times New Roman" w:eastAsia="Times New Roman" w:cs="Times New Roman"/>
                <w:color w:val="000000"/>
                <w:sz w:val="22"/>
                <w:szCs w:val="22"/>
              </w:rPr>
              <w:t xml:space="preserve">30.403.255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-0,21</w:t>
      </w:r>
      <w:r>
        <w:t xml:space="preserve">% đến </w:t>
      </w:r>
      <w:r>
        <w:t xml:space="preserve">0,12%,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so sánh 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171.748.221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51.524.466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so sánh 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172.317.131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60.310.996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so sánh 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172.285.109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60.299.788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lang w:val="vi-VN"/>
                <w14:ligatures w14:val="none"/>
              </w:rPr>
            </w:pPr>
            <w:r>
              <w:rPr>
                <w:b/>
                <w:bCs/>
                <w:color w:val="000000" w:themeColor="text1"/>
                <w:lang w:val="vi-VN" w:bidi="vi-VN"/>
              </w:rPr>
            </w:r>
            <w:r>
              <w:rPr>
                <w:b/>
                <w:bCs/>
                <w:color w:val="000000" w:themeColor="text1"/>
                <w:lang w:val="vi-VN"/>
              </w:rPr>
              <w:t xml:space="preserve">172.135.250</w:t>
            </w:r>
            <w:r>
              <w:rPr>
                <w:b/>
                <w:bCs/>
                <w:color w:val="000000" w:themeColor="text1"/>
                <w:lang w:val="vi-VN"/>
                <w14:ligatures w14:val="none"/>
              </w:rPr>
            </w:r>
            <w:r>
              <w:rPr>
                <w:b/>
                <w:bCs/>
                <w:color w:val="000000" w:themeColor="text1"/>
                <w:lang w:val="vi-VN"/>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172.000.000</w:t>
      </w:r>
      <w:r>
        <w:rPr>
          <w:b/>
          <w:bCs/>
          <w:color w:val="000000" w:themeColor="text1"/>
        </w:rPr>
        <w:t xml:space="preserve"> </w:t>
      </w:r>
      <w:r>
        <w:rPr>
          <w:b/>
          <w:bCs/>
        </w:rPr>
        <w:t xml:space="preserve">đồng/m².</w:t>
      </w:r>
      <w:r>
        <w:rPr>
          <w:b/>
          <w:bCs/>
        </w:rPr>
      </w:r>
      <w:r>
        <w:rPr>
          <w:b/>
          <w:bCs/>
        </w:rPr>
      </w:r>
    </w:p>
    <w:p>
      <w:pPr>
        <w:pStyle w:val="1034"/>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1"/>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cân nhắc và xem xét với mức độ hoàn thiện của công trình xây dựng hiện có, tổ thẩm định nhận thấy đơn giá vận dụng theo Quyết định số 409/QĐ-BXD của Bộ Xây dựng về việc công bố suất vốn đầ</w:t>
      </w:r>
      <w:r>
        <w:rPr>
          <w:rFonts w:ascii="Times New Roman" w:hAnsi="Times New Roman" w:eastAsia="Times New Roman" w:cs="Times New Roman"/>
          <w:color w:val="000000"/>
          <w:sz w:val="24"/>
        </w:rPr>
        <w:t xml:space="preserve">u tư xây dựng và giá xây dựng tổng hợp bộ phận kết cấu công trình năm 2024 là khá phù hợp với thị trường, theo đó:</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i/>
          <w:color w:val="000000"/>
          <w:sz w:val="24"/>
        </w:rPr>
        <w:t xml:space="preserve">Mã số 11120.04: “Nhà từ 4 đến 5 tầng, kết cấu khung chịu lực BTCT; tường bao xây gạch; sàn, mái BTCT đổ tại chỗ, không có tần</w:t>
      </w:r>
      <w:r>
        <w:rPr>
          <w:rFonts w:ascii="Times New Roman" w:hAnsi="Times New Roman" w:eastAsia="Times New Roman" w:cs="Times New Roman"/>
          <w:i/>
          <w:color w:val="000000"/>
          <w:sz w:val="24"/>
          <w:highlight w:val="white"/>
        </w:rPr>
        <w:t xml:space="preserve">g hầ</w:t>
      </w:r>
      <w:r>
        <w:rPr>
          <w:rFonts w:ascii="Arial" w:hAnsi="Arial" w:eastAsia="Arial" w:cs="Arial"/>
          <w:i/>
          <w:color w:val="000000"/>
          <w:sz w:val="20"/>
          <w:highlight w:val="white"/>
        </w:rPr>
        <w:t xml:space="preserve">m,</w:t>
      </w:r>
      <w:r>
        <w:rPr>
          <w:rFonts w:ascii="Times New Roman" w:hAnsi="Times New Roman" w:eastAsia="Times New Roman" w:cs="Times New Roman"/>
          <w:i/>
          <w:color w:val="00b0f0"/>
          <w:sz w:val="24"/>
          <w:highlight w:val="white"/>
        </w:rPr>
        <w:t xml:space="preserve"> </w:t>
      </w:r>
      <w:r>
        <w:rPr>
          <w:rFonts w:ascii="Times New Roman" w:hAnsi="Times New Roman" w:eastAsia="Times New Roman" w:cs="Times New Roman"/>
          <w:i/>
          <w:color w:val="000000"/>
          <w:sz w:val="24"/>
          <w:highlight w:val="white"/>
        </w:rPr>
        <w:t xml:space="preserve">diện tích từ diện tích xây dựng từ 90 - dưới 150m² là: 7.497.000 đồng/m² (ba</w:t>
      </w:r>
      <w:r>
        <w:rPr>
          <w:rFonts w:ascii="Times New Roman" w:hAnsi="Times New Roman" w:eastAsia="Times New Roman" w:cs="Times New Roman"/>
          <w:i/>
          <w:color w:val="000000"/>
          <w:sz w:val="24"/>
        </w:rPr>
        <w:t xml:space="preserve">o gồm VAT); hệ số điều chỉnh Vùng 2 – Hưng Yên: 0,948”</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Do đó</w:t>
      </w:r>
      <w:r>
        <w:rPr>
          <w:rFonts w:ascii="Times New Roman" w:hAnsi="Times New Roman" w:eastAsia="Times New Roman" w:cs="Times New Roman"/>
          <w:color w:val="000000"/>
          <w:sz w:val="24"/>
          <w:highlight w:val="white"/>
        </w:rPr>
        <w:t xml:space="preserve">, Tổ thẩm định ước tính đơn giá xây dựng mới của công trình nhà 05 tầng hoàn thiện là: </w:t>
      </w:r>
      <w:r>
        <w:rPr>
          <w:rFonts w:ascii="Times New Roman" w:hAnsi="Times New Roman" w:eastAsia="Times New Roman" w:cs="Times New Roman"/>
          <w:b/>
          <w:color w:val="000000"/>
          <w:sz w:val="24"/>
          <w:highlight w:val="white"/>
        </w:rPr>
        <w:t xml:space="preserve">7.497.000</w:t>
      </w:r>
      <w:r>
        <w:rPr>
          <w:rFonts w:ascii="Times New Roman" w:hAnsi="Times New Roman" w:eastAsia="Times New Roman" w:cs="Times New Roman"/>
          <w:b/>
          <w:i/>
          <w:color w:val="000000"/>
          <w:sz w:val="24"/>
          <w:highlight w:val="white"/>
        </w:rPr>
        <w:t xml:space="preserve"> </w:t>
      </w:r>
      <w:r>
        <w:rPr>
          <w:rFonts w:ascii="Times New Roman" w:hAnsi="Times New Roman" w:eastAsia="Times New Roman" w:cs="Times New Roman"/>
          <w:b/>
          <w:color w:val="000000"/>
          <w:sz w:val="24"/>
          <w:highlight w:val="white"/>
        </w:rPr>
        <w:t xml:space="preserve">x 0,948/1,1 =</w:t>
      </w:r>
      <w:r>
        <w:rPr>
          <w:rFonts w:ascii="Times New Roman" w:hAnsi="Times New Roman" w:eastAsia="Times New Roman" w:cs="Times New Roman"/>
          <w:b/>
          <w:bCs/>
          <w:color w:val="000000"/>
          <w:sz w:val="24"/>
          <w:szCs w:val="24"/>
          <w:highlight w:val="white"/>
        </w:rPr>
        <w:t xml:space="preserve"> </w:t>
      </w:r>
      <w:r>
        <w:rPr>
          <w:rFonts w:ascii="Times New Roman" w:hAnsi="Times New Roman" w:eastAsia="Times New Roman" w:cs="Times New Roman"/>
          <w:b/>
          <w:bCs/>
          <w:color w:val="000000"/>
          <w:sz w:val="24"/>
          <w:szCs w:val="24"/>
          <w:highlight w:val="white"/>
        </w:rPr>
        <w:t xml:space="preserve">6.461.051</w:t>
      </w:r>
      <w:r>
        <w:rPr>
          <w:rFonts w:ascii="Times New Roman" w:hAnsi="Times New Roman" w:eastAsia="Times New Roman" w:cs="Times New Roman"/>
          <w:b/>
          <w:color w:val="000000"/>
          <w:sz w:val="24"/>
          <w:highlight w:val="white"/>
        </w:rPr>
        <w:t xml:space="preserve"> đồng/m².</w:t>
      </w:r>
      <w:r/>
    </w:p>
    <w:p>
      <w:pPr>
        <w:numPr>
          <w:ilvl w:val="0"/>
          <w:numId w:val="41"/>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highlight w:val="white"/>
        </w:rPr>
        <w:t xml:space="preserve">Xác định giá trị hao mòn: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t xml:space="preserve">Tài sản là nhà 5 tầng xây thô hoàn thiện mặt ngoài, do đó tổ thẩm định ước tính  tỷ lệ hoàn thiện công trình xây dựng cụ thể như sau:</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3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322"/>
        <w:gridCol w:w="944"/>
        <w:gridCol w:w="960"/>
        <w:gridCol w:w="959"/>
        <w:gridCol w:w="921"/>
        <w:gridCol w:w="944"/>
        <w:gridCol w:w="944"/>
        <w:gridCol w:w="936"/>
      </w:tblGrid>
      <w:tr>
        <w:trPr>
          <w:trHeight w:val="547"/>
        </w:trPr>
        <w:tc>
          <w:tcPr>
            <w:tcBorders>
              <w:top w:val="single" w:color="000000" w:sz="3" w:space="0"/>
              <w:left w:val="single" w:color="000000" w:sz="3" w:space="0"/>
              <w:bottom w:val="single" w:color="000000" w:sz="3" w:space="0"/>
              <w:right w:val="single" w:color="000000" w:sz="3" w:space="0"/>
            </w:tcBorders>
            <w:tcMar>
              <w:left w:w="15" w:type="dxa"/>
              <w:top w:w="15" w:type="dxa"/>
              <w:right w:w="15"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3" w:space="0"/>
              <w:bottom w:val="single" w:color="000000" w:sz="3" w:space="0"/>
              <w:right w:val="single" w:color="000000" w:sz="3" w:space="0"/>
            </w:tcBorders>
            <w:tcMar>
              <w:left w:w="15" w:type="dxa"/>
              <w:top w:w="15" w:type="dxa"/>
              <w:right w:w="15" w:type="dxa"/>
              <w:bottom w:w="0" w:type="dxa"/>
            </w:tcMar>
            <w:tcW w:w="23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Nhà 05 tầng</w:t>
            </w:r>
            <w:r/>
          </w:p>
        </w:tc>
        <w:tc>
          <w:tcPr>
            <w:tcBorders>
              <w:top w:val="single" w:color="000000" w:sz="3" w:space="0"/>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Móng</w:t>
            </w:r>
            <w:r/>
          </w:p>
        </w:tc>
        <w:tc>
          <w:tcPr>
            <w:tcBorders>
              <w:top w:val="single" w:color="000000" w:sz="3" w:space="0"/>
              <w:bottom w:val="single" w:color="000000" w:sz="3" w:space="0"/>
              <w:right w:val="single" w:color="000000" w:sz="3" w:space="0"/>
            </w:tcBorders>
            <w:tcMar>
              <w:left w:w="15" w:type="dxa"/>
              <w:top w:w="15" w:type="dxa"/>
              <w:right w:w="15" w:type="dxa"/>
              <w:bottom w:w="0" w:type="dxa"/>
            </w:tcMar>
            <w:tcW w:w="96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Khung cột</w:t>
            </w:r>
            <w:r/>
          </w:p>
        </w:tc>
        <w:tc>
          <w:tcPr>
            <w:tcBorders>
              <w:top w:val="single" w:color="000000" w:sz="3" w:space="0"/>
              <w:bottom w:val="single" w:color="000000" w:sz="3" w:space="0"/>
              <w:right w:val="single" w:color="000000" w:sz="3" w:space="0"/>
            </w:tcBorders>
            <w:tcMar>
              <w:left w:w="15" w:type="dxa"/>
              <w:top w:w="15" w:type="dxa"/>
              <w:right w:w="15" w:type="dxa"/>
              <w:bottom w:w="0" w:type="dxa"/>
            </w:tcMar>
            <w:tcW w:w="95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Tường</w:t>
            </w:r>
            <w:r/>
          </w:p>
        </w:tc>
        <w:tc>
          <w:tcPr>
            <w:tcBorders>
              <w:top w:val="single" w:color="000000" w:sz="3" w:space="0"/>
              <w:bottom w:val="single" w:color="000000" w:sz="3" w:space="0"/>
              <w:right w:val="single" w:color="000000" w:sz="3" w:space="0"/>
            </w:tcBorders>
            <w:tcMar>
              <w:left w:w="15" w:type="dxa"/>
              <w:top w:w="15" w:type="dxa"/>
              <w:right w:w="15" w:type="dxa"/>
              <w:bottom w:w="0" w:type="dxa"/>
            </w:tcMar>
            <w:tcW w:w="92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Nền, sàn</w:t>
            </w:r>
            <w:r/>
          </w:p>
        </w:tc>
        <w:tc>
          <w:tcPr>
            <w:tcBorders>
              <w:top w:val="single" w:color="000000" w:sz="3" w:space="0"/>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Đỡ mái</w:t>
            </w:r>
            <w:r/>
          </w:p>
        </w:tc>
        <w:tc>
          <w:tcPr>
            <w:tcBorders>
              <w:top w:val="single" w:color="000000" w:sz="3" w:space="0"/>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Mái</w:t>
            </w:r>
            <w:r/>
          </w:p>
        </w:tc>
        <w:tc>
          <w:tcPr>
            <w:tcBorders>
              <w:top w:val="single" w:color="000000" w:sz="3" w:space="0"/>
              <w:bottom w:val="single" w:color="000000" w:sz="3" w:space="0"/>
              <w:right w:val="single" w:color="000000" w:sz="3" w:space="0"/>
            </w:tcBorders>
            <w:tcMar>
              <w:left w:w="15" w:type="dxa"/>
              <w:top w:w="15" w:type="dxa"/>
              <w:right w:w="15" w:type="dxa"/>
              <w:bottom w:w="0" w:type="dxa"/>
            </w:tcMar>
            <w:tcW w:w="9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Tỷ lệ hoàn thiện</w:t>
            </w:r>
            <w:r/>
          </w:p>
        </w:tc>
      </w:tr>
      <w:tr>
        <w:trPr>
          <w:trHeight w:val="314"/>
        </w:trPr>
        <w:tc>
          <w:tcPr>
            <w:tcBorders>
              <w:left w:val="single" w:color="000000" w:sz="3" w:space="0"/>
              <w:bottom w:val="single" w:color="000000" w:sz="3" w:space="0"/>
              <w:right w:val="single" w:color="000000" w:sz="3" w:space="0"/>
            </w:tcBorders>
            <w:tcMar>
              <w:left w:w="15" w:type="dxa"/>
              <w:top w:w="15" w:type="dxa"/>
              <w:right w:w="15" w:type="dxa"/>
              <w:bottom w:w="0" w:type="dxa"/>
            </w:tcMar>
            <w:tcW w:w="5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 </w:t>
            </w:r>
            <w:r/>
          </w:p>
        </w:tc>
        <w:tc>
          <w:tcPr>
            <w:tcBorders>
              <w:bottom w:val="single" w:color="000000" w:sz="3" w:space="0"/>
              <w:right w:val="single" w:color="000000" w:sz="3" w:space="0"/>
            </w:tcBorders>
            <w:tcMar>
              <w:left w:w="15" w:type="dxa"/>
              <w:top w:w="15" w:type="dxa"/>
              <w:right w:w="15"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 </w:t>
            </w:r>
            <w:r/>
          </w:p>
        </w:tc>
        <w:tc>
          <w:tcPr>
            <w:tcBorders>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2"/>
              </w:rPr>
              <w:t xml:space="preserve"> </w:t>
            </w:r>
            <w:r/>
          </w:p>
        </w:tc>
        <w:tc>
          <w:tcPr>
            <w:tcBorders>
              <w:bottom w:val="single" w:color="000000" w:sz="3" w:space="0"/>
              <w:right w:val="single" w:color="000000" w:sz="3" w:space="0"/>
            </w:tcBorders>
            <w:tcMar>
              <w:left w:w="15" w:type="dxa"/>
              <w:top w:w="15" w:type="dxa"/>
              <w:right w:w="15" w:type="dxa"/>
              <w:bottom w:w="0" w:type="dxa"/>
            </w:tcMar>
            <w:tcW w:w="9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2"/>
              </w:rPr>
              <w:t xml:space="preserve"> </w:t>
            </w:r>
            <w:r/>
          </w:p>
        </w:tc>
        <w:tc>
          <w:tcPr>
            <w:tcBorders>
              <w:bottom w:val="single" w:color="000000" w:sz="3" w:space="0"/>
              <w:right w:val="single" w:color="000000" w:sz="3" w:space="0"/>
            </w:tcBorders>
            <w:tcMar>
              <w:left w:w="15" w:type="dxa"/>
              <w:top w:w="15" w:type="dxa"/>
              <w:right w:w="15" w:type="dxa"/>
              <w:bottom w:w="0" w:type="dxa"/>
            </w:tcMar>
            <w:tcW w:w="9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2"/>
              </w:rPr>
              <w:t xml:space="preserve"> </w:t>
            </w:r>
            <w:r/>
          </w:p>
        </w:tc>
        <w:tc>
          <w:tcPr>
            <w:tcBorders>
              <w:bottom w:val="single" w:color="000000" w:sz="3" w:space="0"/>
              <w:right w:val="single" w:color="000000" w:sz="3" w:space="0"/>
            </w:tcBorders>
            <w:tcMar>
              <w:left w:w="15" w:type="dxa"/>
              <w:top w:w="15" w:type="dxa"/>
              <w:right w:w="15" w:type="dxa"/>
              <w:bottom w:w="0" w:type="dxa"/>
            </w:tcMar>
            <w:tcW w:w="9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2"/>
              </w:rPr>
              <w:t xml:space="preserve"> </w:t>
            </w:r>
            <w:r/>
          </w:p>
        </w:tc>
        <w:tc>
          <w:tcPr>
            <w:tcBorders>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2"/>
              </w:rPr>
              <w:t xml:space="preserve"> </w:t>
            </w:r>
            <w:r/>
          </w:p>
        </w:tc>
        <w:tc>
          <w:tcPr>
            <w:tcBorders>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2"/>
              </w:rPr>
              <w:t xml:space="preserve"> </w:t>
            </w:r>
            <w:r/>
          </w:p>
        </w:tc>
        <w:tc>
          <w:tcPr>
            <w:tcBorders>
              <w:bottom w:val="single" w:color="000000" w:sz="3" w:space="0"/>
              <w:right w:val="single" w:color="000000" w:sz="3" w:space="0"/>
            </w:tcBorders>
            <w:tcMar>
              <w:left w:w="15" w:type="dxa"/>
              <w:top w:w="15" w:type="dxa"/>
              <w:right w:w="15" w:type="dxa"/>
              <w:bottom w:w="0" w:type="dxa"/>
            </w:tcMar>
            <w:tcW w:w="9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2"/>
              </w:rPr>
              <w:t xml:space="preserve">65%</w:t>
            </w: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3" w:space="0"/>
              <w:right w:val="single" w:color="000000" w:sz="3" w:space="0"/>
            </w:tcBorders>
            <w:tcMar>
              <w:left w:w="15" w:type="dxa"/>
              <w:top w:w="15" w:type="dxa"/>
              <w:right w:w="15"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Tỉ trọng kết cấu</w:t>
            </w:r>
            <w:r/>
          </w:p>
        </w:tc>
        <w:tc>
          <w:tcPr>
            <w:tcBorders>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3" w:space="0"/>
              <w:right w:val="single" w:color="000000" w:sz="3" w:space="0"/>
            </w:tcBorders>
            <w:tcMar>
              <w:left w:w="15" w:type="dxa"/>
              <w:top w:w="15" w:type="dxa"/>
              <w:right w:w="15" w:type="dxa"/>
              <w:bottom w:w="0" w:type="dxa"/>
            </w:tcMar>
            <w:tcW w:w="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3" w:space="0"/>
              <w:right w:val="single" w:color="000000" w:sz="3" w:space="0"/>
            </w:tcBorders>
            <w:tcMar>
              <w:left w:w="15" w:type="dxa"/>
              <w:top w:w="15" w:type="dxa"/>
              <w:right w:w="15" w:type="dxa"/>
              <w:bottom w:w="0" w:type="dxa"/>
            </w:tcMar>
            <w:tcW w:w="9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3" w:space="0"/>
              <w:right w:val="single" w:color="000000" w:sz="3" w:space="0"/>
            </w:tcBorders>
            <w:tcMar>
              <w:left w:w="15" w:type="dxa"/>
              <w:top w:w="15" w:type="dxa"/>
              <w:right w:w="15" w:type="dxa"/>
              <w:bottom w:w="0" w:type="dxa"/>
            </w:tcMar>
            <w:tcW w:w="9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3" w:space="0"/>
              <w:right w:val="single" w:color="000000" w:sz="3" w:space="0"/>
            </w:tcBorders>
            <w:tcMar>
              <w:left w:w="15" w:type="dxa"/>
              <w:top w:w="15" w:type="dxa"/>
              <w:right w:w="15" w:type="dxa"/>
              <w:bottom w:w="0" w:type="dxa"/>
            </w:tcMar>
            <w:tcW w:w="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3" w:space="0"/>
              <w:right w:val="single" w:color="000000" w:sz="3" w:space="0"/>
            </w:tcBorders>
            <w:tcMar>
              <w:left w:w="15" w:type="dxa"/>
              <w:top w:w="15" w:type="dxa"/>
              <w:right w:w="15"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Tỉ lệ hoàn thiện</w:t>
            </w:r>
            <w:r/>
          </w:p>
        </w:tc>
        <w:tc>
          <w:tcPr>
            <w:tcBorders>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3" w:space="0"/>
              <w:right w:val="single" w:color="000000" w:sz="3" w:space="0"/>
            </w:tcBorders>
            <w:tcMar>
              <w:left w:w="15" w:type="dxa"/>
              <w:top w:w="15" w:type="dxa"/>
              <w:right w:w="15" w:type="dxa"/>
              <w:bottom w:w="0" w:type="dxa"/>
            </w:tcMar>
            <w:tcW w:w="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3" w:space="0"/>
              <w:right w:val="single" w:color="000000" w:sz="3" w:space="0"/>
            </w:tcBorders>
            <w:tcMar>
              <w:left w:w="15" w:type="dxa"/>
              <w:top w:w="15" w:type="dxa"/>
              <w:right w:w="15" w:type="dxa"/>
              <w:bottom w:w="0" w:type="dxa"/>
            </w:tcMar>
            <w:tcW w:w="9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bottom w:val="single" w:color="000000" w:sz="3" w:space="0"/>
              <w:right w:val="single" w:color="000000" w:sz="3" w:space="0"/>
            </w:tcBorders>
            <w:tcMar>
              <w:left w:w="15" w:type="dxa"/>
              <w:top w:w="15" w:type="dxa"/>
              <w:right w:w="15" w:type="dxa"/>
              <w:bottom w:w="0" w:type="dxa"/>
            </w:tcMar>
            <w:tcW w:w="9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3" w:space="0"/>
              <w:right w:val="single" w:color="000000" w:sz="3" w:space="0"/>
            </w:tcBorders>
            <w:tcMar>
              <w:left w:w="15" w:type="dxa"/>
              <w:top w:w="15" w:type="dxa"/>
              <w:right w:w="15" w:type="dxa"/>
              <w:bottom w:w="0" w:type="dxa"/>
            </w:tcMar>
            <w:tcW w:w="9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3" w:space="0"/>
              <w:right w:val="single" w:color="000000" w:sz="3" w:space="0"/>
            </w:tcBorders>
            <w:tcMar>
              <w:left w:w="15" w:type="dxa"/>
              <w:top w:w="15" w:type="dxa"/>
              <w:right w:w="15" w:type="dxa"/>
              <w:bottom w:w="0" w:type="dxa"/>
            </w:tcMar>
            <w:tcW w:w="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Tài sản thẩm đ</w:t>
      </w:r>
      <w:r>
        <w:rPr>
          <w:rFonts w:ascii="Times New Roman" w:hAnsi="Times New Roman" w:eastAsia="Times New Roman" w:cs="Times New Roman"/>
          <w:color w:val="000000"/>
          <w:sz w:val="24"/>
          <w:highlight w:val="white"/>
        </w:rPr>
        <w:t xml:space="preserve">ịnh thuộc phân khu Biển Xanh dự án</w:t>
      </w:r>
      <w:r>
        <w:rPr>
          <w:rFonts w:ascii="Times New Roman" w:hAnsi="Times New Roman" w:eastAsia="Times New Roman" w:cs="Times New Roman"/>
          <w:color w:val="000000"/>
          <w:sz w:val="24"/>
        </w:rPr>
        <w:t xml:space="preserve">Vinhomes Ocean Park 2 thuộc xã Nghĩa Trụ, tỉnh Hưng Yên được hoàn thiện bàn giao tháng 9/2023. Do đó, tổ thẩm định xác định tỷ lệ CLCL của công trình xây dựng theo phương pháp tuổi đời, cụ thể như sau</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3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605"/>
        <w:gridCol w:w="1754"/>
        <w:gridCol w:w="1487"/>
        <w:gridCol w:w="992"/>
        <w:gridCol w:w="1134"/>
        <w:gridCol w:w="992"/>
        <w:gridCol w:w="1276"/>
      </w:tblGrid>
      <w:tr>
        <w:trPr>
          <w:trHeight w:val="554"/>
        </w:trPr>
        <w:tc>
          <w:tcPr>
            <w:shd w:val="clear" w:color="ffffff" w:fill="ffffff"/>
            <w:tcBorders>
              <w:top w:val="single" w:color="000000" w:sz="3" w:space="0"/>
              <w:left w:val="single" w:color="000000" w:sz="3" w:space="0"/>
              <w:bottom w:val="single" w:color="000000" w:sz="3" w:space="0"/>
              <w:right w:val="single" w:color="000000" w:sz="3" w:space="0"/>
            </w:tcBorders>
            <w:tcMar>
              <w:left w:w="15" w:type="dxa"/>
              <w:top w:w="15" w:type="dxa"/>
              <w:right w:w="15" w:type="dxa"/>
              <w:bottom w:w="0" w:type="dxa"/>
            </w:tcMar>
            <w:tcW w:w="1605"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shd w:val="clear" w:color="ffffff" w:fill="ffffff"/>
            <w:tcBorders>
              <w:top w:val="single" w:color="000000" w:sz="3" w:space="0"/>
              <w:bottom w:val="single" w:color="000000" w:sz="3" w:space="0"/>
              <w:right w:val="single" w:color="000000" w:sz="3" w:space="0"/>
            </w:tcBorders>
            <w:tcMar>
              <w:left w:w="15" w:type="dxa"/>
              <w:top w:w="15" w:type="dxa"/>
              <w:right w:w="15" w:type="dxa"/>
              <w:bottom w:w="0" w:type="dxa"/>
            </w:tcMar>
            <w:tcW w:w="1754"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Thời điểm đưa vào sử dụng</w:t>
            </w:r>
            <w:r>
              <w:rPr>
                <w:sz w:val="24"/>
                <w:szCs w:val="24"/>
              </w:rPr>
            </w:r>
            <w:r>
              <w:rPr>
                <w:sz w:val="24"/>
                <w:szCs w:val="24"/>
              </w:rPr>
            </w:r>
          </w:p>
        </w:tc>
        <w:tc>
          <w:tcPr>
            <w:shd w:val="clear" w:color="ffffff" w:fill="ffffff"/>
            <w:tcBorders>
              <w:top w:val="single" w:color="000000" w:sz="3" w:space="0"/>
              <w:bottom w:val="single" w:color="000000" w:sz="3" w:space="0"/>
              <w:right w:val="single" w:color="000000" w:sz="3" w:space="0"/>
            </w:tcBorders>
            <w:tcMar>
              <w:left w:w="15" w:type="dxa"/>
              <w:top w:w="15" w:type="dxa"/>
              <w:right w:w="15" w:type="dxa"/>
              <w:bottom w:w="0" w:type="dxa"/>
            </w:tcMar>
            <w:tcW w:w="1487"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Thời điểm thẩm định</w:t>
            </w:r>
            <w:r>
              <w:rPr>
                <w:sz w:val="24"/>
                <w:szCs w:val="24"/>
              </w:rPr>
            </w:r>
            <w:r>
              <w:rPr>
                <w:sz w:val="24"/>
                <w:szCs w:val="24"/>
              </w:rPr>
            </w:r>
          </w:p>
        </w:tc>
        <w:tc>
          <w:tcPr>
            <w:shd w:val="clear" w:color="ffffff" w:fill="ffffff"/>
            <w:tcBorders>
              <w:top w:val="single" w:color="000000" w:sz="3" w:space="0"/>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Tuổi đời kinh tế</w:t>
            </w:r>
            <w:r>
              <w:rPr>
                <w:sz w:val="24"/>
                <w:szCs w:val="24"/>
              </w:rPr>
            </w:r>
            <w:r>
              <w:rPr>
                <w:sz w:val="24"/>
                <w:szCs w:val="24"/>
              </w:rPr>
            </w:r>
          </w:p>
        </w:tc>
        <w:tc>
          <w:tcPr>
            <w:shd w:val="clear" w:color="ffffff" w:fill="ffffff"/>
            <w:tcBorders>
              <w:top w:val="single" w:color="000000" w:sz="3" w:space="0"/>
              <w:bottom w:val="single" w:color="000000" w:sz="3" w:space="0"/>
              <w:right w:val="single" w:color="000000" w:sz="3" w:space="0"/>
            </w:tcBorders>
            <w:tcMar>
              <w:left w:w="15" w:type="dxa"/>
              <w:top w:w="15" w:type="dxa"/>
              <w:right w:w="15" w:type="dxa"/>
              <w:bottom w:w="0" w:type="dxa"/>
            </w:tcMar>
            <w:tcW w:w="1134"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Tuổi đời hiệu quả</w:t>
            </w:r>
            <w:r>
              <w:rPr>
                <w:sz w:val="24"/>
                <w:szCs w:val="24"/>
              </w:rPr>
            </w:r>
            <w:r>
              <w:rPr>
                <w:sz w:val="24"/>
                <w:szCs w:val="24"/>
              </w:rPr>
            </w:r>
          </w:p>
        </w:tc>
        <w:tc>
          <w:tcPr>
            <w:shd w:val="clear" w:color="ffffff" w:fill="ffffff"/>
            <w:tcBorders>
              <w:top w:val="single" w:color="000000" w:sz="3" w:space="0"/>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Tỷ lệ hao mòn</w:t>
            </w:r>
            <w:r>
              <w:rPr>
                <w:sz w:val="24"/>
                <w:szCs w:val="24"/>
              </w:rPr>
            </w:r>
            <w:r>
              <w:rPr>
                <w:sz w:val="24"/>
                <w:szCs w:val="24"/>
              </w:rPr>
            </w:r>
          </w:p>
        </w:tc>
        <w:tc>
          <w:tcPr>
            <w:shd w:val="clear" w:color="ffffff" w:fill="ffffff"/>
            <w:tcBorders>
              <w:top w:val="single" w:color="000000" w:sz="3" w:space="0"/>
              <w:bottom w:val="single" w:color="000000" w:sz="3" w:space="0"/>
              <w:right w:val="single" w:color="000000" w:sz="3" w:space="0"/>
            </w:tcBorders>
            <w:tcMar>
              <w:left w:w="15" w:type="dxa"/>
              <w:top w:w="15" w:type="dxa"/>
              <w:right w:w="15" w:type="dxa"/>
              <w:bottom w:w="0" w:type="dxa"/>
            </w:tcMar>
            <w:tcW w:w="1276"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Tỷ lệ CLCL</w:t>
            </w:r>
            <w:r>
              <w:rPr>
                <w:sz w:val="24"/>
                <w:szCs w:val="24"/>
              </w:rPr>
            </w:r>
            <w:r>
              <w:rPr>
                <w:sz w:val="24"/>
                <w:szCs w:val="24"/>
              </w:rPr>
            </w:r>
          </w:p>
        </w:tc>
      </w:tr>
      <w:tr>
        <w:trPr>
          <w:trHeight w:val="344"/>
        </w:trPr>
        <w:tc>
          <w:tcPr>
            <w:shd w:val="clear" w:color="ffffff" w:fill="ffffff"/>
            <w:tcBorders>
              <w:left w:val="single" w:color="000000" w:sz="3" w:space="0"/>
              <w:bottom w:val="single" w:color="000000" w:sz="3" w:space="0"/>
              <w:right w:val="single" w:color="000000" w:sz="3" w:space="0"/>
            </w:tcBorders>
            <w:tcMar>
              <w:left w:w="15" w:type="dxa"/>
              <w:top w:w="15" w:type="dxa"/>
              <w:right w:w="15" w:type="dxa"/>
              <w:bottom w:w="0" w:type="dxa"/>
            </w:tcMar>
            <w:tcW w:w="1605"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shd w:val="clear" w:color="ffffff" w:fill="ffffff"/>
            <w:tcBorders>
              <w:bottom w:val="single" w:color="000000" w:sz="3" w:space="0"/>
              <w:right w:val="single" w:color="000000" w:sz="3" w:space="0"/>
            </w:tcBorders>
            <w:tcMar>
              <w:left w:w="15" w:type="dxa"/>
              <w:top w:w="15" w:type="dxa"/>
              <w:right w:w="15" w:type="dxa"/>
              <w:bottom w:w="0" w:type="dxa"/>
            </w:tcMar>
            <w:tcW w:w="1754"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shd w:val="clear" w:color="ffffff" w:fill="ffffff"/>
            <w:tcBorders>
              <w:bottom w:val="single" w:color="000000" w:sz="3" w:space="0"/>
              <w:right w:val="single" w:color="000000" w:sz="3" w:space="0"/>
            </w:tcBorders>
            <w:tcMar>
              <w:left w:w="15" w:type="dxa"/>
              <w:top w:w="15" w:type="dxa"/>
              <w:right w:w="15" w:type="dxa"/>
              <w:bottom w:w="0" w:type="dxa"/>
            </w:tcMar>
            <w:tcW w:w="1487"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tcBorders>
              <w:bottom w:val="single" w:color="000000" w:sz="3" w:space="0"/>
              <w:right w:val="single" w:color="000000" w:sz="3" w:space="0"/>
            </w:tcBorders>
            <w:tcMar>
              <w:left w:w="15" w:type="dxa"/>
              <w:top w:w="15" w:type="dxa"/>
              <w:right w:w="15" w:type="dxa"/>
              <w:bottom w:w="0" w:type="dxa"/>
            </w:tcMar>
            <w:tcW w:w="1134"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tcBorders>
              <w:bottom w:val="single" w:color="000000" w:sz="3" w:space="0"/>
              <w:right w:val="single" w:color="000000" w:sz="3" w:space="0"/>
            </w:tcBorders>
            <w:tcMar>
              <w:left w:w="15" w:type="dxa"/>
              <w:top w:w="15" w:type="dxa"/>
              <w:right w:w="15" w:type="dxa"/>
              <w:bottom w:w="0" w:type="dxa"/>
            </w:tcMar>
            <w:tcW w:w="1276"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r>
      <w:tr>
        <w:trPr>
          <w:trHeight w:val="307"/>
        </w:trPr>
        <w:tc>
          <w:tcPr>
            <w:tcBorders>
              <w:left w:val="single" w:color="000000" w:sz="3" w:space="0"/>
              <w:bottom w:val="single" w:color="000000" w:sz="3" w:space="0"/>
              <w:right w:val="single" w:color="000000" w:sz="3" w:space="0"/>
            </w:tcBorders>
            <w:tcMar>
              <w:left w:w="15" w:type="dxa"/>
              <w:top w:w="15" w:type="dxa"/>
              <w:right w:w="15" w:type="dxa"/>
              <w:bottom w:w="0" w:type="dxa"/>
            </w:tcMar>
            <w:tcW w:w="1605"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Nhà 5 tầng</w:t>
            </w:r>
            <w:r>
              <w:rPr>
                <w:sz w:val="24"/>
                <w:szCs w:val="24"/>
              </w:rPr>
            </w:r>
            <w:r>
              <w:rPr>
                <w:sz w:val="24"/>
                <w:szCs w:val="24"/>
              </w:rPr>
            </w:r>
          </w:p>
        </w:tc>
        <w:tc>
          <w:tcPr>
            <w:shd w:val="clear" w:color="ffffff" w:fill="ffffff"/>
            <w:tcBorders>
              <w:bottom w:val="single" w:color="000000" w:sz="3" w:space="0"/>
              <w:right w:val="single" w:color="000000" w:sz="3" w:space="0"/>
            </w:tcBorders>
            <w:tcMar>
              <w:left w:w="15" w:type="dxa"/>
              <w:top w:w="15" w:type="dxa"/>
              <w:right w:w="15" w:type="dxa"/>
              <w:bottom w:w="0" w:type="dxa"/>
            </w:tcMar>
            <w:tcW w:w="1754" w:type="dxa"/>
            <w:vAlign w:val="center"/>
            <w:textDirection w:val="lrTb"/>
            <w:noWrap w:val="false"/>
          </w:tcPr>
          <w:p>
            <w:pPr>
              <w:pBdr/>
              <w:spacing w:after="0" w:before="0" w:line="240" w:lineRule="auto"/>
              <w:ind/>
              <w:jc w:val="center"/>
              <w:rPr>
                <w:b w:val="0"/>
                <w:bCs w:val="0"/>
                <w:sz w:val="24"/>
                <w:szCs w:val="24"/>
              </w:rPr>
            </w:pPr>
            <w:r>
              <w:rPr>
                <w:rFonts w:ascii="Times New Roman" w:hAnsi="Times New Roman" w:eastAsia="Times New Roman" w:cs="Times New Roman"/>
                <w:b w:val="0"/>
                <w:bCs w:val="0"/>
                <w:color w:val="000000"/>
                <w:sz w:val="24"/>
                <w:szCs w:val="24"/>
              </w:rPr>
              <w:t xml:space="preserve">9/2023</w:t>
            </w:r>
            <w:r>
              <w:rPr>
                <w:b w:val="0"/>
                <w:bCs w:val="0"/>
                <w:sz w:val="24"/>
                <w:szCs w:val="24"/>
              </w:rPr>
            </w:r>
            <w:r>
              <w:rPr>
                <w:b w:val="0"/>
                <w:bCs w:val="0"/>
                <w:sz w:val="24"/>
                <w:szCs w:val="24"/>
              </w:rPr>
            </w:r>
          </w:p>
        </w:tc>
        <w:tc>
          <w:tcPr>
            <w:shd w:val="clear" w:color="ffffff" w:fill="ffffff"/>
            <w:tcBorders>
              <w:bottom w:val="single" w:color="000000" w:sz="3" w:space="0"/>
              <w:right w:val="single" w:color="000000" w:sz="3" w:space="0"/>
            </w:tcBorders>
            <w:tcMar>
              <w:left w:w="15" w:type="dxa"/>
              <w:top w:w="15" w:type="dxa"/>
              <w:right w:w="15" w:type="dxa"/>
              <w:bottom w:w="0" w:type="dxa"/>
            </w:tcMar>
            <w:tcW w:w="1487" w:type="dxa"/>
            <w:vAlign w:val="center"/>
            <w:textDirection w:val="lrTb"/>
            <w:noWrap w:val="false"/>
          </w:tcPr>
          <w:p>
            <w:pPr>
              <w:pBdr/>
              <w:spacing w:after="0" w:before="0" w:line="240" w:lineRule="auto"/>
              <w:ind/>
              <w:jc w:val="center"/>
              <w:rPr>
                <w:b w:val="0"/>
                <w:bCs w:val="0"/>
                <w:sz w:val="24"/>
                <w:szCs w:val="24"/>
              </w:rPr>
            </w:pPr>
            <w:r>
              <w:rPr>
                <w:rFonts w:ascii="Times New Roman" w:hAnsi="Times New Roman" w:eastAsia="Times New Roman" w:cs="Times New Roman"/>
                <w:b w:val="0"/>
                <w:bCs w:val="0"/>
                <w:color w:val="000000"/>
                <w:sz w:val="24"/>
                <w:szCs w:val="24"/>
              </w:rPr>
              <w:t xml:space="preserve">3/2026</w:t>
            </w:r>
            <w:r>
              <w:rPr>
                <w:b w:val="0"/>
                <w:bCs w:val="0"/>
                <w:sz w:val="24"/>
                <w:szCs w:val="24"/>
              </w:rPr>
            </w:r>
            <w:r>
              <w:rPr>
                <w:b w:val="0"/>
                <w:bCs w:val="0"/>
                <w:sz w:val="24"/>
                <w:szCs w:val="24"/>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50</w:t>
            </w:r>
            <w:r>
              <w:rPr>
                <w:sz w:val="24"/>
                <w:szCs w:val="24"/>
              </w:rPr>
            </w:r>
            <w:r>
              <w:rPr>
                <w:sz w:val="24"/>
                <w:szCs w:val="24"/>
              </w:rPr>
            </w:r>
          </w:p>
        </w:tc>
        <w:tc>
          <w:tcPr>
            <w:tcBorders>
              <w:bottom w:val="single" w:color="000000" w:sz="3" w:space="0"/>
              <w:right w:val="single" w:color="000000" w:sz="3" w:space="0"/>
            </w:tcBorders>
            <w:tcMar>
              <w:left w:w="15" w:type="dxa"/>
              <w:top w:w="15" w:type="dxa"/>
              <w:right w:w="15" w:type="dxa"/>
              <w:bottom w:w="0" w:type="dxa"/>
            </w:tcMar>
            <w:tcW w:w="1134"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2,5</w:t>
            </w:r>
            <w:r>
              <w:rPr>
                <w:sz w:val="24"/>
                <w:szCs w:val="24"/>
              </w:rPr>
            </w:r>
            <w:r>
              <w:rPr>
                <w:sz w:val="24"/>
                <w:szCs w:val="24"/>
              </w:rPr>
            </w:r>
          </w:p>
        </w:tc>
        <w:tc>
          <w:tcPr>
            <w:tcBorders>
              <w:bottom w:val="single" w:color="000000" w:sz="3" w:space="0"/>
              <w:right w:val="single" w:color="000000" w:sz="3"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5%</w:t>
            </w:r>
            <w:r>
              <w:rPr>
                <w:sz w:val="24"/>
                <w:szCs w:val="24"/>
              </w:rPr>
            </w:r>
            <w:r>
              <w:rPr>
                <w:sz w:val="24"/>
                <w:szCs w:val="24"/>
              </w:rPr>
            </w:r>
          </w:p>
        </w:tc>
        <w:tc>
          <w:tcPr>
            <w:tcBorders>
              <w:bottom w:val="single" w:color="000000" w:sz="3" w:space="0"/>
              <w:right w:val="single" w:color="000000" w:sz="3" w:space="0"/>
            </w:tcBorders>
            <w:tcMar>
              <w:left w:w="15" w:type="dxa"/>
              <w:top w:w="15" w:type="dxa"/>
              <w:right w:w="15" w:type="dxa"/>
              <w:bottom w:w="0" w:type="dxa"/>
            </w:tcMar>
            <w:tcW w:w="1276"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95%</w:t>
            </w:r>
            <w:r>
              <w:rPr>
                <w:sz w:val="24"/>
                <w:szCs w:val="24"/>
              </w:rPr>
            </w:r>
            <w:r>
              <w:rPr>
                <w:sz w:val="24"/>
                <w:szCs w:val="24"/>
              </w:rPr>
            </w:r>
          </w:p>
        </w:tc>
      </w:tr>
    </w:tbl>
    <w:p>
      <w:pPr>
        <w:numPr>
          <w:ilvl w:val="0"/>
          <w:numId w:val="41"/>
        </w:numPr>
        <w:pBdr>
          <w:top w:val="none" w:color="000000" w:sz="4" w:space="0"/>
          <w:left w:val="none" w:color="000000" w:sz="4" w:space="0"/>
          <w:bottom w:val="none" w:color="000000" w:sz="4" w:space="0"/>
          <w:right w:val="none" w:color="000000" w:sz="4" w:space="0"/>
        </w:pBdr>
        <w:spacing w:after="120" w:before="120" w:line="300" w:lineRule="auto"/>
        <w:ind/>
        <w:jc w:val="both"/>
        <w:rPr>
          <w:rFonts w:ascii="Times New Roman" w:hAnsi="Times New Roman" w:eastAsia="Times New Roman" w:cs="Times New Roman"/>
          <w:b/>
          <w:bCs/>
          <w:i/>
          <w:color w:val="000000"/>
          <w:sz w:val="24"/>
          <w:szCs w:val="24"/>
          <w:highlight w:val="white"/>
          <w14:ligatures w14:val="none"/>
        </w:rPr>
      </w:pPr>
      <w:r>
        <w:rPr>
          <w:rFonts w:ascii="Times New Roman" w:hAnsi="Times New Roman" w:eastAsia="Times New Roman" w:cs="Times New Roman"/>
          <w:b w:val="0"/>
          <w:bCs w:val="0"/>
          <w:i/>
          <w:iCs/>
          <w:color w:val="000000"/>
          <w:sz w:val="24"/>
          <w:szCs w:val="24"/>
          <w:highlight w:val="none"/>
        </w:rPr>
        <w:t xml:space="preserve">Tỷ lệ chất lượng còn lại của công trình xây dựng = Tỷ lệ hoàn thiện x Tỷ lệ CLCL </w:t>
      </w:r>
      <w:r>
        <w:rPr>
          <w:rFonts w:ascii="Times New Roman" w:hAnsi="Times New Roman" w:eastAsia="Times New Roman" w:cs="Times New Roman"/>
          <w:b/>
          <w:bCs/>
          <w:i/>
          <w:color w:val="000000"/>
          <w:sz w:val="24"/>
          <w:szCs w:val="24"/>
          <w:highlight w:val="white"/>
          <w14:ligatures w14:val="none"/>
        </w:rPr>
      </w:r>
      <w:r>
        <w:rPr>
          <w:rFonts w:ascii="Times New Roman" w:hAnsi="Times New Roman" w:eastAsia="Times New Roman" w:cs="Times New Roman"/>
          <w:b/>
          <w:bCs/>
          <w:i/>
          <w:color w:val="000000"/>
          <w:sz w:val="24"/>
          <w:szCs w:val="24"/>
          <w:highlight w:val="white"/>
          <w14:ligatures w14:val="none"/>
        </w:rPr>
      </w:r>
    </w:p>
    <w:p>
      <w:pPr>
        <w:pBdr>
          <w:top w:val="none" w:color="000000" w:sz="4" w:space="0"/>
          <w:left w:val="none" w:color="000000" w:sz="4" w:space="0"/>
          <w:bottom w:val="none" w:color="000000" w:sz="4" w:space="0"/>
          <w:right w:val="none" w:color="000000" w:sz="4" w:space="0"/>
        </w:pBdr>
        <w:spacing w:after="120" w:before="120" w:line="300" w:lineRule="auto"/>
        <w:ind w:firstLine="0" w:left="720"/>
        <w:jc w:val="both"/>
        <w:rPr>
          <w:rFonts w:ascii="Times New Roman" w:hAnsi="Times New Roman" w:eastAsia="Times New Roman" w:cs="Times New Roman"/>
          <w:b w:val="0"/>
          <w:bCs/>
          <w:i/>
          <w:color w:val="000000"/>
          <w:sz w:val="24"/>
          <w:szCs w:val="24"/>
          <w:highlight w:val="none"/>
          <w14:ligatures w14:val="none"/>
        </w:rPr>
      </w:pPr>
      <w:r>
        <w:rPr>
          <w:rFonts w:ascii="Times New Roman" w:hAnsi="Times New Roman" w:eastAsia="Times New Roman" w:cs="Times New Roman"/>
          <w:b w:val="0"/>
          <w:bCs w:val="0"/>
          <w:i/>
          <w:iCs/>
          <w:color w:val="000000"/>
          <w:sz w:val="24"/>
          <w:szCs w:val="24"/>
          <w:highlight w:val="none"/>
        </w:rPr>
      </w:r>
      <w:r>
        <w:rPr>
          <w:rFonts w:ascii="Times New Roman" w:hAnsi="Times New Roman" w:eastAsia="Times New Roman" w:cs="Times New Roman"/>
          <w:b w:val="0"/>
          <w:bCs w:val="0"/>
          <w:i/>
          <w:iCs/>
          <w:color w:val="000000"/>
          <w:sz w:val="24"/>
          <w:szCs w:val="24"/>
          <w:highlight w:val="none"/>
        </w:rPr>
        <w:t xml:space="preserve">                                                                               = 65% * 95% = 61,75%</w:t>
      </w:r>
      <w:r>
        <w:rPr>
          <w:rFonts w:ascii="Times New Roman" w:hAnsi="Times New Roman" w:eastAsia="Times New Roman" w:cs="Times New Roman"/>
          <w:b w:val="0"/>
          <w:bCs/>
          <w:i/>
          <w:color w:val="000000"/>
          <w:sz w:val="24"/>
          <w:szCs w:val="24"/>
          <w:highlight w:val="none"/>
          <w14:ligatures w14:val="none"/>
        </w:rPr>
      </w:r>
      <w:r>
        <w:rPr>
          <w:rFonts w:ascii="Times New Roman" w:hAnsi="Times New Roman" w:eastAsia="Times New Roman" w:cs="Times New Roman"/>
          <w:b w:val="0"/>
          <w:bCs/>
          <w:i/>
          <w:color w:val="000000"/>
          <w:sz w:val="24"/>
          <w:szCs w:val="24"/>
          <w:highlight w:val="none"/>
          <w14:ligatures w14:val="none"/>
        </w:rPr>
      </w:r>
    </w:p>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color w:val="000000"/>
          <w:sz w:val="24"/>
        </w:rPr>
        <w:t xml:space="preserve">Tổ thẩm định xác tỷ lệ chất lượng còn lại của tài sản là: </w:t>
      </w:r>
      <w:r>
        <w:rPr>
          <w:rFonts w:ascii="Times New Roman" w:hAnsi="Times New Roman" w:eastAsia="Times New Roman" w:cs="Times New Roman"/>
          <w:b/>
          <w:color w:val="000000"/>
          <w:sz w:val="24"/>
        </w:rPr>
        <w:t xml:space="preserve">62% </w:t>
      </w:r>
      <w:r>
        <w:rPr>
          <w:rFonts w:ascii="Times New Roman" w:hAnsi="Times New Roman" w:eastAsia="Times New Roman" w:cs="Times New Roman"/>
          <w:b w:val="0"/>
          <w:bCs w:val="0"/>
          <w:color w:val="000000"/>
          <w:sz w:val="24"/>
        </w:rPr>
        <w:t xml:space="preserve">(làm tròn)</w:t>
      </w:r>
      <w:r>
        <w:rPr>
          <w:rFonts w:ascii="Times New Roman" w:hAnsi="Times New Roman" w:eastAsia="Times New Roman" w:cs="Times New Roman"/>
          <w:b/>
          <w:color w:val="000000"/>
          <w:sz w:val="24"/>
        </w:rPr>
        <w:t xml:space="preserve">.</w:t>
      </w:r>
      <w:r>
        <w:rPr>
          <w:rFonts w:ascii="Times New Roman" w:hAnsi="Times New Roman" w:eastAsia="Times New Roman" w:cs="Times New Roman"/>
          <w:color w:val="000000"/>
          <w:sz w:val="22"/>
        </w:rPr>
        <w:t xml:space="preserve">  </w:t>
      </w:r>
      <w:r/>
    </w:p>
    <w:p>
      <w:pPr>
        <w:numPr>
          <w:ilvl w:val="0"/>
          <w:numId w:val="43"/>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giá trị của công trình xây dựng trên đất:</w:t>
      </w:r>
      <w:r/>
    </w:p>
    <w:tbl>
      <w:tblPr>
        <w:tblStyle w:val="1038"/>
        <w:tblInd w:w="-9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2107"/>
        <w:gridCol w:w="1417"/>
        <w:gridCol w:w="1701"/>
        <w:gridCol w:w="1559"/>
        <w:gridCol w:w="2551"/>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Tỷ lệ CLCL(%)</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(5) = (2)*(3)*(4)</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Nhà 5 tầng xây thô</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443,7</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b/>
                <w:bCs/>
              </w:rPr>
            </w:pPr>
            <w:r>
              <w:rPr>
                <w:rFonts w:ascii="Times New Roman" w:hAnsi="Times New Roman" w:eastAsia="Times New Roman" w:cs="Times New Roman"/>
                <w:b/>
                <w:bCs/>
                <w:color w:val="000000"/>
                <w:sz w:val="22"/>
              </w:rPr>
            </w:r>
            <w:r>
              <w:rPr>
                <w:rFonts w:ascii="Times New Roman" w:hAnsi="Times New Roman" w:eastAsia="Times New Roman" w:cs="Times New Roman"/>
                <w:color w:val="000000"/>
                <w:sz w:val="22"/>
                <w:szCs w:val="22"/>
              </w:rPr>
              <w:t xml:space="preserve">6.461.051</w:t>
            </w:r>
            <w:r>
              <w:rPr>
                <w:rFonts w:ascii="Times New Roman" w:hAnsi="Times New Roman" w:eastAsia="Times New Roman" w:cs="Times New Roman"/>
                <w:b/>
                <w:color w:val="000000"/>
                <w:sz w:val="24"/>
                <w:highlight w:val="white"/>
              </w:rPr>
              <w:t xml:space="preserve"> </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62%</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1.777.396.364</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bl>
    <w:p>
      <w:pPr>
        <w:pStyle w:val="103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03/2026</w:t>
      </w:r>
      <w:r>
        <w:t xml:space="preserve"> </w:t>
      </w:r>
      <w:r>
        <w:t xml:space="preserve">ước tính </w:t>
      </w:r>
      <w:r>
        <w:t xml:space="preserve">như sau</w:t>
      </w:r>
      <w:r>
        <w:t xml:space="preserve">:</w:t>
      </w:r>
      <w:r/>
    </w:p>
    <w:tbl>
      <w:tblPr>
        <w:tblInd w:w="-198" w:type="dxa"/>
        <w:tblW w:w="504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80"/>
        <w:gridCol w:w="2850"/>
        <w:gridCol w:w="1134"/>
        <w:gridCol w:w="1701"/>
        <w:gridCol w:w="1368"/>
        <w:gridCol w:w="1985"/>
      </w:tblGrid>
      <w:tr>
        <w:trPr>
          <w:trHeight w:val="20"/>
        </w:trPr>
        <w:tc>
          <w:tcPr>
            <w:shd w:val="clear" w:color="000000" w:fill="ffffff"/>
            <w:tcBorders/>
            <w:tcW w:w="580" w:type="dxa"/>
            <w:vAlign w:val="center"/>
            <w:textDirection w:val="lrTb"/>
            <w:noWrap w:val="false"/>
          </w:tcPr>
          <w:p>
            <w:pPr>
              <w:pBdr/>
              <w:spacing w:after="40" w:before="40" w:line="264" w:lineRule="auto"/>
              <w:ind/>
              <w:jc w:val="center"/>
              <w:rPr>
                <w:b/>
                <w:bCs/>
              </w:rPr>
            </w:pPr>
            <w:r>
              <w:rPr>
                <w:b/>
                <w:bCs/>
              </w:rPr>
              <w:t xml:space="preserve">TT</w:t>
            </w:r>
            <w:r>
              <w:rPr>
                <w:b/>
                <w:bCs/>
              </w:rPr>
            </w:r>
            <w:r>
              <w:rPr>
                <w:b/>
                <w:bCs/>
              </w:rPr>
            </w:r>
          </w:p>
        </w:tc>
        <w:tc>
          <w:tcPr>
            <w:shd w:val="clear" w:color="000000" w:fill="ffffff"/>
            <w:tcBorders/>
            <w:tcW w:w="2850" w:type="dxa"/>
            <w:vAlign w:val="center"/>
            <w:textDirection w:val="lrTb"/>
            <w:noWrap w:val="false"/>
          </w:tcPr>
          <w:p>
            <w:pPr>
              <w:pBdr/>
              <w:spacing w:after="40" w:before="40" w:line="264" w:lineRule="auto"/>
              <w:ind/>
              <w:jc w:val="center"/>
              <w:rPr>
                <w:b/>
                <w:bCs/>
              </w:rPr>
            </w:pPr>
            <w:r>
              <w:rPr>
                <w:b/>
                <w:bCs/>
              </w:rPr>
              <w:t xml:space="preserve">Tài sản</w:t>
            </w:r>
            <w:r>
              <w:rPr>
                <w:b/>
                <w:bCs/>
              </w:rPr>
            </w:r>
            <w:r>
              <w:rPr>
                <w:b/>
                <w:bCs/>
              </w:rPr>
            </w:r>
          </w:p>
        </w:tc>
        <w:tc>
          <w:tcPr>
            <w:shd w:val="clear" w:color="000000" w:fill="ffffff"/>
            <w:tcBorders/>
            <w:tcW w:w="1134" w:type="dxa"/>
            <w:vAlign w:val="center"/>
            <w:textDirection w:val="lrTb"/>
            <w:noWrap w:val="false"/>
          </w:tcPr>
          <w:p>
            <w:pPr>
              <w:pBdr/>
              <w:spacing w:after="40" w:before="40" w:line="264" w:lineRule="auto"/>
              <w:ind/>
              <w:jc w:val="center"/>
              <w:rPr>
                <w:b/>
                <w:bCs/>
              </w:rPr>
            </w:pPr>
            <w:r>
              <w:rPr>
                <w:b/>
                <w:bCs/>
              </w:rPr>
              <w:t xml:space="preserve">Diện tích (m²)</w:t>
            </w:r>
            <w:r>
              <w:rPr>
                <w:b/>
                <w:bCs/>
              </w:rPr>
            </w:r>
            <w:r>
              <w:rPr>
                <w:b/>
                <w:bCs/>
              </w:rPr>
            </w:r>
          </w:p>
        </w:tc>
        <w:tc>
          <w:tcPr>
            <w:shd w:val="clear" w:color="000000" w:fill="ffffff"/>
            <w:tcBorders/>
            <w:tcW w:w="1701" w:type="dxa"/>
            <w:vAlign w:val="center"/>
            <w:textDirection w:val="lrTb"/>
            <w:noWrap w:val="false"/>
          </w:tcPr>
          <w:p>
            <w:pPr>
              <w:pBdr/>
              <w:spacing w:after="40" w:before="40" w:line="264" w:lineRule="auto"/>
              <w:ind/>
              <w:jc w:val="center"/>
              <w:rPr>
                <w:b/>
                <w:bCs/>
              </w:rPr>
            </w:pPr>
            <w:r>
              <w:rPr>
                <w:b/>
                <w:bCs/>
              </w:rPr>
              <w:t xml:space="preserve">Đơn giá (đồng/m²)</w:t>
            </w:r>
            <w:r>
              <w:rPr>
                <w:b/>
                <w:bCs/>
              </w:rPr>
            </w:r>
            <w:r>
              <w:rPr>
                <w:b/>
                <w:bCs/>
              </w:rPr>
            </w:r>
          </w:p>
        </w:tc>
        <w:tc>
          <w:tcPr>
            <w:shd w:val="clear" w:color="000000" w:fill="ffffff"/>
            <w:tcBorders/>
            <w:tcW w:w="1368" w:type="dxa"/>
            <w:vAlign w:val="center"/>
            <w:textDirection w:val="lrTb"/>
            <w:noWrap w:val="false"/>
          </w:tcPr>
          <w:p>
            <w:pPr>
              <w:pBdr/>
              <w:spacing w:line="264" w:lineRule="auto"/>
              <w:ind/>
              <w:jc w:val="center"/>
              <w:rPr>
                <w:b/>
                <w:bCs/>
              </w:rPr>
            </w:pPr>
            <w:r>
              <w:rPr>
                <w:b/>
                <w:bCs/>
              </w:rPr>
              <w:t xml:space="preserve">Tỷ lệ hoàn thiện</w:t>
            </w:r>
            <w:r>
              <w:rPr>
                <w:b/>
                <w:bCs/>
              </w:rPr>
            </w:r>
            <w:r>
              <w:rPr>
                <w:b/>
                <w:bCs/>
              </w:rPr>
            </w:r>
          </w:p>
        </w:tc>
        <w:tc>
          <w:tcPr>
            <w:shd w:val="clear" w:color="000000" w:fill="ffffff"/>
            <w:tcBorders/>
            <w:tcW w:w="1985" w:type="dxa"/>
            <w:vAlign w:val="center"/>
            <w:textDirection w:val="lrTb"/>
            <w:noWrap w:val="false"/>
          </w:tcPr>
          <w:p>
            <w:pPr>
              <w:pBdr/>
              <w:spacing w:after="40" w:before="40" w:line="264" w:lineRule="auto"/>
              <w:ind/>
              <w:jc w:val="center"/>
              <w:rPr>
                <w:b/>
                <w:bCs/>
              </w:rPr>
            </w:pPr>
            <w:r>
              <w:rPr>
                <w:b/>
                <w:bCs/>
              </w:rPr>
              <w:t xml:space="preserve">Thành tiền (đồng)</w:t>
            </w:r>
            <w:r>
              <w:rPr>
                <w:b/>
                <w:bCs/>
              </w:rPr>
            </w:r>
            <w:r>
              <w:rPr>
                <w:b/>
                <w:bCs/>
              </w:rPr>
            </w:r>
          </w:p>
        </w:tc>
      </w:tr>
      <w:tr>
        <w:trPr>
          <w:trHeight w:val="1660"/>
        </w:trPr>
        <w:tc>
          <w:tcPr>
            <w:shd w:val="clear" w:color="000000" w:fill="ffffff"/>
            <w:tcBorders/>
            <w:tcW w:w="580" w:type="dxa"/>
            <w:vAlign w:val="center"/>
            <w:textDirection w:val="lrTb"/>
            <w:noWrap w:val="false"/>
          </w:tcPr>
          <w:p>
            <w:pPr>
              <w:pBdr/>
              <w:spacing w:after="40" w:before="40" w:line="264" w:lineRule="auto"/>
              <w:ind/>
              <w:jc w:val="center"/>
              <w:rPr>
                <w:b/>
                <w:bCs/>
              </w:rPr>
            </w:pPr>
            <w:r>
              <w:rPr>
                <w:b/>
                <w:bCs/>
              </w:rPr>
              <w:t xml:space="preserve"> </w:t>
            </w:r>
            <w:r>
              <w:rPr>
                <w:b/>
                <w:bCs/>
              </w:rPr>
            </w:r>
            <w:r>
              <w:rPr>
                <w:b/>
                <w:bCs/>
              </w:rPr>
            </w:r>
          </w:p>
        </w:tc>
        <w:tc>
          <w:tcPr>
            <w:gridSpan w:val="4"/>
            <w:shd w:val="clear" w:color="000000" w:fill="ffffff"/>
            <w:tcBorders/>
            <w:tcW w:w="7053" w:type="dxa"/>
            <w:vAlign w:val="center"/>
            <w:textDirection w:val="lrTb"/>
            <w:noWrap w:val="false"/>
          </w:tcPr>
          <w:p>
            <w:pPr>
              <w:pBdr/>
              <w:spacing w:after="40" w:before="40" w:line="264" w:lineRule="auto"/>
              <w:ind/>
              <w:jc w:val="both"/>
              <w:rPr>
                <w:b/>
                <w:bCs/>
              </w:rPr>
            </w:pPr>
            <w:r>
              <w:rPr>
                <w:b/>
                <w:bCs/>
                <w:color w:val="000000"/>
              </w:rPr>
              <w:t xml:space="preserve">Quyền sử dụng đất và công trình xây dựng trên đất tại thửa đất số 3250, tờ bản đồ số 8 có địa chỉ xã Nghĩa Trụ, huyện Văn Gi</w:t>
            </w:r>
            <w:r>
              <w:rPr>
                <w:b/>
                <w:bCs/>
                <w:color w:val="000000"/>
              </w:rPr>
              <w:t xml:space="preserve">ang, tỉnh Hưng Yên </w:t>
            </w:r>
            <w:r>
              <w:rPr>
                <w:b/>
                <w:bCs/>
                <w:i/>
                <w:iCs/>
                <w:color w:val="000000"/>
              </w:rPr>
              <w:t xml:space="preserve">(Nay là xã Nghĩa Trụ, tỉnh Hưng Yên) </w:t>
            </w:r>
            <w:r>
              <w:rPr>
                <w:b/>
                <w:bCs/>
                <w:color w:val="000000"/>
              </w:rPr>
              <w:t xml:space="preserve">theo Giấy chứng nhận quyền sử dụng đất, quyền sở hữ tìa sản gắn liền với đất số AA01894635 số vào sổ cấp GCN VP4123 do Văn phòng đăng ký đất đai tỉnh Hưng Yên cấp ngày 22/5/2025 cho ông Hoàng Quốc Bảo</w:t>
            </w:r>
            <w:r>
              <w:rPr>
                <w:b/>
                <w:bCs/>
              </w:rPr>
              <w:t xml:space="preserve">.</w:t>
            </w:r>
            <w:r>
              <w:rPr>
                <w:b/>
                <w:bCs/>
              </w:rPr>
            </w:r>
            <w:r>
              <w:rPr>
                <w:b/>
                <w:bCs/>
              </w:rPr>
            </w:r>
          </w:p>
        </w:tc>
        <w:tc>
          <w:tcPr>
            <w:shd w:val="clear" w:color="000000" w:fill="ffffff"/>
            <w:tcBorders/>
            <w:tcW w:w="1985" w:type="dxa"/>
            <w:vAlign w:val="center"/>
            <w:textDirection w:val="lrTb"/>
            <w:noWrap w:val="false"/>
          </w:tcPr>
          <w:p>
            <w:pPr>
              <w:pBdr/>
              <w:spacing w:after="40" w:before="40" w:line="264" w:lineRule="auto"/>
              <w:ind/>
              <w:jc w:val="right"/>
              <w:rPr>
                <w:b/>
                <w:bCs/>
              </w:rPr>
            </w:pPr>
            <w:r>
              <w:rPr>
                <w:b/>
                <w:bCs/>
              </w:rPr>
              <w:t xml:space="preserve"> </w:t>
            </w:r>
            <w:r>
              <w:rPr>
                <w:b/>
                <w:bCs/>
              </w:rPr>
            </w:r>
            <w:r>
              <w:rPr>
                <w:b/>
                <w:bCs/>
              </w:rPr>
            </w:r>
          </w:p>
        </w:tc>
      </w:tr>
      <w:tr>
        <w:trPr>
          <w:trHeight w:val="482"/>
        </w:trPr>
        <w:tc>
          <w:tcPr>
            <w:shd w:val="clear" w:color="000000" w:fill="ffffff"/>
            <w:tcBorders/>
            <w:tcW w:w="580" w:type="dxa"/>
            <w:vAlign w:val="center"/>
            <w:textDirection w:val="lrTb"/>
            <w:noWrap w:val="false"/>
          </w:tcPr>
          <w:p>
            <w:pPr>
              <w:pBdr/>
              <w:spacing w:after="40" w:before="40" w:line="264" w:lineRule="auto"/>
              <w:ind/>
              <w:jc w:val="center"/>
              <w:rPr>
                <w:b w:val="0"/>
                <w:bCs w:val="0"/>
              </w:rPr>
            </w:pPr>
            <w:r>
              <w:rPr>
                <w:b w:val="0"/>
                <w:bCs w:val="0"/>
              </w:rPr>
              <w:t xml:space="preserve">1</w:t>
            </w:r>
            <w:r>
              <w:rPr>
                <w:b w:val="0"/>
                <w:bCs w:val="0"/>
              </w:rPr>
            </w:r>
            <w:r>
              <w:rPr>
                <w:b w:val="0"/>
                <w:bCs w:val="0"/>
              </w:rPr>
            </w:r>
          </w:p>
        </w:tc>
        <w:tc>
          <w:tcPr>
            <w:shd w:val="clear" w:color="000000" w:fill="ffffff"/>
            <w:tcBorders/>
            <w:tcW w:w="2850" w:type="dxa"/>
            <w:vAlign w:val="center"/>
            <w:textDirection w:val="lrTb"/>
            <w:noWrap w:val="false"/>
          </w:tcPr>
          <w:p>
            <w:pPr>
              <w:pBdr/>
              <w:spacing w:after="40" w:before="40" w:line="264" w:lineRule="auto"/>
              <w:ind/>
              <w:rPr>
                <w:b w:val="0"/>
                <w:bCs w:val="0"/>
              </w:rPr>
            </w:pPr>
            <w:r>
              <w:rPr>
                <w:b w:val="0"/>
                <w:bCs w:val="0"/>
              </w:rPr>
              <w:t xml:space="preserve">Đất ở tại đô thị</w:t>
            </w:r>
            <w:r>
              <w:rPr>
                <w:b w:val="0"/>
                <w:bCs w:val="0"/>
              </w:rPr>
            </w:r>
            <w:r>
              <w:rPr>
                <w:b w:val="0"/>
                <w:bCs w:val="0"/>
              </w:rPr>
            </w:r>
          </w:p>
        </w:tc>
        <w:tc>
          <w:tcPr>
            <w:tcBorders/>
            <w:tcW w:w="1134" w:type="dxa"/>
            <w:vAlign w:val="center"/>
            <w:textDirection w:val="lrTb"/>
            <w:noWrap/>
          </w:tcPr>
          <w:p>
            <w:pPr>
              <w:pBdr/>
              <w:spacing w:after="40" w:before="40" w:line="264"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1701" w:type="dxa"/>
            <w:vAlign w:val="center"/>
            <w:textDirection w:val="lrTb"/>
            <w:noWrap w:val="false"/>
          </w:tcPr>
          <w:p>
            <w:pPr>
              <w:pBdr/>
              <w:spacing w:after="40" w:before="40" w:line="264" w:lineRule="auto"/>
              <w:ind/>
              <w:jc w:val="center"/>
              <w:rPr/>
            </w:pPr>
            <w:r>
              <w:rPr>
                <w:color w:val="000000" w:themeColor="text1"/>
              </w:rPr>
              <w:t xml:space="preserve">172.000.000</w:t>
            </w:r>
            <w:r/>
          </w:p>
        </w:tc>
        <w:tc>
          <w:tcPr>
            <w:shd w:val="clear" w:color="000000" w:fill="ffffff"/>
            <w:tcBorders/>
            <w:tcW w:w="1368" w:type="dxa"/>
            <w:vAlign w:val="center"/>
            <w:textDirection w:val="lrTb"/>
            <w:noWrap w:val="false"/>
          </w:tcPr>
          <w:p>
            <w:pPr>
              <w:pBdr/>
              <w:spacing w:line="264"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985" w:type="dxa"/>
            <w:vAlign w:val="center"/>
            <w:textDirection w:val="lrTb"/>
            <w:noWrap w:val="false"/>
          </w:tcPr>
          <w:p>
            <w:pPr>
              <w:pBdr/>
              <w:spacing w:after="40" w:before="40" w:line="264" w:lineRule="auto"/>
              <w:ind/>
              <w:jc w:val="right"/>
              <w:rPr/>
            </w:pPr>
            <w:r>
              <w:rPr>
                <w:color w:val="000000" w:themeColor="text1"/>
              </w:rPr>
              <w:t xml:space="preserve">20.640.000.000</w:t>
            </w:r>
            <w:r/>
          </w:p>
        </w:tc>
      </w:tr>
      <w:tr>
        <w:trPr>
          <w:trHeight w:val="415"/>
        </w:trPr>
        <w:tc>
          <w:tcPr>
            <w:shd w:val="clear" w:color="000000" w:fill="ffffff"/>
            <w:tcBorders/>
            <w:tcW w:w="580" w:type="dxa"/>
            <w:vAlign w:val="center"/>
            <w:textDirection w:val="lrTb"/>
            <w:noWrap w:val="false"/>
          </w:tcPr>
          <w:p>
            <w:pPr>
              <w:pBdr/>
              <w:spacing w:after="40" w:before="40" w:line="264" w:lineRule="auto"/>
              <w:ind/>
              <w:jc w:val="center"/>
              <w:rPr>
                <w:b w:val="0"/>
                <w:bCs w:val="0"/>
              </w:rPr>
            </w:pPr>
            <w:r>
              <w:rPr>
                <w:b w:val="0"/>
                <w:bCs w:val="0"/>
              </w:rPr>
              <w:t xml:space="preserve">2</w:t>
            </w:r>
            <w:r>
              <w:rPr>
                <w:b w:val="0"/>
                <w:bCs w:val="0"/>
              </w:rPr>
            </w:r>
            <w:r>
              <w:rPr>
                <w:b w:val="0"/>
                <w:bCs w:val="0"/>
              </w:rPr>
            </w:r>
          </w:p>
        </w:tc>
        <w:tc>
          <w:tcPr>
            <w:shd w:val="clear" w:color="000000" w:fill="ffffff"/>
            <w:tcBorders/>
            <w:tcW w:w="2850" w:type="dxa"/>
            <w:vAlign w:val="center"/>
            <w:textDirection w:val="lrTb"/>
            <w:noWrap w:val="false"/>
          </w:tcPr>
          <w:p>
            <w:pPr>
              <w:pBdr/>
              <w:spacing w:after="40" w:before="40" w:line="264" w:lineRule="auto"/>
              <w:ind/>
              <w:rPr>
                <w:b w:val="0"/>
                <w:bCs w:val="0"/>
              </w:rPr>
            </w:pPr>
            <w:r>
              <w:rPr>
                <w:b w:val="0"/>
                <w:bCs w:val="0"/>
              </w:rPr>
              <w:t xml:space="preserve">Công trình xây dựng</w:t>
            </w:r>
            <w:r>
              <w:rPr>
                <w:b w:val="0"/>
                <w:bCs w:val="0"/>
              </w:rPr>
            </w:r>
            <w:r>
              <w:rPr>
                <w:b w:val="0"/>
                <w:bCs w:val="0"/>
              </w:rPr>
            </w:r>
          </w:p>
        </w:tc>
        <w:tc>
          <w:tcPr>
            <w:tcBorders/>
            <w:tcW w:w="1134" w:type="dxa"/>
            <w:vAlign w:val="center"/>
            <w:textDirection w:val="lrTb"/>
            <w:noWrap/>
          </w:tcPr>
          <w:p>
            <w:pPr>
              <w:pBdr/>
              <w:spacing w:after="40" w:before="40" w:line="264" w:lineRule="auto"/>
              <w:ind/>
              <w:jc w:val="center"/>
              <w:rPr>
                <w:color w:val="000000"/>
              </w:rPr>
            </w:pPr>
            <w:r>
              <w:rPr>
                <w:color w:val="000000" w:themeColor="text1"/>
              </w:rPr>
              <w:t xml:space="preserve">443,7</w:t>
            </w:r>
            <w:r>
              <w:rPr>
                <w:color w:val="000000"/>
              </w:rPr>
            </w:r>
            <w:r>
              <w:rPr>
                <w:color w:val="000000"/>
              </w:rPr>
            </w:r>
          </w:p>
        </w:tc>
        <w:tc>
          <w:tcPr>
            <w:shd w:val="clear" w:color="000000" w:fill="ffffff"/>
            <w:tcBorders/>
            <w:tcW w:w="1701" w:type="dxa"/>
            <w:vAlign w:val="center"/>
            <w:textDirection w:val="lrTb"/>
            <w:noWrap w:val="false"/>
          </w:tcPr>
          <w:p>
            <w:pPr>
              <w:pBdr/>
              <w:spacing w:after="40" w:before="40" w:line="264" w:lineRule="auto"/>
              <w:ind/>
              <w:jc w:val="center"/>
              <w:rPr/>
            </w:pPr>
            <w:r>
              <w:rPr>
                <w:color w:val="000000" w:themeColor="text1"/>
              </w:rPr>
              <w:t xml:space="preserve">6.461.051</w:t>
            </w:r>
            <w:r/>
          </w:p>
        </w:tc>
        <w:tc>
          <w:tcPr>
            <w:shd w:val="clear" w:color="000000" w:fill="ffffff"/>
            <w:tcBorders/>
            <w:tcW w:w="1368" w:type="dxa"/>
            <w:vAlign w:val="center"/>
            <w:textDirection w:val="lrTb"/>
            <w:noWrap w:val="false"/>
          </w:tcPr>
          <w:p>
            <w:pPr>
              <w:pBdr/>
              <w:spacing w:line="264" w:lineRule="auto"/>
              <w:ind/>
              <w:jc w:val="center"/>
              <w:rPr>
                <w:color w:val="000000" w:themeColor="text1"/>
              </w:rPr>
            </w:pPr>
            <w:r>
              <w:rPr>
                <w:color w:val="000000" w:themeColor="text1"/>
              </w:rPr>
              <w:t xml:space="preserve">62%</w:t>
            </w:r>
            <w:r>
              <w:rPr>
                <w:color w:val="000000" w:themeColor="text1"/>
              </w:rPr>
            </w:r>
            <w:r>
              <w:rPr>
                <w:color w:val="000000" w:themeColor="text1"/>
              </w:rPr>
            </w:r>
          </w:p>
        </w:tc>
        <w:tc>
          <w:tcPr>
            <w:shd w:val="clear" w:color="000000" w:fill="ffffff"/>
            <w:tcBorders/>
            <w:tcW w:w="1985" w:type="dxa"/>
            <w:vAlign w:val="center"/>
            <w:textDirection w:val="lrTb"/>
            <w:noWrap w:val="false"/>
          </w:tcPr>
          <w:p>
            <w:pPr>
              <w:pBdr/>
              <w:spacing w:after="40" w:before="40" w:line="264" w:lineRule="auto"/>
              <w:ind/>
              <w:jc w:val="right"/>
              <w:rPr/>
            </w:pPr>
            <w:r>
              <w:rPr>
                <w:color w:val="000000" w:themeColor="text1"/>
              </w:rPr>
              <w:t xml:space="preserve">1.777.396.364</w:t>
            </w:r>
            <w:r/>
          </w:p>
        </w:tc>
      </w:tr>
      <w:tr>
        <w:trPr>
          <w:trHeight w:val="20"/>
        </w:trPr>
        <w:tc>
          <w:tcPr>
            <w:gridSpan w:val="5"/>
            <w:tcBorders/>
            <w:tcW w:w="7632" w:type="dxa"/>
            <w:vAlign w:val="center"/>
            <w:textDirection w:val="lrTb"/>
            <w:noWrap/>
          </w:tcPr>
          <w:p>
            <w:pPr>
              <w:pBdr/>
              <w:spacing w:after="40" w:before="40" w:line="264"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64" w:lineRule="auto"/>
              <w:ind/>
              <w:jc w:val="right"/>
              <w:rPr>
                <w:b/>
                <w:bCs/>
                <w:color w:val="000000"/>
              </w:rPr>
            </w:pPr>
            <w:r>
              <w:t xml:space="preserve">22.417.396.364</w:t>
            </w:r>
            <w:r>
              <w:rPr>
                <w:b/>
                <w:bCs/>
                <w:color w:val="000000"/>
              </w:rPr>
            </w:r>
            <w:r>
              <w:rPr>
                <w:b/>
                <w:bCs/>
                <w:color w:val="000000"/>
              </w:rPr>
            </w:r>
          </w:p>
        </w:tc>
      </w:tr>
      <w:tr>
        <w:trPr>
          <w:trHeight w:val="20"/>
        </w:trPr>
        <w:tc>
          <w:tcPr>
            <w:gridSpan w:val="5"/>
            <w:tcBorders/>
            <w:tcW w:w="7632" w:type="dxa"/>
            <w:vAlign w:val="center"/>
            <w:textDirection w:val="lrTb"/>
            <w:noWrap/>
          </w:tcPr>
          <w:p>
            <w:pPr>
              <w:pBdr/>
              <w:spacing w:after="40" w:before="40" w:line="264"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64" w:lineRule="auto"/>
              <w:ind/>
              <w:jc w:val="right"/>
              <w:rPr>
                <w:b/>
                <w:bCs/>
                <w:color w:val="000000"/>
              </w:rPr>
            </w:pPr>
            <w:r>
              <w:rPr>
                <w:b/>
                <w:bCs/>
                <w:color w:val="000000"/>
              </w:rPr>
              <w:t xml:space="preserve">22.417.000.000</w:t>
            </w:r>
            <w:r>
              <w:rPr>
                <w:b/>
                <w:bCs/>
                <w:color w:val="000000"/>
              </w:rPr>
            </w:r>
            <w:r>
              <w:rPr>
                <w:b/>
                <w:bCs/>
                <w:color w:val="000000"/>
              </w:rPr>
            </w:r>
          </w:p>
        </w:tc>
      </w:tr>
      <w:tr>
        <w:trPr>
          <w:trHeight w:val="20"/>
        </w:trPr>
        <w:tc>
          <w:tcPr>
            <w:gridSpan w:val="6"/>
            <w:tcBorders/>
            <w:tcW w:w="9617" w:type="dxa"/>
            <w:vAlign w:val="center"/>
            <w:textDirection w:val="lrTb"/>
            <w:noWrap w:val="false"/>
          </w:tcPr>
          <w:p>
            <w:pPr>
              <w:pBdr/>
              <w:spacing w:after="40" w:before="40" w:line="264" w:lineRule="auto"/>
              <w:ind/>
              <w:jc w:val="center"/>
              <w:rPr>
                <w:b/>
                <w:bCs/>
                <w:i/>
                <w:iCs/>
                <w:color w:val="000000"/>
              </w:rPr>
            </w:pPr>
            <w:r>
              <w:rPr>
                <w:b/>
                <w:bCs/>
                <w:i/>
                <w:iCs/>
                <w:color w:val="000000"/>
              </w:rPr>
              <w:t xml:space="preserve">(Bằng chữ: </w:t>
            </w:r>
            <w:r>
              <w:rPr>
                <w:b/>
                <w:bCs/>
                <w:i/>
                <w:iCs/>
                <w:color w:val="000000"/>
              </w:rPr>
              <w:t xml:space="preserve">Hai mươi hai tỷ, bốn trăm mười bảy triệu đồng</w:t>
            </w:r>
            <w:r>
              <w:rPr>
                <w:b/>
                <w:bCs/>
                <w:i/>
                <w:iCs/>
                <w:color w:val="000000"/>
              </w:rPr>
              <w:t xml:space="preserve">./.)</w:t>
            </w:r>
            <w:r>
              <w:rPr>
                <w:b/>
                <w:bCs/>
                <w:i/>
                <w:iCs/>
                <w:color w:val="000000"/>
              </w:rPr>
            </w:r>
            <w:r>
              <w:rPr>
                <w:b/>
                <w:bCs/>
                <w:i/>
                <w:iCs/>
                <w:color w:val="000000"/>
              </w:rPr>
            </w:r>
          </w:p>
        </w:tc>
      </w:tr>
    </w:tbl>
    <w:p>
      <w:pPr>
        <w:pStyle w:val="103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4"/>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4"/>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275/2026/0497/VFI-CT.24.A</w:t>
      </w:r>
      <w:r>
        <w:rPr>
          <w:color w:val="ff0000"/>
          <w:lang w:val="vi-VN"/>
        </w:rPr>
        <w:t xml:space="preserve"> </w:t>
      </w:r>
      <w:r>
        <w:rPr>
          <w:color w:val="000000" w:themeColor="text1"/>
        </w:rPr>
        <w:t xml:space="preserve">ngày 31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275/2026/0497/VFI-BC.24.A</w:t>
      </w:r>
      <w:r>
        <w:rPr>
          <w:i/>
        </w:rPr>
        <w:t xml:space="preserve"> ngày</w:t>
      </w:r>
      <w:r>
        <w:rPr>
          <w:i/>
          <w:lang w:val="pt-BR"/>
        </w:rPr>
        <w:t xml:space="preserve"> </w:t>
      </w:r>
      <w:r>
        <w:rPr>
          <w:i/>
          <w:lang w:val="pt-BR"/>
        </w:rPr>
        <w:t xml:space="preserve">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511"/>
        </w:trPr>
        <w:tc>
          <w:tcPr>
            <w:tcBorders/>
            <w:tcW w:w="4758" w:type="dxa"/>
            <w:vAlign w:val="center"/>
            <w:textDirection w:val="lrTb"/>
            <w:noWrap w:val="false"/>
          </w:tcPr>
          <w:p>
            <w:pPr>
              <w:pBdr/>
              <w:spacing w:after="120" w:line="240" w:lineRule="auto"/>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line="240" w:lineRule="auto"/>
              <w:ind/>
              <w:jc w:val="center"/>
              <w:rPr>
                <w:b/>
                <w:bCs/>
                <w:i/>
                <w:lang w:val="pt-BR"/>
              </w:rPr>
            </w:pPr>
            <w:r>
              <w:rPr>
                <w:b/>
                <w:bCs/>
                <w:i/>
                <w:lang w:val="pt-BR"/>
              </w:rPr>
              <w:t xml:space="preserve">Hướng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334927" cy="505900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45600" name=""/>
                              <pic:cNvPicPr>
                                <a:picLocks noChangeAspect="1"/>
                              </pic:cNvPicPr>
                              <pic:nvPr/>
                            </pic:nvPicPr>
                            <pic:blipFill rotWithShape="1">
                              <a:blip r:embed="rId19"/>
                              <a:stretch/>
                            </pic:blipFill>
                            <pic:spPr bwMode="auto">
                              <a:xfrm flipH="0" flipV="0">
                                <a:off x="0" y="0"/>
                                <a:ext cx="2334927" cy="5059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3.85pt;height:398.35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311998" cy="500933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31599" name=""/>
                              <pic:cNvPicPr>
                                <a:picLocks noChangeAspect="1"/>
                              </pic:cNvPicPr>
                              <pic:nvPr/>
                            </pic:nvPicPr>
                            <pic:blipFill rotWithShape="1">
                              <a:blip r:embed="rId20"/>
                              <a:stretch/>
                            </pic:blipFill>
                            <pic:spPr bwMode="auto">
                              <a:xfrm rot="0" flipH="0" flipV="0">
                                <a:off x="0" y="0"/>
                                <a:ext cx="2311998" cy="50093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2.05pt;height:394.44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mc:AlternateContent>
                <mc:Choice Requires="wpg">
                  <w:drawing>
                    <wp:inline xmlns:wp="http://schemas.openxmlformats.org/drawingml/2006/wordprocessingDrawing" distT="0" distB="0" distL="0" distR="0">
                      <wp:extent cx="3100505" cy="232537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07519" name=""/>
                              <pic:cNvPicPr>
                                <a:picLocks noChangeAspect="1"/>
                              </pic:cNvPicPr>
                              <pic:nvPr/>
                            </pic:nvPicPr>
                            <pic:blipFill rotWithShape="1">
                              <a:blip r:embed="rId21"/>
                              <a:stretch/>
                            </pic:blipFill>
                            <pic:spPr bwMode="auto">
                              <a:xfrm rot="0" flipH="0" flipV="0">
                                <a:off x="0" y="0"/>
                                <a:ext cx="3100505" cy="23253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4.13pt;height:183.10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mc:AlternateContent>
                <mc:Choice Requires="wpg">
                  <w:drawing>
                    <wp:inline xmlns:wp="http://schemas.openxmlformats.org/drawingml/2006/wordprocessingDrawing" distT="0" distB="0" distL="0" distR="0">
                      <wp:extent cx="2850193" cy="245920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71888" name=""/>
                              <pic:cNvPicPr>
                                <a:picLocks noChangeAspect="1"/>
                              </pic:cNvPicPr>
                              <pic:nvPr/>
                            </pic:nvPicPr>
                            <pic:blipFill rotWithShape="1">
                              <a:blip r:embed="rId22"/>
                              <a:stretch/>
                            </pic:blipFill>
                            <pic:spPr bwMode="auto">
                              <a:xfrm rot="0" flipH="0" flipV="0">
                                <a:off x="0" y="0"/>
                                <a:ext cx="2850192" cy="24592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42pt;height:193.64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w:t>
            </w:r>
            <w:r>
              <w:rPr>
                <w:b/>
                <w:bCs/>
                <w:i/>
                <w:lang w:val="pt-BR"/>
              </w:rPr>
              <w:t xml:space="preserve">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mc:AlternateContent>
                <mc:Choice Requires="wpg">
                  <w:drawing>
                    <wp:inline xmlns:wp="http://schemas.openxmlformats.org/drawingml/2006/wordprocessingDrawing" distT="0" distB="0" distL="0" distR="0">
                      <wp:extent cx="2081266" cy="27750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18545" name=""/>
                              <pic:cNvPicPr>
                                <a:picLocks noChangeAspect="1"/>
                              </pic:cNvPicPr>
                              <pic:nvPr/>
                            </pic:nvPicPr>
                            <pic:blipFill rotWithShape="1">
                              <a:blip r:embed="rId23"/>
                              <a:stretch/>
                            </pic:blipFill>
                            <pic:spPr bwMode="auto">
                              <a:xfrm flipH="0" flipV="0">
                                <a:off x="0" y="0"/>
                                <a:ext cx="2081266" cy="27750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63.88pt;height:218.5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mc:AlternateContent>
                <mc:Choice Requires="wpg">
                  <w:drawing>
                    <wp:inline xmlns:wp="http://schemas.openxmlformats.org/drawingml/2006/wordprocessingDrawing" distT="0" distB="0" distL="0" distR="0">
                      <wp:extent cx="2845348" cy="213178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65769" name=""/>
                              <pic:cNvPicPr>
                                <a:picLocks noChangeAspect="1"/>
                              </pic:cNvPicPr>
                              <pic:nvPr/>
                            </pic:nvPicPr>
                            <pic:blipFill rotWithShape="1">
                              <a:blip r:embed="rId24"/>
                              <a:stretch/>
                            </pic:blipFill>
                            <pic:spPr bwMode="auto">
                              <a:xfrm flipH="0" flipV="0">
                                <a:off x="0" y="0"/>
                                <a:ext cx="2845347" cy="2131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04pt;height:167.8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mc:AlternateContent>
                <mc:Choice Requires="wpg">
                  <w:drawing>
                    <wp:inline xmlns:wp="http://schemas.openxmlformats.org/drawingml/2006/wordprocessingDrawing" distT="0" distB="0" distL="0" distR="0">
                      <wp:extent cx="2924119" cy="219366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76412" name=""/>
                              <pic:cNvPicPr>
                                <a:picLocks noChangeAspect="1"/>
                              </pic:cNvPicPr>
                              <pic:nvPr/>
                            </pic:nvPicPr>
                            <pic:blipFill rotWithShape="1">
                              <a:blip r:embed="rId25"/>
                              <a:stretch/>
                            </pic:blipFill>
                            <pic:spPr bwMode="auto">
                              <a:xfrm flipH="0" flipV="0">
                                <a:off x="0" y="0"/>
                                <a:ext cx="2924119" cy="21936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0.25pt;height:172.73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mc:AlternateContent>
                <mc:Choice Requires="wpg">
                  <w:drawing>
                    <wp:inline xmlns:wp="http://schemas.openxmlformats.org/drawingml/2006/wordprocessingDrawing" distT="0" distB="0" distL="0" distR="0">
                      <wp:extent cx="2816198" cy="211269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4610" name=""/>
                              <pic:cNvPicPr>
                                <a:picLocks noChangeAspect="1"/>
                              </pic:cNvPicPr>
                              <pic:nvPr/>
                            </pic:nvPicPr>
                            <pic:blipFill rotWithShape="1">
                              <a:blip r:embed="rId26"/>
                              <a:stretch/>
                            </pic:blipFill>
                            <pic:spPr bwMode="auto">
                              <a:xfrm flipH="1" flipV="0">
                                <a:off x="0" y="0"/>
                                <a:ext cx="2816197" cy="21126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1.75pt;height:166.35pt;mso-wrap-distance-left:0.00pt;mso-wrap-distance-top:0.00pt;mso-wrap-distance-right:0.00pt;mso-wrap-distance-bottom:0.00pt;flip:x;z-index:1;" stroked="false">
                      <v:imagedata r:id="rId26"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ind/>
              <w:jc w:val="center"/>
              <w:rPr/>
            </w:pPr>
            <w:r>
              <w:rPr>
                <w:b/>
                <w:bCs/>
                <w:i/>
                <w:lang w:val="pt-BR"/>
              </w:rPr>
              <w:t xml:space="preserve">Hiện trạng tài sản</w:t>
            </w:r>
            <w:r>
              <w:rPr>
                <w:b/>
                <w:bCs/>
                <w:i/>
                <w:lang w:val="pt-BR"/>
              </w:rPr>
            </w:r>
            <w:r/>
          </w:p>
        </w:tc>
        <w:tc>
          <w:tcPr>
            <w:tcBorders/>
            <w:tcW w:w="4757" w:type="dxa"/>
            <w:vAlign w:val="center"/>
            <w:textDirection w:val="lrTb"/>
            <w:noWrap w:val="false"/>
          </w:tcPr>
          <w:p>
            <w:pPr>
              <w:pBdr/>
              <w:spacing/>
              <w:ind/>
              <w:jc w:val="center"/>
              <w:rPr/>
            </w:pPr>
            <w:r>
              <w:rPr>
                <w:b/>
                <w:bCs/>
                <w:i/>
                <w:lang w:val="pt-BR"/>
              </w:rPr>
              <w:t xml:space="preserve">Hiện trạng tài sản</w:t>
            </w:r>
            <w:r>
              <w:rPr>
                <w:b/>
                <w:bCs/>
                <w:i/>
                <w:lang w:val="pt-BR"/>
              </w:rPr>
            </w: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78488" cy="26283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88670" name=""/>
                              <pic:cNvPicPr>
                                <a:picLocks noChangeAspect="1"/>
                              </pic:cNvPicPr>
                              <pic:nvPr/>
                            </pic:nvPicPr>
                            <pic:blipFill rotWithShape="1">
                              <a:blip r:embed="rId27"/>
                              <a:stretch/>
                            </pic:blipFill>
                            <pic:spPr bwMode="auto">
                              <a:xfrm flipH="0" flipV="0">
                                <a:off x="0" y="0"/>
                                <a:ext cx="2578488" cy="26283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3.03pt;height:206.96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094063" cy="232115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54210" name=""/>
                              <pic:cNvPicPr>
                                <a:picLocks noChangeAspect="1"/>
                              </pic:cNvPicPr>
                              <pic:nvPr/>
                            </pic:nvPicPr>
                            <pic:blipFill rotWithShape="1">
                              <a:blip r:embed="rId28"/>
                              <a:stretch/>
                            </pic:blipFill>
                            <pic:spPr bwMode="auto">
                              <a:xfrm flipH="0" flipV="0">
                                <a:off x="0" y="0"/>
                                <a:ext cx="3094062" cy="23211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3.63pt;height:182.77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275/2026/0497/VFI-BC.24.A</w:t>
      </w:r>
      <w:r>
        <w:rPr>
          <w:i/>
        </w:rPr>
        <w:t xml:space="preserve"> ngày</w:t>
      </w:r>
      <w:r>
        <w:rPr>
          <w:i/>
          <w:lang w:val="pt-BR"/>
        </w:rPr>
        <w:t xml:space="preserve"> </w:t>
      </w:r>
      <w:r>
        <w:rPr>
          <w:i/>
          <w:lang w:val="pt-BR"/>
        </w:rPr>
        <w:t xml:space="preserve">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 </w:t>
            </w:r>
            <w:r>
              <w:rPr>
                <w:color w:val="000000" w:themeColor="text1"/>
                <w:sz w:val="22"/>
                <w:szCs w:val="22"/>
              </w:rPr>
              <w:t xml:space="preserve">0965.83.84.83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12.632.500.000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Nghĩa Trụ, Huyện Văn Giang, Tỉnh Hưng Yên </w:t>
            </w:r>
            <w:r>
              <w:rPr>
                <w:rFonts w:ascii="Times New Roman" w:hAnsi="Times New Roman" w:eastAsia="Times New Roman" w:cs="Times New Roman"/>
                <w:i/>
                <w:color w:val="000000"/>
                <w:sz w:val="22"/>
              </w:rPr>
              <w:t xml:space="preserve">(Nay là xã Nghĩa Trụ, Hưng Yên)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Không có bất lợi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502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34175" cy="2971405"/>
                      <wp:effectExtent l="0" t="0" r="0" b="0"/>
                      <wp:docPr id="16" name=""/>
                      <wp:cNvGraphicFramePr/>
                      <a:graphic xmlns:a="http://schemas.openxmlformats.org/drawingml/2006/main">
                        <a:graphicData uri="http://schemas.openxmlformats.org/drawingml/2006/picture">
                          <pic:pic xmlns:pic="http://schemas.openxmlformats.org/drawingml/2006/picture">
                            <pic:nvPicPr>
                              <pic:cNvPr id="429569522" name="" descr=""/>
                              <pic:cNvPicPr/>
                              <pic:nvPr/>
                            </pic:nvPicPr>
                            <pic:blipFill rotWithShape="1">
                              <a:blip r:embed="rId29"/>
                              <a:stretch/>
                            </pic:blipFill>
                            <pic:spPr bwMode="auto">
                              <a:xfrm flipH="0" flipV="0">
                                <a:off x="0" y="0"/>
                                <a:ext cx="2134175" cy="29714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8.05pt;height:233.97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84874" cy="297140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184874" cy="29714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2.04pt;height:233.9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38019" cy="315541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338019" cy="31554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4.10pt;height:248.4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Lê Thị Quỳnh Anh </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0971 536 736</w:t>
            </w:r>
            <w:r>
              <w:rPr>
                <w:sz w:val="22"/>
                <w:szCs w:val="22"/>
              </w:rPr>
              <w:t xml:space="preserve"> </w:t>
            </w:r>
            <w:r>
              <w:rPr>
                <w:sz w:val="22"/>
                <w:szCs w:val="22"/>
              </w:rPr>
              <w:br/>
              <w:t xml:space="preserve">(Trà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Nghĩa Trụ, Huyện Văn Giang, Tỉnh Hưng Yên </w:t>
            </w:r>
            <w:r>
              <w:rPr>
                <w:rFonts w:ascii="Times New Roman" w:hAnsi="Times New Roman" w:eastAsia="Times New Roman" w:cs="Times New Roman"/>
                <w:i/>
                <w:color w:val="000000"/>
                <w:sz w:val="22"/>
              </w:rPr>
              <w:t xml:space="preserve">(Nay là xã Nghĩa Trụ, Hưng Yên)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hướng thửa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9650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4965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54.0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7576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48123678" name="" descr=""/>
                              <pic:cNvPicPr/>
                              <pic:nvPr/>
                            </pic:nvPicPr>
                            <pic:blipFill rotWithShape="1">
                              <a:blip r:embed="rId33"/>
                              <a:stretch/>
                            </pic:blipFill>
                            <pic:spPr bwMode="auto">
                              <a:xfrm>
                                <a:off x="0" y="0"/>
                                <a:ext cx="217576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1.3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0971 536 736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Nghĩa Trụ, Huyện Văn Giang, Tỉnh Hưng Yên </w:t>
            </w:r>
            <w:r>
              <w:rPr>
                <w:rFonts w:ascii="Times New Roman" w:hAnsi="Times New Roman" w:eastAsia="Times New Roman" w:cs="Times New Roman"/>
                <w:i/>
                <w:color w:val="000000"/>
                <w:sz w:val="22"/>
              </w:rPr>
              <w:t xml:space="preserve">(Nay là xã Nghĩa Trụ, Hưng Yên)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1712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5171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76.94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48496"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1484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69.17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4-02T12:23:31Z" w:initials="NTTD">
    <w:p w14:paraId="00000001" w14:textId="00000001">
      <w:pPr>
        <w:spacing w:line="240" w:after="0" w:lineRule="auto" w:before="0"/>
        <w:ind w:firstLine="0" w:left="0" w:right="0"/>
        <w:jc w:val="left"/>
      </w:pPr>
      <w:r>
        <w:rPr>
          <w:rFonts w:eastAsia="Arial" w:ascii="Arial" w:hAnsi="Arial" w:cs="Arial"/>
          <w:sz w:val="22"/>
        </w:rPr>
        <w:t xml:space="preserve">Xoá mấy hàng trên pháp lý k thể hiện em nhé!</w:t>
      </w:r>
    </w:p>
  </w:comment>
  <w:comment w:id="0" w:author="Nguyễn Thị Thùy Dương" w:date="2026-04-02T12:21:04Z" w:initials="NTTD">
    <w:p w14:paraId="00000002" w14:textId="00000002">
      <w:pPr>
        <w:spacing w:line="240" w:after="0" w:lineRule="auto" w:before="0"/>
        <w:ind w:firstLine="0" w:left="0" w:right="0"/>
        <w:jc w:val="left"/>
      </w:pPr>
      <w:r>
        <w:rPr>
          <w:rFonts w:eastAsia="Arial" w:ascii="Arial" w:hAnsi="Arial" w:cs="Arial"/>
          <w:sz w:val="22"/>
        </w:rPr>
        <w:t xml:space="preserve">Thiếu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30D119D" w16cex:dateUtc="2026-04-02T05:23:31Z"/>
  <w16cex:commentExtensible w16cex:durableId="371B7592" w16cex:dateUtc="2026-04-02T05:21:0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30D119D"/>
  <w16cid:commentId w16cid:paraId="00000002" w16cid:durableId="371B75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0393EF8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0FD4052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num w:numId="43">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6">
    <w:name w:val="Table Grid Light"/>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1"/>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2"/>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3"/>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4"/>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5"/>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w:basedOn w:val="10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w:basedOn w:val="10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1"/>
    <w:basedOn w:val="10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2"/>
    <w:basedOn w:val="10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3"/>
    <w:basedOn w:val="10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4"/>
    <w:basedOn w:val="10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5"/>
    <w:basedOn w:val="10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6"/>
    <w:basedOn w:val="10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1"/>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2"/>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3"/>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4"/>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5"/>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6"/>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8">
    <w:name w:val="Grid Table 6 Colorful - Accent 1"/>
    <w:basedOn w:val="10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9">
    <w:name w:val="Grid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0">
    <w:name w:val="Grid Table 6 Colorful - Accent 3"/>
    <w:basedOn w:val="10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1">
    <w:name w:val="Grid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2">
    <w:name w:val="Grid Table 6 Colorful - Accent 5"/>
    <w:basedOn w:val="10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6 Colorful - Accent 6"/>
    <w:basedOn w:val="10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7 Colorful"/>
    <w:basedOn w:val="10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1"/>
    <w:basedOn w:val="10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5"/>
    <w:basedOn w:val="10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6"/>
    <w:basedOn w:val="10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1"/>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2"/>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3"/>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4"/>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5"/>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6"/>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w:basedOn w:val="10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1"/>
    <w:basedOn w:val="10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2"/>
    <w:basedOn w:val="10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3"/>
    <w:basedOn w:val="10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4"/>
    <w:basedOn w:val="10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5"/>
    <w:basedOn w:val="10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6"/>
    <w:basedOn w:val="10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1"/>
    <w:basedOn w:val="10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3"/>
    <w:basedOn w:val="10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5"/>
    <w:basedOn w:val="10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6"/>
    <w:basedOn w:val="10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1"/>
    <w:basedOn w:val="10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2"/>
    <w:basedOn w:val="10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3"/>
    <w:basedOn w:val="10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4"/>
    <w:basedOn w:val="10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5"/>
    <w:basedOn w:val="10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6"/>
    <w:basedOn w:val="10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5 Dark"/>
    <w:basedOn w:val="10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1"/>
    <w:basedOn w:val="10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2"/>
    <w:basedOn w:val="10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3"/>
    <w:basedOn w:val="10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4"/>
    <w:basedOn w:val="10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5"/>
    <w:basedOn w:val="10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6"/>
    <w:basedOn w:val="10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1"/>
    <w:basedOn w:val="10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3"/>
    <w:basedOn w:val="10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5"/>
    <w:basedOn w:val="10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6"/>
    <w:basedOn w:val="10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7 Colorful"/>
    <w:basedOn w:val="10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4">
    <w:name w:val="List Table 7 Colorful - Accent 1"/>
    <w:basedOn w:val="10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5">
    <w:name w:val="List Table 7 Colorful - Accent 2"/>
    <w:basedOn w:val="10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6">
    <w:name w:val="List Table 7 Colorful - Accent 3"/>
    <w:basedOn w:val="10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7">
    <w:name w:val="List Table 7 Colorful - Accent 4"/>
    <w:basedOn w:val="10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8">
    <w:name w:val="List Table 7 Colorful - Accent 5"/>
    <w:basedOn w:val="10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9">
    <w:name w:val="List Table 7 Colorful - Accent 6"/>
    <w:basedOn w:val="10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0">
    <w:name w:val="Lined - Accent"/>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1"/>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2"/>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3"/>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4"/>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5"/>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6"/>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w:basedOn w:val="10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1"/>
    <w:basedOn w:val="10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2"/>
    <w:basedOn w:val="10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3"/>
    <w:basedOn w:val="10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4"/>
    <w:basedOn w:val="10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5"/>
    <w:basedOn w:val="10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6"/>
    <w:basedOn w:val="10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w:basedOn w:val="10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Heading 5"/>
    <w:basedOn w:val="1012"/>
    <w:next w:val="1012"/>
    <w:link w:val="97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2">
    <w:name w:val="Heading 6"/>
    <w:basedOn w:val="1012"/>
    <w:next w:val="1012"/>
    <w:link w:val="97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3">
    <w:name w:val="Heading 7"/>
    <w:basedOn w:val="1012"/>
    <w:next w:val="1012"/>
    <w:link w:val="97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4">
    <w:name w:val="Heading 8"/>
    <w:basedOn w:val="1012"/>
    <w:next w:val="1012"/>
    <w:link w:val="97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5">
    <w:name w:val="Heading 9"/>
    <w:basedOn w:val="1012"/>
    <w:next w:val="1012"/>
    <w:link w:val="98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6">
    <w:name w:val="Heading 5 Char"/>
    <w:basedOn w:val="1017"/>
    <w:link w:val="971"/>
    <w:uiPriority w:val="9"/>
    <w:pPr>
      <w:pBdr/>
      <w:spacing/>
      <w:ind/>
    </w:pPr>
    <w:rPr>
      <w:rFonts w:ascii="Arial" w:hAnsi="Arial" w:eastAsia="Arial" w:cs="Arial"/>
      <w:color w:val="0f4761" w:themeColor="accent1" w:themeShade="BF"/>
    </w:rPr>
  </w:style>
  <w:style w:type="character" w:styleId="977">
    <w:name w:val="Heading 6 Char"/>
    <w:basedOn w:val="1017"/>
    <w:link w:val="972"/>
    <w:uiPriority w:val="9"/>
    <w:pPr>
      <w:pBdr/>
      <w:spacing/>
      <w:ind/>
    </w:pPr>
    <w:rPr>
      <w:rFonts w:ascii="Arial" w:hAnsi="Arial" w:eastAsia="Arial" w:cs="Arial"/>
      <w:i/>
      <w:iCs/>
      <w:color w:val="595959" w:themeColor="text1" w:themeTint="A6"/>
    </w:rPr>
  </w:style>
  <w:style w:type="character" w:styleId="978">
    <w:name w:val="Heading 7 Char"/>
    <w:basedOn w:val="1017"/>
    <w:link w:val="973"/>
    <w:uiPriority w:val="9"/>
    <w:pPr>
      <w:pBdr/>
      <w:spacing/>
      <w:ind/>
    </w:pPr>
    <w:rPr>
      <w:rFonts w:ascii="Arial" w:hAnsi="Arial" w:eastAsia="Arial" w:cs="Arial"/>
      <w:color w:val="595959" w:themeColor="text1" w:themeTint="A6"/>
    </w:rPr>
  </w:style>
  <w:style w:type="character" w:styleId="979">
    <w:name w:val="Heading 8 Char"/>
    <w:basedOn w:val="1017"/>
    <w:link w:val="974"/>
    <w:uiPriority w:val="9"/>
    <w:pPr>
      <w:pBdr/>
      <w:spacing/>
      <w:ind/>
    </w:pPr>
    <w:rPr>
      <w:rFonts w:ascii="Arial" w:hAnsi="Arial" w:eastAsia="Arial" w:cs="Arial"/>
      <w:i/>
      <w:iCs/>
      <w:color w:val="272727" w:themeColor="text1" w:themeTint="D8"/>
    </w:rPr>
  </w:style>
  <w:style w:type="character" w:styleId="980">
    <w:name w:val="Heading 9 Char"/>
    <w:basedOn w:val="1017"/>
    <w:link w:val="975"/>
    <w:uiPriority w:val="9"/>
    <w:pPr>
      <w:pBdr/>
      <w:spacing/>
      <w:ind/>
    </w:pPr>
    <w:rPr>
      <w:rFonts w:ascii="Arial" w:hAnsi="Arial" w:eastAsia="Arial" w:cs="Arial"/>
      <w:i/>
      <w:iCs/>
      <w:color w:val="272727" w:themeColor="text1" w:themeTint="D8"/>
    </w:rPr>
  </w:style>
  <w:style w:type="paragraph" w:styleId="981">
    <w:name w:val="Subtitle"/>
    <w:basedOn w:val="1012"/>
    <w:next w:val="1012"/>
    <w:link w:val="982"/>
    <w:uiPriority w:val="11"/>
    <w:qFormat/>
    <w:pPr>
      <w:numPr>
        <w:ilvl w:val="1"/>
      </w:numPr>
      <w:pBdr/>
      <w:spacing/>
      <w:ind/>
    </w:pPr>
    <w:rPr>
      <w:color w:val="595959" w:themeColor="text1" w:themeTint="A6"/>
      <w:spacing w:val="15"/>
      <w:sz w:val="28"/>
      <w:szCs w:val="28"/>
    </w:rPr>
  </w:style>
  <w:style w:type="character" w:styleId="982">
    <w:name w:val="Subtitle Char"/>
    <w:basedOn w:val="1017"/>
    <w:link w:val="981"/>
    <w:uiPriority w:val="11"/>
    <w:pPr>
      <w:pBdr/>
      <w:spacing/>
      <w:ind/>
    </w:pPr>
    <w:rPr>
      <w:color w:val="595959" w:themeColor="text1" w:themeTint="A6"/>
      <w:spacing w:val="15"/>
      <w:sz w:val="28"/>
      <w:szCs w:val="28"/>
    </w:rPr>
  </w:style>
  <w:style w:type="paragraph" w:styleId="983">
    <w:name w:val="Quote"/>
    <w:basedOn w:val="1012"/>
    <w:next w:val="1012"/>
    <w:link w:val="984"/>
    <w:uiPriority w:val="29"/>
    <w:qFormat/>
    <w:pPr>
      <w:pBdr/>
      <w:spacing w:before="160"/>
      <w:ind/>
      <w:jc w:val="center"/>
    </w:pPr>
    <w:rPr>
      <w:i/>
      <w:iCs/>
      <w:color w:val="404040" w:themeColor="text1" w:themeTint="BF"/>
    </w:rPr>
  </w:style>
  <w:style w:type="character" w:styleId="984">
    <w:name w:val="Quote Char"/>
    <w:basedOn w:val="1017"/>
    <w:link w:val="983"/>
    <w:uiPriority w:val="29"/>
    <w:pPr>
      <w:pBdr/>
      <w:spacing/>
      <w:ind/>
    </w:pPr>
    <w:rPr>
      <w:i/>
      <w:iCs/>
      <w:color w:val="404040" w:themeColor="text1" w:themeTint="BF"/>
    </w:rPr>
  </w:style>
  <w:style w:type="character" w:styleId="985">
    <w:name w:val="Intense Emphasis"/>
    <w:basedOn w:val="1017"/>
    <w:uiPriority w:val="21"/>
    <w:qFormat/>
    <w:pPr>
      <w:pBdr/>
      <w:spacing/>
      <w:ind/>
    </w:pPr>
    <w:rPr>
      <w:i/>
      <w:iCs/>
      <w:color w:val="0f4761" w:themeColor="accent1" w:themeShade="BF"/>
    </w:rPr>
  </w:style>
  <w:style w:type="paragraph" w:styleId="986">
    <w:name w:val="Intense Quote"/>
    <w:basedOn w:val="1012"/>
    <w:next w:val="1012"/>
    <w:link w:val="9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7">
    <w:name w:val="Intense Quote Char"/>
    <w:basedOn w:val="1017"/>
    <w:link w:val="986"/>
    <w:uiPriority w:val="30"/>
    <w:pPr>
      <w:pBdr/>
      <w:spacing/>
      <w:ind/>
    </w:pPr>
    <w:rPr>
      <w:i/>
      <w:iCs/>
      <w:color w:val="0f4761" w:themeColor="accent1" w:themeShade="BF"/>
    </w:rPr>
  </w:style>
  <w:style w:type="character" w:styleId="988">
    <w:name w:val="Intense Reference"/>
    <w:basedOn w:val="1017"/>
    <w:uiPriority w:val="32"/>
    <w:qFormat/>
    <w:pPr>
      <w:pBdr/>
      <w:spacing/>
      <w:ind/>
    </w:pPr>
    <w:rPr>
      <w:b/>
      <w:bCs/>
      <w:smallCaps/>
      <w:color w:val="0f4761" w:themeColor="accent1" w:themeShade="BF"/>
      <w:spacing w:val="5"/>
    </w:rPr>
  </w:style>
  <w:style w:type="paragraph" w:styleId="989">
    <w:name w:val="No Spacing"/>
    <w:basedOn w:val="1012"/>
    <w:uiPriority w:val="1"/>
    <w:qFormat/>
    <w:pPr>
      <w:pBdr/>
      <w:spacing w:after="0" w:line="240" w:lineRule="auto"/>
      <w:ind/>
    </w:pPr>
  </w:style>
  <w:style w:type="character" w:styleId="990">
    <w:name w:val="Subtle Emphasis"/>
    <w:basedOn w:val="1017"/>
    <w:uiPriority w:val="19"/>
    <w:qFormat/>
    <w:pPr>
      <w:pBdr/>
      <w:spacing/>
      <w:ind/>
    </w:pPr>
    <w:rPr>
      <w:i/>
      <w:iCs/>
      <w:color w:val="404040" w:themeColor="text1" w:themeTint="BF"/>
    </w:rPr>
  </w:style>
  <w:style w:type="character" w:styleId="991">
    <w:name w:val="Subtle Reference"/>
    <w:basedOn w:val="1017"/>
    <w:uiPriority w:val="31"/>
    <w:qFormat/>
    <w:pPr>
      <w:pBdr/>
      <w:spacing/>
      <w:ind/>
    </w:pPr>
    <w:rPr>
      <w:smallCaps/>
      <w:color w:val="5a5a5a" w:themeColor="text1" w:themeTint="A5"/>
    </w:rPr>
  </w:style>
  <w:style w:type="character" w:styleId="992">
    <w:name w:val="Book Title"/>
    <w:basedOn w:val="1017"/>
    <w:uiPriority w:val="33"/>
    <w:qFormat/>
    <w:pPr>
      <w:pBdr/>
      <w:spacing/>
      <w:ind/>
    </w:pPr>
    <w:rPr>
      <w:b/>
      <w:bCs/>
      <w:i/>
      <w:iCs/>
      <w:spacing w:val="5"/>
    </w:rPr>
  </w:style>
  <w:style w:type="paragraph" w:styleId="993">
    <w:name w:val="Caption"/>
    <w:basedOn w:val="1012"/>
    <w:next w:val="1012"/>
    <w:uiPriority w:val="35"/>
    <w:unhideWhenUsed/>
    <w:qFormat/>
    <w:pPr>
      <w:pBdr/>
      <w:spacing w:after="200" w:line="240" w:lineRule="auto"/>
      <w:ind/>
    </w:pPr>
    <w:rPr>
      <w:i/>
      <w:iCs/>
      <w:color w:val="0e2841" w:themeColor="text2"/>
      <w:sz w:val="18"/>
      <w:szCs w:val="18"/>
    </w:rPr>
  </w:style>
  <w:style w:type="paragraph" w:styleId="994">
    <w:name w:val="footnote text"/>
    <w:basedOn w:val="1012"/>
    <w:link w:val="995"/>
    <w:uiPriority w:val="99"/>
    <w:semiHidden/>
    <w:unhideWhenUsed/>
    <w:pPr>
      <w:pBdr/>
      <w:spacing w:after="0" w:line="240" w:lineRule="auto"/>
      <w:ind/>
    </w:pPr>
    <w:rPr>
      <w:sz w:val="20"/>
      <w:szCs w:val="20"/>
    </w:rPr>
  </w:style>
  <w:style w:type="character" w:styleId="995">
    <w:name w:val="Footnote Text Char"/>
    <w:basedOn w:val="1017"/>
    <w:link w:val="994"/>
    <w:uiPriority w:val="99"/>
    <w:semiHidden/>
    <w:pPr>
      <w:pBdr/>
      <w:spacing/>
      <w:ind/>
    </w:pPr>
    <w:rPr>
      <w:sz w:val="20"/>
      <w:szCs w:val="20"/>
    </w:rPr>
  </w:style>
  <w:style w:type="character" w:styleId="996">
    <w:name w:val="footnote reference"/>
    <w:basedOn w:val="1017"/>
    <w:uiPriority w:val="99"/>
    <w:semiHidden/>
    <w:unhideWhenUsed/>
    <w:pPr>
      <w:pBdr/>
      <w:spacing/>
      <w:ind/>
    </w:pPr>
    <w:rPr>
      <w:vertAlign w:val="superscript"/>
    </w:rPr>
  </w:style>
  <w:style w:type="paragraph" w:styleId="997">
    <w:name w:val="endnote text"/>
    <w:basedOn w:val="1012"/>
    <w:link w:val="998"/>
    <w:uiPriority w:val="99"/>
    <w:semiHidden/>
    <w:unhideWhenUsed/>
    <w:pPr>
      <w:pBdr/>
      <w:spacing w:after="0" w:line="240" w:lineRule="auto"/>
      <w:ind/>
    </w:pPr>
    <w:rPr>
      <w:sz w:val="20"/>
      <w:szCs w:val="20"/>
    </w:rPr>
  </w:style>
  <w:style w:type="character" w:styleId="998">
    <w:name w:val="Endnote Text Char"/>
    <w:basedOn w:val="1017"/>
    <w:link w:val="997"/>
    <w:uiPriority w:val="99"/>
    <w:semiHidden/>
    <w:pPr>
      <w:pBdr/>
      <w:spacing/>
      <w:ind/>
    </w:pPr>
    <w:rPr>
      <w:sz w:val="20"/>
      <w:szCs w:val="20"/>
    </w:rPr>
  </w:style>
  <w:style w:type="character" w:styleId="999">
    <w:name w:val="endnote reference"/>
    <w:basedOn w:val="1017"/>
    <w:uiPriority w:val="99"/>
    <w:semiHidden/>
    <w:unhideWhenUsed/>
    <w:pPr>
      <w:pBdr/>
      <w:spacing/>
      <w:ind/>
    </w:pPr>
    <w:rPr>
      <w:vertAlign w:val="superscript"/>
    </w:rPr>
  </w:style>
  <w:style w:type="paragraph" w:styleId="1000">
    <w:name w:val="toc 1"/>
    <w:basedOn w:val="1012"/>
    <w:next w:val="1012"/>
    <w:uiPriority w:val="39"/>
    <w:unhideWhenUsed/>
    <w:pPr>
      <w:pBdr/>
      <w:spacing w:after="100"/>
      <w:ind/>
    </w:pPr>
  </w:style>
  <w:style w:type="paragraph" w:styleId="1001">
    <w:name w:val="toc 2"/>
    <w:basedOn w:val="1012"/>
    <w:next w:val="1012"/>
    <w:uiPriority w:val="39"/>
    <w:unhideWhenUsed/>
    <w:pPr>
      <w:pBdr/>
      <w:spacing w:after="100"/>
      <w:ind w:left="220"/>
    </w:pPr>
  </w:style>
  <w:style w:type="paragraph" w:styleId="1002">
    <w:name w:val="toc 3"/>
    <w:basedOn w:val="1012"/>
    <w:next w:val="1012"/>
    <w:uiPriority w:val="39"/>
    <w:unhideWhenUsed/>
    <w:pPr>
      <w:pBdr/>
      <w:spacing w:after="100"/>
      <w:ind w:left="440"/>
    </w:pPr>
  </w:style>
  <w:style w:type="paragraph" w:styleId="1003">
    <w:name w:val="toc 4"/>
    <w:basedOn w:val="1012"/>
    <w:next w:val="1012"/>
    <w:uiPriority w:val="39"/>
    <w:unhideWhenUsed/>
    <w:pPr>
      <w:pBdr/>
      <w:spacing w:after="100"/>
      <w:ind w:left="660"/>
    </w:pPr>
  </w:style>
  <w:style w:type="paragraph" w:styleId="1004">
    <w:name w:val="toc 5"/>
    <w:basedOn w:val="1012"/>
    <w:next w:val="1012"/>
    <w:uiPriority w:val="39"/>
    <w:unhideWhenUsed/>
    <w:pPr>
      <w:pBdr/>
      <w:spacing w:after="100"/>
      <w:ind w:left="880"/>
    </w:pPr>
  </w:style>
  <w:style w:type="paragraph" w:styleId="1005">
    <w:name w:val="toc 6"/>
    <w:basedOn w:val="1012"/>
    <w:next w:val="1012"/>
    <w:uiPriority w:val="39"/>
    <w:unhideWhenUsed/>
    <w:pPr>
      <w:pBdr/>
      <w:spacing w:after="100"/>
      <w:ind w:left="1100"/>
    </w:pPr>
  </w:style>
  <w:style w:type="paragraph" w:styleId="1006">
    <w:name w:val="toc 7"/>
    <w:basedOn w:val="1012"/>
    <w:next w:val="1012"/>
    <w:uiPriority w:val="39"/>
    <w:unhideWhenUsed/>
    <w:pPr>
      <w:pBdr/>
      <w:spacing w:after="100"/>
      <w:ind w:left="1320"/>
    </w:pPr>
  </w:style>
  <w:style w:type="paragraph" w:styleId="1007">
    <w:name w:val="toc 8"/>
    <w:basedOn w:val="1012"/>
    <w:next w:val="1012"/>
    <w:uiPriority w:val="39"/>
    <w:unhideWhenUsed/>
    <w:pPr>
      <w:pBdr/>
      <w:spacing w:after="100"/>
      <w:ind w:left="1540"/>
    </w:pPr>
  </w:style>
  <w:style w:type="paragraph" w:styleId="1008">
    <w:name w:val="toc 9"/>
    <w:basedOn w:val="1012"/>
    <w:next w:val="1012"/>
    <w:uiPriority w:val="39"/>
    <w:unhideWhenUsed/>
    <w:pPr>
      <w:pBdr/>
      <w:spacing w:after="100"/>
      <w:ind w:left="1760"/>
    </w:pPr>
  </w:style>
  <w:style w:type="character" w:styleId="1009">
    <w:name w:val="Placeholder Text"/>
    <w:basedOn w:val="1017"/>
    <w:uiPriority w:val="99"/>
    <w:semiHidden/>
    <w:pPr>
      <w:pBdr/>
      <w:spacing/>
      <w:ind/>
    </w:pPr>
    <w:rPr>
      <w:color w:val="666666"/>
    </w:rPr>
  </w:style>
  <w:style w:type="paragraph" w:styleId="1010">
    <w:name w:val="TOC Heading"/>
    <w:uiPriority w:val="39"/>
    <w:unhideWhenUsed/>
    <w:pPr>
      <w:pBdr/>
      <w:spacing/>
      <w:ind/>
    </w:pPr>
  </w:style>
  <w:style w:type="paragraph" w:styleId="1011">
    <w:name w:val="table of figures"/>
    <w:basedOn w:val="1012"/>
    <w:next w:val="1012"/>
    <w:uiPriority w:val="99"/>
    <w:unhideWhenUsed/>
    <w:pPr>
      <w:pBdr/>
      <w:spacing w:after="0" w:afterAutospacing="0"/>
      <w:ind/>
    </w:pPr>
  </w:style>
  <w:style w:type="paragraph" w:styleId="1012" w:default="1">
    <w:name w:val="Normal"/>
    <w:qFormat/>
    <w:pPr>
      <w:pBdr/>
      <w:spacing w:after="0" w:line="240" w:lineRule="auto"/>
      <w:ind/>
    </w:pPr>
    <w:rPr>
      <w:rFonts w:ascii="Times New Roman" w:hAnsi="Times New Roman" w:eastAsia="Times New Roman" w:cs="Times New Roman"/>
      <w:sz w:val="24"/>
      <w:szCs w:val="24"/>
    </w:rPr>
  </w:style>
  <w:style w:type="paragraph" w:styleId="1013">
    <w:name w:val="Heading 1"/>
    <w:basedOn w:val="1012"/>
    <w:next w:val="1012"/>
    <w:link w:val="1020"/>
    <w:qFormat/>
    <w:pPr>
      <w:keepNext w:val="true"/>
      <w:pBdr/>
      <w:spacing w:after="120" w:before="120"/>
      <w:ind/>
      <w:jc w:val="center"/>
      <w:outlineLvl w:val="0"/>
    </w:pPr>
    <w:rPr>
      <w:b/>
      <w:bCs/>
      <w:sz w:val="27"/>
      <w:szCs w:val="27"/>
    </w:rPr>
  </w:style>
  <w:style w:type="paragraph" w:styleId="1014">
    <w:name w:val="Heading 2"/>
    <w:basedOn w:val="1012"/>
    <w:next w:val="1012"/>
    <w:link w:val="102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5">
    <w:name w:val="Heading 3"/>
    <w:basedOn w:val="1012"/>
    <w:next w:val="1012"/>
    <w:link w:val="1022"/>
    <w:qFormat/>
    <w:pPr>
      <w:keepNext w:val="true"/>
      <w:pBdr/>
      <w:spacing w:before="60"/>
      <w:ind/>
      <w:outlineLvl w:val="2"/>
    </w:pPr>
    <w:rPr>
      <w:sz w:val="28"/>
      <w:szCs w:val="28"/>
    </w:rPr>
  </w:style>
  <w:style w:type="paragraph" w:styleId="1016">
    <w:name w:val="Heading 4"/>
    <w:basedOn w:val="1012"/>
    <w:next w:val="1012"/>
    <w:link w:val="1023"/>
    <w:qFormat/>
    <w:pPr>
      <w:keepNext w:val="true"/>
      <w:pBdr/>
      <w:spacing/>
      <w:ind/>
      <w:jc w:val="center"/>
      <w:outlineLvl w:val="3"/>
    </w:pPr>
    <w:rPr>
      <w:b/>
      <w:bCs/>
    </w:rPr>
  </w:style>
  <w:style w:type="character" w:styleId="1017" w:default="1">
    <w:name w:val="Default Paragraph Font"/>
    <w:uiPriority w:val="1"/>
    <w:semiHidden/>
    <w:unhideWhenUsed/>
    <w:pPr>
      <w:pBdr/>
      <w:spacing/>
      <w:ind/>
    </w:pPr>
  </w:style>
  <w:style w:type="table" w:styleId="10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9" w:default="1">
    <w:name w:val="No List"/>
    <w:uiPriority w:val="99"/>
    <w:semiHidden/>
    <w:unhideWhenUsed/>
    <w:pPr>
      <w:pBdr/>
      <w:spacing/>
      <w:ind/>
    </w:pPr>
  </w:style>
  <w:style w:type="character" w:styleId="1020" w:customStyle="1">
    <w:name w:val="Heading 1 Char"/>
    <w:basedOn w:val="1017"/>
    <w:link w:val="1013"/>
    <w:pPr>
      <w:pBdr/>
      <w:spacing/>
      <w:ind/>
    </w:pPr>
    <w:rPr>
      <w:rFonts w:ascii="Times New Roman" w:hAnsi="Times New Roman" w:eastAsia="Times New Roman" w:cs="Times New Roman"/>
      <w:b/>
      <w:bCs/>
      <w:sz w:val="27"/>
      <w:szCs w:val="27"/>
    </w:rPr>
  </w:style>
  <w:style w:type="character" w:styleId="1021" w:customStyle="1">
    <w:name w:val="Heading 2 Char"/>
    <w:basedOn w:val="1017"/>
    <w:link w:val="1014"/>
    <w:uiPriority w:val="9"/>
    <w:pPr>
      <w:pBdr/>
      <w:spacing/>
      <w:ind/>
    </w:pPr>
    <w:rPr>
      <w:rFonts w:asciiTheme="majorHAnsi" w:hAnsiTheme="majorHAnsi" w:eastAsiaTheme="majorEastAsia" w:cstheme="majorBidi"/>
      <w:color w:val="365f91" w:themeColor="accent1" w:themeShade="BF"/>
      <w:sz w:val="26"/>
      <w:szCs w:val="26"/>
    </w:rPr>
  </w:style>
  <w:style w:type="character" w:styleId="1022" w:customStyle="1">
    <w:name w:val="Heading 3 Char"/>
    <w:basedOn w:val="1017"/>
    <w:link w:val="1015"/>
    <w:pPr>
      <w:pBdr/>
      <w:spacing/>
      <w:ind/>
    </w:pPr>
    <w:rPr>
      <w:rFonts w:ascii="Times New Roman" w:hAnsi="Times New Roman" w:eastAsia="Times New Roman" w:cs="Times New Roman"/>
      <w:sz w:val="28"/>
      <w:szCs w:val="28"/>
    </w:rPr>
  </w:style>
  <w:style w:type="character" w:styleId="1023" w:customStyle="1">
    <w:name w:val="Heading 4 Char"/>
    <w:basedOn w:val="1017"/>
    <w:link w:val="1016"/>
    <w:pPr>
      <w:pBdr/>
      <w:spacing/>
      <w:ind/>
    </w:pPr>
    <w:rPr>
      <w:rFonts w:ascii="Times New Roman" w:hAnsi="Times New Roman" w:eastAsia="Times New Roman" w:cs="Times New Roman"/>
      <w:b/>
      <w:bCs/>
      <w:sz w:val="24"/>
      <w:szCs w:val="24"/>
    </w:rPr>
  </w:style>
  <w:style w:type="character" w:styleId="1024">
    <w:name w:val="Hyperlink"/>
    <w:uiPriority w:val="99"/>
    <w:pPr>
      <w:pBdr/>
      <w:spacing/>
      <w:ind/>
    </w:pPr>
    <w:rPr>
      <w:color w:val="000000"/>
      <w:u w:val="single"/>
    </w:rPr>
  </w:style>
  <w:style w:type="character" w:styleId="1025">
    <w:name w:val="Strong"/>
    <w:uiPriority w:val="22"/>
    <w:qFormat/>
    <w:pPr>
      <w:pBdr/>
      <w:spacing/>
      <w:ind/>
    </w:pPr>
    <w:rPr>
      <w:b/>
      <w:bCs/>
    </w:rPr>
  </w:style>
  <w:style w:type="paragraph" w:styleId="1026">
    <w:name w:val="Balloon Text"/>
    <w:basedOn w:val="1012"/>
    <w:link w:val="1027"/>
    <w:uiPriority w:val="99"/>
    <w:semiHidden/>
    <w:unhideWhenUsed/>
    <w:pPr>
      <w:pBdr/>
      <w:spacing/>
      <w:ind/>
    </w:pPr>
    <w:rPr>
      <w:rFonts w:ascii="Tahoma" w:hAnsi="Tahoma" w:cs="Tahoma"/>
      <w:sz w:val="16"/>
      <w:szCs w:val="16"/>
    </w:rPr>
  </w:style>
  <w:style w:type="character" w:styleId="1027" w:customStyle="1">
    <w:name w:val="Balloon Text Char"/>
    <w:basedOn w:val="1017"/>
    <w:link w:val="1026"/>
    <w:uiPriority w:val="99"/>
    <w:semiHidden/>
    <w:pPr>
      <w:pBdr/>
      <w:spacing/>
      <w:ind/>
    </w:pPr>
    <w:rPr>
      <w:rFonts w:ascii="Tahoma" w:hAnsi="Tahoma" w:eastAsia="Times New Roman" w:cs="Tahoma"/>
      <w:sz w:val="16"/>
      <w:szCs w:val="16"/>
    </w:rPr>
  </w:style>
  <w:style w:type="paragraph" w:styleId="1028">
    <w:name w:val="Header"/>
    <w:basedOn w:val="1012"/>
    <w:link w:val="1029"/>
    <w:unhideWhenUsed/>
    <w:pPr>
      <w:pBdr/>
      <w:tabs>
        <w:tab w:val="center" w:leader="none" w:pos="4680"/>
        <w:tab w:val="right" w:leader="none" w:pos="9360"/>
      </w:tabs>
      <w:spacing/>
      <w:ind/>
    </w:pPr>
  </w:style>
  <w:style w:type="character" w:styleId="1029" w:customStyle="1">
    <w:name w:val="Header Char"/>
    <w:basedOn w:val="1017"/>
    <w:link w:val="1028"/>
    <w:pPr>
      <w:pBdr/>
      <w:spacing/>
      <w:ind/>
    </w:pPr>
    <w:rPr>
      <w:rFonts w:ascii="Times New Roman" w:hAnsi="Times New Roman" w:eastAsia="Times New Roman" w:cs="Times New Roman"/>
      <w:sz w:val="24"/>
      <w:szCs w:val="24"/>
    </w:rPr>
  </w:style>
  <w:style w:type="paragraph" w:styleId="1030">
    <w:name w:val="Footer"/>
    <w:basedOn w:val="1012"/>
    <w:link w:val="1031"/>
    <w:uiPriority w:val="99"/>
    <w:unhideWhenUsed/>
    <w:pPr>
      <w:pBdr/>
      <w:tabs>
        <w:tab w:val="center" w:leader="none" w:pos="4680"/>
        <w:tab w:val="right" w:leader="none" w:pos="9360"/>
      </w:tabs>
      <w:spacing/>
      <w:ind/>
    </w:pPr>
  </w:style>
  <w:style w:type="character" w:styleId="1031" w:customStyle="1">
    <w:name w:val="Footer Char"/>
    <w:basedOn w:val="1017"/>
    <w:link w:val="1030"/>
    <w:uiPriority w:val="99"/>
    <w:pPr>
      <w:pBdr/>
      <w:spacing/>
      <w:ind/>
    </w:pPr>
    <w:rPr>
      <w:rFonts w:ascii="Times New Roman" w:hAnsi="Times New Roman" w:eastAsia="Times New Roman" w:cs="Times New Roman"/>
      <w:sz w:val="24"/>
      <w:szCs w:val="24"/>
    </w:rPr>
  </w:style>
  <w:style w:type="character" w:styleId="1032" w:customStyle="1">
    <w:name w:val="normal-h1"/>
    <w:pPr>
      <w:pBdr/>
      <w:spacing/>
      <w:ind/>
    </w:pPr>
    <w:rPr>
      <w:rFonts w:hint="default" w:ascii=".VnTime" w:hAnsi=".VnTime"/>
      <w:color w:val="0000ff"/>
      <w:sz w:val="24"/>
      <w:szCs w:val="24"/>
    </w:rPr>
  </w:style>
  <w:style w:type="paragraph" w:styleId="1033" w:customStyle="1">
    <w:name w:val="normal-p"/>
    <w:basedOn w:val="1012"/>
    <w:pPr>
      <w:pBdr/>
      <w:spacing/>
      <w:ind/>
      <w:jc w:val="both"/>
    </w:pPr>
    <w:rPr>
      <w:sz w:val="20"/>
      <w:szCs w:val="20"/>
    </w:rPr>
  </w:style>
  <w:style w:type="paragraph" w:styleId="1034">
    <w:name w:val="List Paragraph"/>
    <w:basedOn w:val="1012"/>
    <w:link w:val="1121"/>
    <w:uiPriority w:val="34"/>
    <w:qFormat/>
    <w:pPr>
      <w:pBdr/>
      <w:spacing/>
      <w:ind w:left="720"/>
    </w:pPr>
  </w:style>
  <w:style w:type="paragraph" w:styleId="1035">
    <w:name w:val="Normal (Web)"/>
    <w:basedOn w:val="1012"/>
    <w:uiPriority w:val="99"/>
    <w:pPr>
      <w:pBdr/>
      <w:spacing w:after="100" w:afterAutospacing="1" w:before="100" w:beforeAutospacing="1"/>
      <w:ind/>
    </w:pPr>
  </w:style>
  <w:style w:type="paragraph" w:styleId="1036">
    <w:name w:val="Body Text"/>
    <w:basedOn w:val="1012"/>
    <w:link w:val="1037"/>
    <w:pPr>
      <w:pBdr/>
      <w:spacing w:after="120"/>
      <w:ind/>
      <w:jc w:val="both"/>
    </w:pPr>
  </w:style>
  <w:style w:type="character" w:styleId="1037" w:customStyle="1">
    <w:name w:val="Body Text Char"/>
    <w:basedOn w:val="1017"/>
    <w:link w:val="1036"/>
    <w:pPr>
      <w:pBdr/>
      <w:spacing/>
      <w:ind/>
    </w:pPr>
    <w:rPr>
      <w:rFonts w:ascii="Times New Roman" w:hAnsi="Times New Roman" w:eastAsia="Times New Roman" w:cs="Times New Roman"/>
      <w:sz w:val="24"/>
      <w:szCs w:val="24"/>
    </w:rPr>
  </w:style>
  <w:style w:type="table" w:styleId="1038">
    <w:name w:val="Table Grid"/>
    <w:basedOn w:val="101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0">
    <w:name w:val="annotation reference"/>
    <w:basedOn w:val="1017"/>
    <w:uiPriority w:val="99"/>
    <w:semiHidden/>
    <w:unhideWhenUsed/>
    <w:pPr>
      <w:pBdr/>
      <w:spacing/>
      <w:ind/>
    </w:pPr>
    <w:rPr>
      <w:sz w:val="16"/>
      <w:szCs w:val="16"/>
    </w:rPr>
  </w:style>
  <w:style w:type="paragraph" w:styleId="1041">
    <w:name w:val="annotation text"/>
    <w:basedOn w:val="1012"/>
    <w:link w:val="1042"/>
    <w:uiPriority w:val="99"/>
    <w:unhideWhenUsed/>
    <w:pPr>
      <w:pBdr/>
      <w:spacing/>
      <w:ind/>
    </w:pPr>
    <w:rPr>
      <w:sz w:val="20"/>
      <w:szCs w:val="20"/>
    </w:rPr>
  </w:style>
  <w:style w:type="character" w:styleId="1042" w:customStyle="1">
    <w:name w:val="Comment Text Char"/>
    <w:basedOn w:val="1017"/>
    <w:link w:val="1041"/>
    <w:uiPriority w:val="99"/>
    <w:pPr>
      <w:pBdr/>
      <w:spacing/>
      <w:ind/>
    </w:pPr>
    <w:rPr>
      <w:rFonts w:ascii="Times New Roman" w:hAnsi="Times New Roman" w:eastAsia="Times New Roman" w:cs="Times New Roman"/>
      <w:sz w:val="20"/>
      <w:szCs w:val="20"/>
    </w:rPr>
  </w:style>
  <w:style w:type="paragraph" w:styleId="1043">
    <w:name w:val="annotation subject"/>
    <w:basedOn w:val="1041"/>
    <w:next w:val="1041"/>
    <w:link w:val="1044"/>
    <w:uiPriority w:val="99"/>
    <w:semiHidden/>
    <w:unhideWhenUsed/>
    <w:pPr>
      <w:pBdr/>
      <w:spacing/>
      <w:ind/>
    </w:pPr>
    <w:rPr>
      <w:b/>
      <w:bCs/>
    </w:rPr>
  </w:style>
  <w:style w:type="character" w:styleId="1044" w:customStyle="1">
    <w:name w:val="Comment Subject Char"/>
    <w:basedOn w:val="1042"/>
    <w:link w:val="1043"/>
    <w:uiPriority w:val="99"/>
    <w:semiHidden/>
    <w:pPr>
      <w:pBdr/>
      <w:spacing/>
      <w:ind/>
    </w:pPr>
    <w:rPr>
      <w:rFonts w:ascii="Times New Roman" w:hAnsi="Times New Roman" w:eastAsia="Times New Roman" w:cs="Times New Roman"/>
      <w:b/>
      <w:bCs/>
      <w:sz w:val="20"/>
      <w:szCs w:val="20"/>
    </w:rPr>
  </w:style>
  <w:style w:type="paragraph" w:styleId="1045" w:customStyle="1">
    <w:name w:val="font5"/>
    <w:basedOn w:val="1012"/>
    <w:pPr>
      <w:pBdr/>
      <w:spacing w:after="100" w:afterAutospacing="1" w:before="100" w:beforeAutospacing="1"/>
      <w:ind/>
    </w:pPr>
    <w:rPr>
      <w:rFonts w:ascii="Tahoma" w:hAnsi="Tahoma" w:cs="Tahoma"/>
      <w:color w:val="000000"/>
      <w:sz w:val="18"/>
      <w:szCs w:val="18"/>
    </w:rPr>
  </w:style>
  <w:style w:type="paragraph" w:styleId="1046" w:customStyle="1">
    <w:name w:val="font6"/>
    <w:basedOn w:val="1012"/>
    <w:pPr>
      <w:pBdr/>
      <w:spacing w:after="100" w:afterAutospacing="1" w:before="100" w:beforeAutospacing="1"/>
      <w:ind/>
    </w:pPr>
    <w:rPr>
      <w:rFonts w:ascii="Tahoma" w:hAnsi="Tahoma" w:cs="Tahoma"/>
      <w:b/>
      <w:bCs/>
      <w:color w:val="000000"/>
      <w:sz w:val="18"/>
      <w:szCs w:val="18"/>
    </w:rPr>
  </w:style>
  <w:style w:type="paragraph" w:styleId="1047" w:customStyle="1">
    <w:name w:val="xl23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34"/>
    <w:basedOn w:val="1012"/>
    <w:pPr>
      <w:pBdr/>
      <w:spacing w:after="100" w:afterAutospacing="1" w:before="100" w:beforeAutospacing="1"/>
      <w:ind/>
      <w:jc w:val="center"/>
    </w:pPr>
  </w:style>
  <w:style w:type="paragraph" w:styleId="1049" w:customStyle="1">
    <w:name w:val="xl235"/>
    <w:basedOn w:val="1012"/>
    <w:pPr>
      <w:pBdr/>
      <w:spacing w:after="100" w:afterAutospacing="1" w:before="100" w:beforeAutospacing="1"/>
      <w:ind/>
      <w:jc w:val="center"/>
    </w:pPr>
    <w:rPr>
      <w:b/>
      <w:bCs/>
    </w:rPr>
  </w:style>
  <w:style w:type="paragraph" w:styleId="1050" w:customStyle="1">
    <w:name w:val="xl236"/>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3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38"/>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3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40"/>
    <w:basedOn w:val="1012"/>
    <w:pPr>
      <w:pBdr/>
      <w:spacing w:after="100" w:afterAutospacing="1" w:before="100" w:beforeAutospacing="1"/>
      <w:ind/>
    </w:pPr>
  </w:style>
  <w:style w:type="paragraph" w:styleId="1055" w:customStyle="1">
    <w:name w:val="xl241"/>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42"/>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3"/>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44"/>
    <w:basedOn w:val="1012"/>
    <w:pPr>
      <w:pBdr/>
      <w:spacing w:after="100" w:afterAutospacing="1" w:before="100" w:beforeAutospacing="1"/>
      <w:ind/>
    </w:pPr>
    <w:rPr>
      <w:b/>
      <w:bCs/>
    </w:rPr>
  </w:style>
  <w:style w:type="paragraph" w:styleId="1059" w:customStyle="1">
    <w:name w:val="xl245"/>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47"/>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4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3" w:customStyle="1">
    <w:name w:val="xl24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5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5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3"/>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4"/>
    <w:basedOn w:val="101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5"/>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8"/>
    <w:basedOn w:val="101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0"/>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1"/>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2"/>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3"/>
    <w:basedOn w:val="1012"/>
    <w:pPr>
      <w:pBdr/>
      <w:shd w:val="clear" w:color="000000" w:fill="ffffff"/>
      <w:spacing w:after="100" w:afterAutospacing="1" w:before="100" w:beforeAutospacing="1"/>
      <w:ind/>
    </w:pPr>
  </w:style>
  <w:style w:type="paragraph" w:styleId="1078" w:customStyle="1">
    <w:name w:val="xl264"/>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5"/>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6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6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68"/>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9"/>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7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1"/>
    <w:basedOn w:val="101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6" w:customStyle="1">
    <w:name w:val="xl27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73"/>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74"/>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5"/>
    <w:basedOn w:val="1012"/>
    <w:pPr>
      <w:pBdr/>
      <w:spacing w:after="100" w:afterAutospacing="1" w:before="100" w:beforeAutospacing="1"/>
      <w:ind/>
    </w:pPr>
  </w:style>
  <w:style w:type="paragraph" w:styleId="1090" w:customStyle="1">
    <w:name w:val="xl27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77"/>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7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7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8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8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4"/>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5"/>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7"/>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8"/>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89"/>
    <w:basedOn w:val="1012"/>
    <w:pPr>
      <w:pBdr>
        <w:left w:val="single" w:color="000000" w:sz="4" w:space="0"/>
        <w:right w:val="single" w:color="000000" w:sz="4" w:space="0"/>
      </w:pBdr>
      <w:spacing w:after="100" w:afterAutospacing="1" w:before="100" w:beforeAutospacing="1"/>
      <w:ind/>
    </w:pPr>
    <w:rPr>
      <w:b/>
      <w:bCs/>
    </w:rPr>
  </w:style>
  <w:style w:type="paragraph" w:styleId="1104" w:customStyle="1">
    <w:name w:val="xl29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91"/>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92"/>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93"/>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94"/>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name w:val="Title"/>
    <w:basedOn w:val="1012"/>
    <w:link w:val="1110"/>
    <w:qFormat/>
    <w:pPr>
      <w:pBdr/>
      <w:spacing/>
      <w:ind/>
      <w:jc w:val="center"/>
    </w:pPr>
    <w:rPr>
      <w:b/>
      <w:bCs/>
      <w:sz w:val="32"/>
      <w:szCs w:val="26"/>
    </w:rPr>
  </w:style>
  <w:style w:type="character" w:styleId="1110" w:customStyle="1">
    <w:name w:val="Title Char"/>
    <w:basedOn w:val="1017"/>
    <w:link w:val="1109"/>
    <w:pPr>
      <w:pBdr/>
      <w:spacing/>
      <w:ind/>
    </w:pPr>
    <w:rPr>
      <w:rFonts w:ascii="Times New Roman" w:hAnsi="Times New Roman" w:eastAsia="Times New Roman" w:cs="Times New Roman"/>
      <w:b/>
      <w:bCs/>
      <w:sz w:val="32"/>
      <w:szCs w:val="26"/>
    </w:rPr>
  </w:style>
  <w:style w:type="character" w:styleId="1111" w:customStyle="1">
    <w:name w:val="Unresolved Mention1"/>
    <w:basedOn w:val="1017"/>
    <w:uiPriority w:val="99"/>
    <w:semiHidden/>
    <w:unhideWhenUsed/>
    <w:pPr>
      <w:pBdr/>
      <w:spacing/>
      <w:ind/>
    </w:pPr>
    <w:rPr>
      <w:color w:val="605e5c"/>
      <w:shd w:val="clear" w:color="auto" w:fill="e1dfdd"/>
    </w:rPr>
  </w:style>
  <w:style w:type="character" w:styleId="1112" w:customStyle="1">
    <w:name w:val="Body text (3)_"/>
    <w:link w:val="1113"/>
    <w:pPr>
      <w:pBdr/>
      <w:spacing/>
      <w:ind/>
    </w:pPr>
    <w:rPr>
      <w:rFonts w:ascii="Times New Roman" w:hAnsi="Times New Roman" w:cs="Times New Roman"/>
      <w:i/>
      <w:iCs/>
      <w:spacing w:val="4"/>
      <w:shd w:val="clear" w:color="auto" w:fill="ffffff"/>
    </w:rPr>
  </w:style>
  <w:style w:type="paragraph" w:styleId="1113" w:customStyle="1">
    <w:name w:val="Body text (3)1"/>
    <w:basedOn w:val="1012"/>
    <w:link w:val="111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4" w:customStyle="1">
    <w:name w:val="t-j"/>
    <w:basedOn w:val="1012"/>
    <w:pPr>
      <w:pBdr/>
      <w:spacing w:after="100" w:afterAutospacing="1" w:before="100" w:beforeAutospacing="1"/>
      <w:ind/>
    </w:pPr>
  </w:style>
  <w:style w:type="character" w:styleId="1115" w:customStyle="1">
    <w:name w:val="Unresolved Mention2"/>
    <w:basedOn w:val="1017"/>
    <w:uiPriority w:val="99"/>
    <w:semiHidden/>
    <w:unhideWhenUsed/>
    <w:pPr>
      <w:pBdr/>
      <w:spacing/>
      <w:ind/>
    </w:pPr>
    <w:rPr>
      <w:color w:val="605e5c"/>
      <w:shd w:val="clear" w:color="auto" w:fill="e1dfdd"/>
    </w:rPr>
  </w:style>
  <w:style w:type="character" w:styleId="1116">
    <w:name w:val="FollowedHyperlink"/>
    <w:basedOn w:val="1017"/>
    <w:uiPriority w:val="99"/>
    <w:semiHidden/>
    <w:unhideWhenUsed/>
    <w:pPr>
      <w:pBdr/>
      <w:spacing/>
      <w:ind/>
    </w:pPr>
    <w:rPr>
      <w:color w:val="800080" w:themeColor="followedHyperlink"/>
      <w:u w:val="single"/>
    </w:rPr>
  </w:style>
  <w:style w:type="character" w:styleId="1117" w:customStyle="1">
    <w:name w:val="text"/>
    <w:basedOn w:val="1017"/>
    <w:pPr>
      <w:pBdr/>
      <w:spacing/>
      <w:ind/>
    </w:pPr>
  </w:style>
  <w:style w:type="character" w:styleId="1118" w:customStyle="1">
    <w:name w:val="card-send-time__sendtime"/>
    <w:basedOn w:val="1017"/>
    <w:pPr>
      <w:pBdr/>
      <w:spacing/>
      <w:ind/>
    </w:pPr>
  </w:style>
  <w:style w:type="character" w:styleId="1119" w:customStyle="1">
    <w:name w:val="Đề cập Chưa giải quyết1"/>
    <w:basedOn w:val="1017"/>
    <w:uiPriority w:val="99"/>
    <w:semiHidden/>
    <w:unhideWhenUsed/>
    <w:pPr>
      <w:pBdr/>
      <w:spacing/>
      <w:ind/>
    </w:pPr>
    <w:rPr>
      <w:color w:val="605e5c"/>
      <w:shd w:val="clear" w:color="auto" w:fill="e1dfdd"/>
    </w:rPr>
  </w:style>
  <w:style w:type="paragraph" w:styleId="1120" w:customStyle="1">
    <w:name w:val="nqtitle"/>
    <w:basedOn w:val="1012"/>
    <w:pPr>
      <w:pBdr/>
      <w:spacing w:after="100" w:afterAutospacing="1" w:before="100" w:beforeAutospacing="1"/>
      <w:ind/>
    </w:pPr>
    <w:rPr>
      <w:lang w:val="vi-VN" w:eastAsia="vi-VN"/>
    </w:rPr>
  </w:style>
  <w:style w:type="character" w:styleId="1121" w:customStyle="1">
    <w:name w:val="List Paragraph Char"/>
    <w:link w:val="1034"/>
    <w:uiPriority w:val="34"/>
    <w:qFormat/>
    <w:pPr>
      <w:pBdr/>
      <w:spacing/>
      <w:ind/>
    </w:pPr>
    <w:rPr>
      <w:rFonts w:ascii="Times New Roman" w:hAnsi="Times New Roman" w:eastAsia="Times New Roman" w:cs="Times New Roman"/>
      <w:sz w:val="24"/>
      <w:szCs w:val="24"/>
    </w:rPr>
  </w:style>
  <w:style w:type="character" w:styleId="1122" w:customStyle="1">
    <w:name w:val="Đề cập Chưa giải quyết2"/>
    <w:basedOn w:val="1017"/>
    <w:uiPriority w:val="99"/>
    <w:semiHidden/>
    <w:unhideWhenUsed/>
    <w:pPr>
      <w:pBdr/>
      <w:spacing/>
      <w:ind/>
    </w:pPr>
    <w:rPr>
      <w:color w:val="605e5c"/>
      <w:shd w:val="clear" w:color="auto" w:fill="e1dfdd"/>
    </w:rPr>
  </w:style>
  <w:style w:type="character" w:styleId="1123" w:customStyle="1">
    <w:name w:val="Unresolved Mention3"/>
    <w:basedOn w:val="1017"/>
    <w:uiPriority w:val="99"/>
    <w:semiHidden/>
    <w:unhideWhenUsed/>
    <w:pPr>
      <w:pBdr/>
      <w:spacing/>
      <w:ind/>
    </w:pPr>
    <w:rPr>
      <w:color w:val="605e5c"/>
      <w:shd w:val="clear" w:color="auto" w:fill="e1dfdd"/>
    </w:rPr>
  </w:style>
  <w:style w:type="character" w:styleId="1124" w:customStyle="1">
    <w:name w:val="copy"/>
    <w:basedOn w:val="1017"/>
    <w:pPr>
      <w:pBdr/>
      <w:spacing/>
      <w:ind/>
    </w:pPr>
  </w:style>
  <w:style w:type="paragraph" w:styleId="1125" w:customStyle="1">
    <w:name w:val="align-justify"/>
    <w:basedOn w:val="1012"/>
    <w:pPr>
      <w:pBdr/>
      <w:spacing w:after="100" w:afterAutospacing="1" w:before="100" w:beforeAutospacing="1"/>
      <w:ind/>
    </w:pPr>
  </w:style>
  <w:style w:type="character" w:styleId="1126" w:customStyle="1">
    <w:name w:val="btn"/>
    <w:basedOn w:val="1017"/>
    <w:pPr>
      <w:pBdr/>
      <w:spacing/>
      <w:ind/>
    </w:pPr>
  </w:style>
  <w:style w:type="character" w:styleId="1127" w:customStyle="1">
    <w:name w:val="hide_mobile"/>
    <w:basedOn w:val="1017"/>
    <w:pPr>
      <w:pBdr/>
      <w:spacing/>
      <w:ind/>
    </w:pPr>
  </w:style>
  <w:style w:type="character" w:styleId="1128">
    <w:name w:val="Emphasis"/>
    <w:basedOn w:val="1017"/>
    <w:uiPriority w:val="20"/>
    <w:qFormat/>
    <w:pPr>
      <w:pBdr/>
      <w:spacing/>
      <w:ind/>
    </w:pPr>
    <w:rPr>
      <w:i/>
      <w:iCs/>
    </w:rPr>
  </w:style>
  <w:style w:type="character" w:styleId="1129" w:customStyle="1">
    <w:name w:val="t1"/>
    <w:basedOn w:val="1017"/>
    <w:pPr>
      <w:pBdr/>
      <w:spacing/>
      <w:ind/>
    </w:pPr>
  </w:style>
  <w:style w:type="character" w:styleId="1130" w:customStyle="1">
    <w:name w:val="Unresolved Mention4"/>
    <w:basedOn w:val="1017"/>
    <w:uiPriority w:val="99"/>
    <w:semiHidden/>
    <w:unhideWhenUsed/>
    <w:pPr>
      <w:pBdr/>
      <w:spacing/>
      <w:ind/>
    </w:pPr>
    <w:rPr>
      <w:color w:val="605e5c"/>
      <w:shd w:val="clear" w:color="auto" w:fill="e1dfdd"/>
    </w:rPr>
  </w:style>
  <w:style w:type="character" w:styleId="1131">
    <w:name w:val="Unresolved Mention"/>
    <w:basedOn w:val="101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meeymap.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514</cp:revision>
  <dcterms:created xsi:type="dcterms:W3CDTF">2025-09-15T02:01:00Z</dcterms:created>
  <dcterms:modified xsi:type="dcterms:W3CDTF">2026-04-02T10:11:44Z</dcterms:modified>
</cp:coreProperties>
</file>