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4111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4111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275/2026/0598/VFI-CT.65.A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CỔ PHẦN TẬP ĐOÀN ĐẦU TƯ GRAND HOME</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w:t>
                            </w:r>
                            <w:r>
                              <w:rPr>
                                <w:color w:val="000000"/>
                              </w:rPr>
                              <w:t xml:space="preserve"> sử dụng đất quyền sở hữu nhà ở và tài sản khác gắn liền với đất</w:t>
                            </w:r>
                            <w:r>
                              <w:rPr>
                                <w:color w:val="000000"/>
                                <w:highlight w:val="white"/>
                              </w:rPr>
                              <w:t xml:space="preserve"> tại</w:t>
                            </w:r>
                            <w:r>
                              <w:rPr>
                                <w:color w:val="000000"/>
                                <w:highlight w:val="white"/>
                              </w:rPr>
                              <w:t xml:space="preserve"> thửa đất số: -/- tờ bản đồ số-/- c</w:t>
                            </w:r>
                            <w:r>
                              <w:rPr>
                                <w:color w:val="000000"/>
                                <w:highlight w:val="white"/>
                              </w:rPr>
                              <w:t xml:space="preserve">ó </w:t>
                            </w:r>
                            <w:r>
                              <w:rPr>
                                <w:color w:val="000000"/>
                              </w:rPr>
                              <w:t xml:space="preserve">địa chỉ: Căn hộ A4 khu nhà ở bán, Phường Trung Văn, Quận Nam Từ Liêm, Hà Nội </w:t>
                            </w:r>
                            <w:r>
                              <w:rPr>
                                <w:bCs/>
                                <w:color w:val="000000" w:themeColor="text1"/>
                                <w:lang w:val="pt-BR"/>
                              </w:rPr>
                              <w:t xml:space="preserve">(nay là phường Thanh Xuân, thành phố Hà Nội)</w:t>
                            </w:r>
                            <w:r>
                              <w:rPr>
                                <w:color w:val="000000"/>
                              </w:rPr>
                              <w:t xml:space="preserve"> t</w:t>
                            </w:r>
                            <w:r>
                              <w:rPr>
                                <w:color w:val="000000"/>
                              </w:rPr>
                              <w:t xml:space="preserve">heo Giấy chứng nhận quyền sử dụng đất quyền sở hữu nhà ở và tài sản khác gắn liền với đất số: BU 932337, số vào sổ cấp GCN: CH00284 do Ủy ban nhân dân quận Nam Từ Liêm cấp ngày 25/11/2014; Chủ sử dụng đất là Ông: Nguyễn Mạnh Hiệp và bà Nguyễn Thị Hạnh Chi</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68.6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275/2026/0598/VFI-CT.65.A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CỔ PHẦN TẬP ĐOÀN ĐẦU TƯ GRAND HOME</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w:t>
                      </w:r>
                      <w:r>
                        <w:rPr>
                          <w:color w:val="000000"/>
                        </w:rPr>
                        <w:t xml:space="preserve"> sử dụng đất quyền sở hữu nhà ở và tài sản khác gắn liền với đất</w:t>
                      </w:r>
                      <w:r>
                        <w:rPr>
                          <w:color w:val="000000"/>
                          <w:highlight w:val="white"/>
                        </w:rPr>
                        <w:t xml:space="preserve"> tại</w:t>
                      </w:r>
                      <w:r>
                        <w:rPr>
                          <w:color w:val="000000"/>
                          <w:highlight w:val="white"/>
                        </w:rPr>
                        <w:t xml:space="preserve"> thửa đất số: -/- tờ bản đồ số-/- c</w:t>
                      </w:r>
                      <w:r>
                        <w:rPr>
                          <w:color w:val="000000"/>
                          <w:highlight w:val="white"/>
                        </w:rPr>
                        <w:t xml:space="preserve">ó </w:t>
                      </w:r>
                      <w:r>
                        <w:rPr>
                          <w:color w:val="000000"/>
                        </w:rPr>
                        <w:t xml:space="preserve">địa chỉ: Căn hộ A4 khu nhà ở bán, Phường Trung Văn, Quận Nam Từ Liêm, Hà Nội </w:t>
                      </w:r>
                      <w:r>
                        <w:rPr>
                          <w:bCs/>
                          <w:color w:val="000000" w:themeColor="text1"/>
                          <w:lang w:val="pt-BR"/>
                        </w:rPr>
                        <w:t xml:space="preserve">(nay là phường Thanh Xuân, thành phố Hà Nội)</w:t>
                      </w:r>
                      <w:r>
                        <w:rPr>
                          <w:color w:val="000000"/>
                        </w:rPr>
                        <w:t xml:space="preserve"> t</w:t>
                      </w:r>
                      <w:r>
                        <w:rPr>
                          <w:color w:val="000000"/>
                        </w:rPr>
                        <w:t xml:space="preserve">heo Giấy chứng nhận quyền sử dụng đất quyền sở hữu nhà ở và tài sản khác gắn liền với đất số: BU 932337, số vào sổ cấp GCN: CH00284 do Ủy ban nhân dân quận Nam Từ Liêm cấp ngày 25/11/2014; Chủ sử dụng đất là Ông: Nguyễn Mạnh Hiệp và bà Nguyễn Thị Hạnh Chi</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right"/>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5"/>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35"/>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168" w:type="dxa"/>
        <w:tblBorders/>
        <w:tblLayout w:type="fixed"/>
        <w:tblLook w:val="04A0" w:firstRow="1" w:lastRow="0" w:firstColumn="1" w:lastColumn="0" w:noHBand="0" w:noVBand="1"/>
      </w:tblPr>
      <w:tblGrid>
        <w:gridCol w:w="29"/>
        <w:gridCol w:w="1559"/>
        <w:gridCol w:w="2835"/>
        <w:gridCol w:w="5746"/>
      </w:tblGrid>
      <w:tr>
        <w:trPr>
          <w:trHeight w:val="1559"/>
        </w:trPr>
        <w:tc>
          <w:tcPr>
            <w:gridSpan w:val="2"/>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3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58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2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08"/>
        </w:trPr>
        <w:tc>
          <w:tcPr>
            <w:gridSpan w:val="2"/>
            <w:shd w:val="clear" w:color="auto" w:fill="auto"/>
            <w:tcBorders/>
            <w:tcMar>
              <w:left w:w="108" w:type="dxa"/>
              <w:top w:w="0" w:type="dxa"/>
              <w:right w:w="108" w:type="dxa"/>
              <w:bottom w:w="0" w:type="dxa"/>
            </w:tcMar>
            <w:tcW w:w="4394" w:type="dxa"/>
            <w:textDirection w:val="lrTb"/>
            <w:noWrap w:val="false"/>
          </w:tcPr>
          <w:p>
            <w:pPr>
              <w:pStyle w:val="1034"/>
              <w:pBdr/>
              <w:spacing w:after="60"/>
              <w:ind/>
              <w:rPr>
                <w:color w:val="000000" w:themeColor="text1"/>
                <w:sz w:val="24"/>
                <w:szCs w:val="24"/>
              </w:rPr>
            </w:pPr>
            <w:r>
              <w:rPr>
                <w:rStyle w:val="1033"/>
                <w:rFonts w:ascii="Times New Roman" w:hAnsi="Times New Roman"/>
                <w:color w:val="000000" w:themeColor="text1"/>
                <w:lang w:val="pt-BR"/>
              </w:rPr>
              <w:t xml:space="preserve">Số: </w:t>
            </w:r>
            <w:r>
              <w:rPr>
                <w:rStyle w:val="1033"/>
                <w:rFonts w:ascii="Times New Roman" w:hAnsi="Times New Roman"/>
                <w:color w:val="000000" w:themeColor="text1"/>
                <w:lang w:val="pt-BR"/>
              </w:rPr>
              <w:t xml:space="preserve">275/2026/0598/VFI-CT.</w:t>
            </w:r>
            <w:r>
              <w:rPr>
                <w:rStyle w:val="1033"/>
                <w:rFonts w:ascii="Times New Roman" w:hAnsi="Times New Roman"/>
                <w:color w:val="000000" w:themeColor="text1"/>
                <w:lang w:val="pt-BR"/>
              </w:rPr>
              <w:t xml:space="preserve">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746" w:type="dxa"/>
            <w:textDirection w:val="lrTb"/>
            <w:noWrap w:val="false"/>
          </w:tcPr>
          <w:p>
            <w:pPr>
              <w:pStyle w:val="1034"/>
              <w:pBdr/>
              <w:spacing w:after="60"/>
              <w:ind w:right="-56"/>
              <w:jc w:val="right"/>
              <w:rPr>
                <w:color w:val="000000" w:themeColor="text1"/>
                <w:sz w:val="24"/>
                <w:szCs w:val="24"/>
                <w:lang w:val="vi-VN"/>
              </w:rPr>
            </w:pPr>
            <w:r>
              <w:rPr>
                <w:rStyle w:val="1033"/>
                <w:rFonts w:ascii="Times New Roman" w:hAnsi="Times New Roman"/>
                <w:i/>
                <w:color w:val="auto"/>
              </w:rPr>
              <w:t xml:space="preserve">TP. Hà Nội</w:t>
            </w:r>
            <w:r>
              <w:rPr>
                <w:rStyle w:val="1033"/>
                <w:rFonts w:ascii="Times New Roman" w:hAnsi="Times New Roman"/>
                <w:i/>
                <w:color w:val="auto"/>
                <w:lang w:val="vi-VN"/>
              </w:rPr>
              <w:t xml:space="preserve">, </w:t>
            </w:r>
            <w:r>
              <w:rPr>
                <w:rStyle w:val="1033"/>
                <w:rFonts w:ascii="Times New Roman" w:hAnsi="Times New Roman"/>
                <w:i/>
                <w:color w:val="000000" w:themeColor="text1"/>
                <w:lang w:val="vi-VN"/>
              </w:rPr>
              <w:t xml:space="preserve">ngày 18 tháng 4 năm 2026</w:t>
            </w:r>
            <w:r>
              <w:rPr>
                <w:color w:val="000000" w:themeColor="text1"/>
                <w:sz w:val="24"/>
                <w:szCs w:val="24"/>
                <w:lang w:val="vi-VN"/>
              </w:rPr>
            </w:r>
            <w:r>
              <w:rPr>
                <w:color w:val="000000" w:themeColor="text1"/>
                <w:sz w:val="24"/>
                <w:szCs w:val="24"/>
                <w:lang w:val="vi-VN"/>
              </w:rPr>
            </w:r>
          </w:p>
        </w:tc>
      </w:tr>
    </w:tbl>
    <w:p>
      <w:pPr>
        <w:pStyle w:val="1034"/>
        <w:pBdr/>
        <w:spacing w:after="120" w:before="200" w:line="288" w:lineRule="auto"/>
        <w:ind/>
        <w:jc w:val="center"/>
        <w:rPr>
          <w:rStyle w:val="1033"/>
          <w:rFonts w:ascii="Times New Roman" w:hAnsi="Times New Roman"/>
          <w:b/>
          <w:bCs/>
          <w:color w:val="auto"/>
          <w:sz w:val="30"/>
          <w:szCs w:val="30"/>
          <w:lang w:val="vi-VN"/>
        </w:rPr>
      </w:pPr>
      <w:r>
        <w:rPr>
          <w:rStyle w:val="1033"/>
          <w:rFonts w:ascii="Times New Roman" w:hAnsi="Times New Roman"/>
          <w:b/>
          <w:bCs/>
          <w:color w:val="auto"/>
          <w:sz w:val="30"/>
          <w:szCs w:val="30"/>
          <w:lang w:val="vi-VN"/>
        </w:rPr>
        <w:t xml:space="preserve">CHỨNG THƯ THẨM ĐỊNH GIÁ</w:t>
      </w:r>
      <w:r>
        <w:rPr>
          <w:rStyle w:val="1033"/>
          <w:rFonts w:ascii="Times New Roman" w:hAnsi="Times New Roman"/>
          <w:b/>
          <w:bCs/>
          <w:color w:val="auto"/>
          <w:sz w:val="30"/>
          <w:szCs w:val="30"/>
          <w:lang w:val="vi-VN"/>
        </w:rPr>
      </w:r>
      <w:r>
        <w:rPr>
          <w:rStyle w:val="103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CỔ PHẦN TẬP ĐOÀN ĐẦU TƯ GRAND HOME</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275/2026/0598/VFI-HĐTĐ.65.A</w:t>
      </w:r>
      <w:r>
        <w:rPr>
          <w:spacing w:val="-4"/>
          <w:lang w:val="vi-VN"/>
        </w:rPr>
        <w:t xml:space="preserve"> ký ngày </w:t>
      </w:r>
      <w:r>
        <w:rPr>
          <w:color w:val="000000" w:themeColor="text1"/>
          <w:spacing w:val="-4"/>
        </w:rPr>
        <w:t xml:space="preserve">10 tháng 4 năm 2026</w:t>
      </w:r>
      <w:r>
        <w:rPr>
          <w:spacing w:val="-4"/>
          <w:lang w:val="vi-VN"/>
        </w:rPr>
        <w:t xml:space="preserve"> </w:t>
      </w:r>
      <w:r>
        <w:rPr>
          <w:spacing w:val="-4"/>
          <w:lang w:val="vi-VN"/>
        </w:rPr>
        <w:t xml:space="preserve">giữa </w:t>
      </w:r>
      <w:r>
        <w:rPr>
          <w:color w:val="000000" w:themeColor="text1"/>
          <w:spacing w:val="-4"/>
        </w:rPr>
        <w:t xml:space="preserve">CÔNG TY CỔ PHẦN TẬP ĐOÀN ĐẦU TƯ GRAND HOME</w:t>
      </w:r>
      <w:r>
        <w:rPr>
          <w:bCs/>
        </w:rPr>
        <w:t xml:space="preserve"> </w:t>
      </w:r>
      <w:r>
        <w:rPr>
          <w:spacing w:val="-6"/>
        </w:rPr>
        <w:t xml:space="preserve">v</w:t>
      </w:r>
      <w:r>
        <w:rPr>
          <w:spacing w:val="-6"/>
        </w:rPr>
        <w:t xml:space="preserve">ới</w:t>
      </w:r>
      <w:r>
        <w:rPr>
          <w:spacing w:val="-6"/>
        </w:rPr>
        <w:t xml:space="preserve"> </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275/2026/0598/VFI-BC.65.A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18 tháng 4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rPr/>
            </w:pPr>
            <w:r>
              <w:rPr>
                <w:rFonts w:ascii="Times New Roman" w:hAnsi="Times New Roman" w:eastAsia="Times New Roman" w:cs="Times New Roman"/>
                <w:b/>
                <w:color w:val="000000"/>
                <w:sz w:val="24"/>
              </w:rPr>
              <w:t xml:space="preserve">Tên khách hàng</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pPr>
            <w:r>
              <w:rPr>
                <w:rFonts w:ascii="Times New Roman" w:hAnsi="Times New Roman" w:eastAsia="Times New Roman" w:cs="Times New Roman"/>
                <w:b/>
                <w:color w:val="000000"/>
                <w:sz w:val="24"/>
              </w:rPr>
              <w:t xml:space="preserve">CÔNG TY CỔ PHẦN TẬP ĐOÀN ĐẦU TƯ GRAND HOME</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rPr/>
            </w:pPr>
            <w:r>
              <w:rPr>
                <w:rFonts w:ascii="Times New Roman" w:hAnsi="Times New Roman" w:eastAsia="Times New Roman" w:cs="Times New Roman"/>
                <w:color w:val="000000"/>
                <w:sz w:val="24"/>
              </w:rPr>
              <w:t xml:space="preserve">Đại diện</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pPr>
            <w:r>
              <w:rPr>
                <w:rFonts w:ascii="Times New Roman" w:hAnsi="Times New Roman" w:eastAsia="Times New Roman" w:cs="Times New Roman"/>
                <w:color w:val="000000"/>
                <w:sz w:val="24"/>
              </w:rPr>
              <w:t xml:space="preserve">Ông Phùng Việt Quang</w:t>
            </w:r>
            <w:r/>
          </w:p>
        </w:tc>
      </w:tr>
      <w:tr>
        <w:trPr>
          <w:trHeight w:val="20"/>
        </w:trPr>
        <w:tc>
          <w:tcPr>
            <w:shd w:val="clear" w:color="ffffff" w:fill="ffffff"/>
            <w:tcBorders/>
            <w:tcW w:w="1109" w:type="pct"/>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rPr/>
            </w:pPr>
            <w:r>
              <w:rPr>
                <w:rFonts w:ascii="Times New Roman" w:hAnsi="Times New Roman" w:eastAsia="Times New Roman" w:cs="Times New Roman"/>
                <w:color w:val="000000"/>
                <w:sz w:val="24"/>
              </w:rPr>
              <w:t xml:space="preserve">Chức vụ</w:t>
            </w:r>
            <w:r/>
          </w:p>
        </w:tc>
        <w:tc>
          <w:tcPr>
            <w:shd w:val="clear" w:color="ffffff" w:fill="ffffff"/>
            <w:tcBorders/>
            <w:tcW w:w="248" w:type="pct"/>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pPr>
            <w:r>
              <w:rPr>
                <w:rFonts w:ascii="Times New Roman" w:hAnsi="Times New Roman" w:eastAsia="Times New Roman" w:cs="Times New Roman"/>
                <w:color w:val="000000"/>
                <w:sz w:val="24"/>
              </w:rPr>
              <w:t xml:space="preserve">Tổng Giám Đốc</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rPr/>
            </w:pPr>
            <w:r>
              <w:rPr>
                <w:rFonts w:ascii="Times New Roman" w:hAnsi="Times New Roman" w:eastAsia="Times New Roman" w:cs="Times New Roman"/>
                <w:color w:val="000000"/>
                <w:sz w:val="24"/>
              </w:rPr>
              <w:t xml:space="preserve">Địa chỉ</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pPr>
            <w:r>
              <w:rPr>
                <w:rFonts w:ascii="Times New Roman" w:hAnsi="Times New Roman" w:eastAsia="Times New Roman" w:cs="Times New Roman"/>
                <w:color w:val="000000"/>
                <w:sz w:val="24"/>
              </w:rPr>
              <w:t xml:space="preserve">Nhà số 5 – V6A, Khu đô thị mới Văn Phú, đường Lê Trọng Tấn, phường Phú La, quận Hà Đông, thành phố Hà Nội</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rPr/>
            </w:pPr>
            <w:r>
              <w:rPr>
                <w:rFonts w:ascii="Times New Roman" w:hAnsi="Times New Roman" w:eastAsia="Times New Roman" w:cs="Times New Roman"/>
                <w:color w:val="000000"/>
                <w:sz w:val="24"/>
              </w:rPr>
              <w:t xml:space="preserve">Mã số thuế</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pPr>
            <w:r>
              <w:rPr>
                <w:rFonts w:ascii="Times New Roman" w:hAnsi="Times New Roman" w:eastAsia="Times New Roman" w:cs="Times New Roman"/>
                <w:color w:val="000000"/>
                <w:sz w:val="24"/>
              </w:rPr>
              <w:t xml:space="preserve">0108380685</w:t>
            </w: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983" w:type="dxa"/>
        <w:tblBorders/>
        <w:tblLayout w:type="fixed"/>
        <w:tblLook w:val="04A0" w:firstRow="1" w:lastRow="0" w:firstColumn="1" w:lastColumn="0" w:noHBand="0" w:noVBand="1"/>
      </w:tblPr>
      <w:tblGrid>
        <w:gridCol w:w="2269"/>
        <w:gridCol w:w="289"/>
        <w:gridCol w:w="742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42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42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42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42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42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42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42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425" w:type="dxa"/>
            <w:vAlign w:val="center"/>
            <w:textDirection w:val="lrTb"/>
            <w:noWrap w:val="false"/>
          </w:tcPr>
          <w:p>
            <w:pPr>
              <w:pBdr/>
              <w:spacing w:after="40" w:before="40" w:line="276" w:lineRule="auto"/>
              <w:ind/>
              <w:rPr>
                <w:b/>
                <w:bCs/>
                <w:lang w:val="vi-VN"/>
              </w:rPr>
            </w:pPr>
            <w:r>
              <w:rPr>
                <w:b/>
                <w:bCs/>
                <w:lang w:val="vi-VN"/>
              </w:rPr>
              <w:t xml:space="preserve">Ông </w:t>
            </w:r>
            <w:r>
              <w:rPr>
                <w:b/>
                <w:bCs/>
              </w:rPr>
              <w:t xml:space="preserve">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có địa chỉ: Căn hộ A4 khu nhà ở bán, Phường Trung Văn, Quận Nam Từ Liêm, Hà Nội </w:t>
      </w:r>
      <w:r>
        <w:rPr>
          <w:bCs/>
          <w:color w:val="000000" w:themeColor="text1"/>
          <w:lang w:val="pt-BR"/>
        </w:rPr>
        <w:t xml:space="preserve">(nay là phường Thanh Xuân, thành phố Hà Nội)</w:t>
      </w:r>
      <w:r>
        <w:rPr>
          <w:color w:val="000000" w:themeColor="text1"/>
        </w:rPr>
        <w:t xml:space="preserve"> t</w:t>
      </w:r>
      <w:r>
        <w:rPr>
          <w:color w:val="000000" w:themeColor="text1"/>
        </w:rPr>
        <w:t xml:space="preserve">heo Giấy chứng nhận quyền sử dụng đất quyền sở hữu nhà ở và tài sản khác gắn liền với đất  số: BU 932337, số vào sổ cấp GCN: CH00284 do Ủy ban nhân dân quận Nam Từ Liêm cấp ngày 25/11/2014; Chủ sử dụng đất là Ông: Nguyễn Mạnh Hiệp và bà Nguyễn Thị Hạnh Chi</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04/2026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04/2026</w:t>
      </w:r>
      <w:r>
        <w:rPr>
          <w:lang w:val="vi-VN"/>
        </w:rPr>
        <w:t xml:space="preserve"> ước tính</w:t>
      </w:r>
      <w:r>
        <w:t xml:space="preserve"> </w:t>
      </w:r>
      <w:r>
        <w:rPr>
          <w:lang w:val="vi-VN"/>
        </w:rPr>
        <w:t xml:space="preserve">như sau:</w:t>
      </w:r>
      <w:r/>
    </w:p>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046"/>
        <w:gridCol w:w="2206"/>
        <w:gridCol w:w="1364"/>
        <w:gridCol w:w="1867"/>
        <w:gridCol w:w="1405"/>
        <w:gridCol w:w="2227"/>
      </w:tblGrid>
      <w:tr>
        <w:trPr>
          <w:trHeight w:val="624"/>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04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36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86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4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Tỷ lệ chất lượng còn lại (%)</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2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Thành tiền (đồng)</w:t>
            </w:r>
            <w:r/>
          </w:p>
        </w:tc>
      </w:tr>
      <w:tr>
        <w:trPr>
          <w:trHeight w:val="2448"/>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104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 </w:t>
            </w:r>
            <w:r/>
          </w:p>
        </w:tc>
        <w:tc>
          <w:tcPr>
            <w:gridSpan w:val="4"/>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684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Quyền sử dụng đất quyền sở hữu nhà ở và tài sản khác gắn liền với đất tại thửa đất số: -/- tờ bản đồ số-/- có địa chỉ: Căn hộ A4 khu nhà ở bán, Phường Trung Văn, Quận Nam Từ Liêm, Hà Nội (nay là phường Thanh Xuân, thành phố Hà Nội) theo Giấy chứng nhận quy</w:t>
            </w:r>
            <w:r>
              <w:rPr>
                <w:rFonts w:ascii="Times New Roman" w:hAnsi="Times New Roman" w:eastAsia="Times New Roman" w:cs="Times New Roman"/>
                <w:color w:val="000000"/>
                <w:sz w:val="24"/>
              </w:rPr>
              <w:t xml:space="preserve">ền sử dụng đất quyền sở hữu nhà ở và tài sản khác gắn liền với đất  số: BU 932337, số vào sổ cấp GCN: CH00284 do Ủy ban nhân dân quận Nam Từ Liêm cấp ngày 25/11/2014; Chủ sử dụng đất là Ông: Nguyễn Mạnh Hiệp và bà Nguyễn Thị Hạnh Chi</w:t>
            </w:r>
            <w:r>
              <w:rPr>
                <w:rFonts w:ascii="Times New Roman" w:hAnsi="Times New Roman" w:eastAsia="Times New Roman" w:cs="Times New Roman"/>
                <w:b/>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27" w:type="dxa"/>
            <w:vAlign w:val="center"/>
            <w:textDirection w:val="lrTb"/>
            <w:noWrap w:val="false"/>
          </w:tcPr>
          <w:p>
            <w:pPr>
              <w:pBdr/>
              <w:spacing w:after="0" w:before="0" w:line="240" w:lineRule="auto"/>
              <w:ind/>
              <w:jc w:val="right"/>
              <w:rPr/>
            </w:pPr>
            <w:r>
              <w:rPr>
                <w:rFonts w:ascii="Times New Roman" w:hAnsi="Times New Roman" w:eastAsia="Times New Roman" w:cs="Times New Roman"/>
                <w:b/>
                <w:color w:val="000000"/>
                <w:sz w:val="24"/>
              </w:rPr>
              <w:t xml:space="preserve"> </w:t>
            </w:r>
            <w:r/>
          </w:p>
        </w:tc>
      </w:tr>
      <w:tr>
        <w:trPr>
          <w:trHeight w:val="31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104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w:t>
            </w:r>
            <w:r/>
          </w:p>
        </w:tc>
        <w:tc>
          <w:tcPr>
            <w:shd w:val="clear" w:color="ffffff" w:fill="ffffff"/>
            <w:tcBorders>
              <w:bottom w:val="single" w:color="000000" w:sz="6" w:space="0"/>
              <w:right w:val="single" w:color="000000" w:sz="6" w:space="0"/>
            </w:tcBorders>
            <w:tcMar>
              <w:left w:w="0" w:type="dxa"/>
              <w:top w:w="0" w:type="dxa"/>
              <w:right w:w="0" w:type="dxa"/>
              <w:bottom w:w="0" w:type="dxa"/>
            </w:tcMar>
            <w:tcW w:w="220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Đất ở tại đô thị</w:t>
            </w:r>
            <w:r/>
          </w:p>
        </w:tc>
        <w:tc>
          <w:tcPr>
            <w:tcBorders>
              <w:bottom w:val="single" w:color="000000" w:sz="6" w:space="0"/>
              <w:right w:val="single" w:color="000000" w:sz="6" w:space="0"/>
            </w:tcBorders>
            <w:tcMar>
              <w:left w:w="0" w:type="dxa"/>
              <w:top w:w="0" w:type="dxa"/>
              <w:right w:w="0" w:type="dxa"/>
              <w:bottom w:w="0" w:type="dxa"/>
            </w:tcMar>
            <w:tcW w:w="136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58,8</w:t>
            </w:r>
            <w:r/>
          </w:p>
        </w:tc>
        <w:tc>
          <w:tcPr>
            <w:shd w:val="clear" w:color="ffffff" w:fill="ffffff"/>
            <w:tcBorders>
              <w:bottom w:val="single" w:color="000000" w:sz="6" w:space="0"/>
              <w:right w:val="single" w:color="000000" w:sz="6" w:space="0"/>
            </w:tcBorders>
            <w:tcMar>
              <w:left w:w="0" w:type="dxa"/>
              <w:top w:w="0" w:type="dxa"/>
              <w:right w:w="0" w:type="dxa"/>
              <w:bottom w:w="0" w:type="dxa"/>
            </w:tcMar>
            <w:tcW w:w="186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350.000.000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4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2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20.580.000.000</w:t>
            </w:r>
            <w:r/>
          </w:p>
        </w:tc>
      </w:tr>
      <w:tr>
        <w:trPr>
          <w:trHeight w:val="31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104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w:t>
            </w:r>
            <w:r/>
          </w:p>
        </w:tc>
        <w:tc>
          <w:tcPr>
            <w:shd w:val="clear" w:color="ffffff" w:fill="ffffff"/>
            <w:tcBorders>
              <w:bottom w:val="single" w:color="000000" w:sz="6" w:space="0"/>
              <w:right w:val="single" w:color="000000" w:sz="6" w:space="0"/>
            </w:tcBorders>
            <w:tcMar>
              <w:left w:w="0" w:type="dxa"/>
              <w:top w:w="0" w:type="dxa"/>
              <w:right w:w="0" w:type="dxa"/>
              <w:bottom w:w="0" w:type="dxa"/>
            </w:tcMar>
            <w:tcW w:w="220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Nhà ở 4 tầng</w:t>
            </w:r>
            <w:r/>
          </w:p>
        </w:tc>
        <w:tc>
          <w:tcPr>
            <w:tcBorders>
              <w:bottom w:val="single" w:color="000000" w:sz="6" w:space="0"/>
              <w:right w:val="single" w:color="000000" w:sz="6" w:space="0"/>
            </w:tcBorders>
            <w:tcMar>
              <w:left w:w="0" w:type="dxa"/>
              <w:top w:w="0" w:type="dxa"/>
              <w:right w:w="0" w:type="dxa"/>
              <w:bottom w:w="0" w:type="dxa"/>
            </w:tcMar>
            <w:tcW w:w="136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235,2</w:t>
            </w:r>
            <w:r/>
          </w:p>
        </w:tc>
        <w:tc>
          <w:tcPr>
            <w:shd w:val="clear" w:color="ffffff" w:fill="ffffff"/>
            <w:tcBorders>
              <w:bottom w:val="single" w:color="000000" w:sz="6" w:space="0"/>
              <w:right w:val="single" w:color="000000" w:sz="6" w:space="0"/>
            </w:tcBorders>
            <w:tcMar>
              <w:left w:w="0" w:type="dxa"/>
              <w:top w:w="0" w:type="dxa"/>
              <w:right w:w="0" w:type="dxa"/>
              <w:bottom w:w="0" w:type="dxa"/>
            </w:tcMar>
            <w:tcW w:w="186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7.353.767</w:t>
            </w:r>
            <w:r/>
          </w:p>
        </w:tc>
        <w:tc>
          <w:tcPr>
            <w:shd w:val="clear" w:color="ffffff" w:fill="ffffff"/>
            <w:tcBorders>
              <w:bottom w:val="single" w:color="000000" w:sz="6" w:space="0"/>
              <w:right w:val="single" w:color="000000" w:sz="6" w:space="0"/>
            </w:tcBorders>
            <w:tcMar>
              <w:left w:w="0" w:type="dxa"/>
              <w:top w:w="0" w:type="dxa"/>
              <w:right w:w="0" w:type="dxa"/>
              <w:bottom w:w="0" w:type="dxa"/>
            </w:tcMar>
            <w:tcW w:w="14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78%</w:t>
            </w:r>
            <w:r/>
          </w:p>
        </w:tc>
        <w:tc>
          <w:tcPr>
            <w:shd w:val="clear" w:color="ffffff" w:fill="ffffff"/>
            <w:tcBorders>
              <w:bottom w:val="single" w:color="000000" w:sz="6" w:space="0"/>
              <w:right w:val="single" w:color="000000" w:sz="6" w:space="0"/>
            </w:tcBorders>
            <w:tcMar>
              <w:left w:w="0" w:type="dxa"/>
              <w:top w:w="0" w:type="dxa"/>
              <w:right w:w="0" w:type="dxa"/>
              <w:bottom w:w="0" w:type="dxa"/>
            </w:tcMar>
            <w:tcW w:w="222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1.349.092.679</w:t>
            </w:r>
            <w:r/>
          </w:p>
        </w:tc>
      </w:tr>
      <w:tr>
        <w:trPr>
          <w:trHeight w:val="312"/>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48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6" w:space="0"/>
              <w:right w:val="single" w:color="000000" w:sz="6" w:space="0"/>
            </w:tcBorders>
            <w:tcMar>
              <w:left w:w="0" w:type="dxa"/>
              <w:top w:w="0" w:type="dxa"/>
              <w:right w:w="0" w:type="dxa"/>
              <w:bottom w:w="0" w:type="dxa"/>
            </w:tcMar>
            <w:tcW w:w="14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 </w:t>
            </w:r>
            <w:r/>
          </w:p>
        </w:tc>
        <w:tc>
          <w:tcPr>
            <w:tcBorders>
              <w:bottom w:val="single" w:color="000000" w:sz="6" w:space="0"/>
              <w:right w:val="single" w:color="000000" w:sz="6" w:space="0"/>
            </w:tcBorders>
            <w:tcMar>
              <w:left w:w="0" w:type="dxa"/>
              <w:top w:w="0" w:type="dxa"/>
              <w:right w:w="0" w:type="dxa"/>
              <w:bottom w:w="0" w:type="dxa"/>
            </w:tcMar>
            <w:tcW w:w="222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21.929.092.679</w:t>
            </w:r>
            <w:r/>
          </w:p>
        </w:tc>
      </w:tr>
      <w:tr>
        <w:trPr>
          <w:trHeight w:val="312"/>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48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bottom w:val="single" w:color="000000" w:sz="6" w:space="0"/>
              <w:right w:val="single" w:color="000000" w:sz="6" w:space="0"/>
            </w:tcBorders>
            <w:tcMar>
              <w:left w:w="0" w:type="dxa"/>
              <w:top w:w="0" w:type="dxa"/>
              <w:right w:w="0" w:type="dxa"/>
              <w:bottom w:w="0" w:type="dxa"/>
            </w:tcMar>
            <w:tcW w:w="14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 </w:t>
            </w:r>
            <w:r/>
          </w:p>
        </w:tc>
        <w:tc>
          <w:tcPr>
            <w:tcBorders>
              <w:bottom w:val="single" w:color="000000" w:sz="6" w:space="0"/>
              <w:right w:val="single" w:color="000000" w:sz="6" w:space="0"/>
            </w:tcBorders>
            <w:tcMar>
              <w:left w:w="0" w:type="dxa"/>
              <w:top w:w="0" w:type="dxa"/>
              <w:right w:w="0" w:type="dxa"/>
              <w:bottom w:w="0" w:type="dxa"/>
            </w:tcMar>
            <w:tcW w:w="222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21.929.000.000</w:t>
            </w:r>
            <w:r/>
          </w:p>
        </w:tc>
      </w:tr>
      <w:tr>
        <w:trPr>
          <w:trHeight w:val="324"/>
        </w:trPr>
        <w:tc>
          <w:tcPr>
            <w:gridSpan w:val="6"/>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0115" w:type="dxa"/>
            <w:vAlign w:val="center"/>
            <w:textDirection w:val="lrTb"/>
            <w:noWrap w:val="false"/>
          </w:tcPr>
          <w:p>
            <w:pPr>
              <w:pBdr/>
              <w:spacing w:after="0" w:before="0" w:line="240" w:lineRule="auto"/>
              <w:ind/>
              <w:jc w:val="center"/>
              <w:rPr/>
            </w:pPr>
            <w:r>
              <w:rPr>
                <w:rFonts w:ascii="Times New Roman" w:hAnsi="Times New Roman" w:eastAsia="Times New Roman" w:cs="Times New Roman"/>
                <w:b/>
                <w:i/>
                <w:color w:val="000000"/>
                <w:sz w:val="24"/>
              </w:rPr>
              <w:t xml:space="preserve">(Bằng chữ: Hai mươi mốt tỷ chín trăm hai mươi chín triệu đồng./.)</w:t>
            </w: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spacing w:val="-4"/>
          <w:lang w:val="pt-BR"/>
        </w:rPr>
      </w:pPr>
      <w:r>
        <w:rPr>
          <w:lang w:val="pt-BR"/>
        </w:rPr>
        <w:t xml:space="preserve">- </w:t>
      </w:r>
      <w:r>
        <w:rPr>
          <w:lang w:val="pt-BR"/>
        </w:rPr>
        <w:t xml:space="preserve">Chi tiết như Báo cáo kèm theo.</w:t>
      </w:r>
      <w:r>
        <w:rPr>
          <w:rFonts w:eastAsia="Calibri"/>
          <w:b/>
          <w:spacing w:val="-4"/>
          <w:lang w:val="pt-BR"/>
        </w:rPr>
      </w:r>
      <w:r>
        <w:rPr>
          <w:rFonts w:eastAsia="Calibri"/>
          <w:b/>
          <w:spacing w:val="-4"/>
          <w:lang w:val="pt-BR"/>
        </w:rPr>
      </w:r>
    </w:p>
    <w:p>
      <w:pPr>
        <w:pBdr/>
        <w:spacing w:after="120" w:before="120" w:line="312" w:lineRule="auto"/>
        <w:ind/>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98" w:type="pct"/>
        <w:tblBorders/>
        <w:tblLook w:val="01E0" w:firstRow="1" w:lastRow="1" w:firstColumn="1" w:lastColumn="1" w:noHBand="0" w:noVBand="0"/>
      </w:tblPr>
      <w:tblGrid>
        <w:gridCol w:w="4768"/>
        <w:gridCol w:w="4563"/>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54"/>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55" w:type="dxa"/>
        <w:tblBorders/>
        <w:tblLayout w:type="fixed"/>
        <w:tblLook w:val="04A0" w:firstRow="1" w:lastRow="0" w:firstColumn="1" w:lastColumn="0" w:noHBand="0" w:noVBand="1"/>
      </w:tblPr>
      <w:tblGrid>
        <w:gridCol w:w="29"/>
        <w:gridCol w:w="1559"/>
        <w:gridCol w:w="3118"/>
        <w:gridCol w:w="5349"/>
      </w:tblGrid>
      <w:tr>
        <w:trPr>
          <w:trHeight w:val="1701"/>
        </w:trPr>
        <w:tc>
          <w:tcPr>
            <w:gridSpan w:val="2"/>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46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263"/>
        </w:trPr>
        <w:tc>
          <w:tcPr>
            <w:gridSpan w:val="2"/>
            <w:shd w:val="clear" w:color="auto" w:fill="auto"/>
            <w:tcBorders/>
            <w:tcMar>
              <w:left w:w="108" w:type="dxa"/>
              <w:top w:w="0" w:type="dxa"/>
              <w:right w:w="108" w:type="dxa"/>
              <w:bottom w:w="0" w:type="dxa"/>
            </w:tcMar>
            <w:tcW w:w="4677" w:type="dxa"/>
            <w:textDirection w:val="lrTb"/>
            <w:noWrap w:val="false"/>
          </w:tcPr>
          <w:p>
            <w:pPr>
              <w:pStyle w:val="1034"/>
              <w:pBdr/>
              <w:spacing w:after="60"/>
              <w:ind/>
              <w:rPr>
                <w:color w:val="000000" w:themeColor="text1"/>
                <w:sz w:val="24"/>
                <w:szCs w:val="24"/>
              </w:rPr>
            </w:pPr>
            <w:r>
              <w:rPr>
                <w:rStyle w:val="1033"/>
                <w:rFonts w:ascii="Times New Roman" w:hAnsi="Times New Roman"/>
                <w:color w:val="000000" w:themeColor="text1"/>
                <w:lang w:val="pt-BR"/>
              </w:rPr>
              <w:t xml:space="preserve">Số: </w:t>
            </w:r>
            <w:r>
              <w:rPr>
                <w:rStyle w:val="1033"/>
                <w:rFonts w:ascii="Times New Roman" w:hAnsi="Times New Roman"/>
                <w:color w:val="000000" w:themeColor="text1"/>
                <w:lang w:val="pt-BR"/>
              </w:rPr>
              <w:t xml:space="preserve">275/2026/0598/VFI-</w:t>
            </w:r>
            <w:r>
              <w:rPr>
                <w:rStyle w:val="1033"/>
                <w:rFonts w:ascii="Times New Roman" w:hAnsi="Times New Roman"/>
                <w:color w:val="000000" w:themeColor="text1"/>
                <w:lang w:val="pt-BR"/>
              </w:rPr>
              <w:t xml:space="preserve">BC.65.A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349" w:type="dxa"/>
            <w:textDirection w:val="lrTb"/>
            <w:noWrap w:val="false"/>
          </w:tcPr>
          <w:p>
            <w:pPr>
              <w:pStyle w:val="1034"/>
              <w:pBdr/>
              <w:spacing w:after="60"/>
              <w:ind w:right="-56"/>
              <w:jc w:val="right"/>
              <w:rPr>
                <w:color w:val="000000" w:themeColor="text1"/>
                <w:sz w:val="24"/>
                <w:szCs w:val="24"/>
                <w:lang w:val="vi-VN"/>
              </w:rPr>
            </w:pPr>
            <w:r>
              <w:rPr>
                <w:rStyle w:val="1033"/>
                <w:rFonts w:ascii="Times New Roman" w:hAnsi="Times New Roman"/>
                <w:i/>
                <w:color w:val="auto"/>
              </w:rPr>
              <w:t xml:space="preserve">TP. Hà Nội</w:t>
            </w:r>
            <w:r>
              <w:rPr>
                <w:rStyle w:val="1033"/>
                <w:rFonts w:ascii="Times New Roman" w:hAnsi="Times New Roman"/>
                <w:i/>
                <w:color w:val="auto"/>
                <w:lang w:val="vi-VN"/>
              </w:rPr>
              <w:t xml:space="preserve">, </w:t>
            </w:r>
            <w:r>
              <w:rPr>
                <w:rStyle w:val="1033"/>
                <w:rFonts w:ascii="Times New Roman" w:hAnsi="Times New Roman"/>
                <w:i/>
                <w:color w:val="000000" w:themeColor="text1"/>
                <w:lang w:val="vi-VN"/>
              </w:rPr>
              <w:t xml:space="preserve">ngày 18 tháng 4 năm 2026</w:t>
            </w:r>
            <w:r>
              <w:rPr>
                <w:color w:val="000000" w:themeColor="text1"/>
                <w:sz w:val="24"/>
                <w:szCs w:val="24"/>
                <w:lang w:val="vi-VN"/>
              </w:rPr>
            </w:r>
            <w:r>
              <w:rPr>
                <w:color w:val="000000" w:themeColor="text1"/>
                <w:sz w:val="24"/>
                <w:szCs w:val="24"/>
                <w:lang w:val="vi-VN"/>
              </w:rPr>
            </w:r>
          </w:p>
        </w:tc>
      </w:tr>
    </w:tbl>
    <w:p>
      <w:pPr>
        <w:pStyle w:val="103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275/2026/0598/VFI-CT.65.A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18 tháng 4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 </w:t>
            </w:r>
            <w:r>
              <w:rPr>
                <w:b/>
                <w:bCs/>
              </w:rPr>
              <w:t xml:space="preserve">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rPr/>
            </w:pPr>
            <w:r>
              <w:rPr>
                <w:rFonts w:ascii="Times New Roman" w:hAnsi="Times New Roman" w:eastAsia="Times New Roman" w:cs="Times New Roman"/>
                <w:b/>
                <w:color w:val="000000"/>
                <w:sz w:val="24"/>
              </w:rPr>
              <w:t xml:space="preserve">Tên khách hàng</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pPr>
            <w:r>
              <w:rPr>
                <w:rFonts w:ascii="Times New Roman" w:hAnsi="Times New Roman" w:eastAsia="Times New Roman" w:cs="Times New Roman"/>
                <w:b/>
                <w:color w:val="000000"/>
                <w:sz w:val="24"/>
              </w:rPr>
              <w:t xml:space="preserve">CÔNG TY CỔ PHẦN TẬP ĐOÀN ĐẦU TƯ GRAND HOME</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rPr/>
            </w:pPr>
            <w:r>
              <w:rPr>
                <w:rFonts w:ascii="Times New Roman" w:hAnsi="Times New Roman" w:eastAsia="Times New Roman" w:cs="Times New Roman"/>
                <w:color w:val="000000"/>
                <w:sz w:val="24"/>
              </w:rPr>
              <w:t xml:space="preserve">Đại diện</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pPr>
            <w:r>
              <w:rPr>
                <w:rFonts w:ascii="Times New Roman" w:hAnsi="Times New Roman" w:eastAsia="Times New Roman" w:cs="Times New Roman"/>
                <w:color w:val="000000"/>
                <w:sz w:val="24"/>
              </w:rPr>
              <w:t xml:space="preserve">Ông Phùng Việt Quang</w:t>
            </w:r>
            <w:r/>
          </w:p>
        </w:tc>
      </w:tr>
      <w:tr>
        <w:trPr>
          <w:trHeight w:val="437"/>
        </w:trPr>
        <w:tc>
          <w:tcPr>
            <w:tcBorders/>
            <w:tcW w:w="251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rPr/>
            </w:pPr>
            <w:r>
              <w:rPr>
                <w:rFonts w:ascii="Times New Roman" w:hAnsi="Times New Roman" w:eastAsia="Times New Roman" w:cs="Times New Roman"/>
                <w:color w:val="000000"/>
                <w:sz w:val="24"/>
              </w:rPr>
              <w:t xml:space="preserve">Chức vụ</w:t>
            </w:r>
            <w:r/>
          </w:p>
        </w:tc>
        <w:tc>
          <w:tcPr>
            <w:tcBorders/>
            <w:tcW w:w="28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pPr>
            <w:r>
              <w:rPr>
                <w:rFonts w:ascii="Times New Roman" w:hAnsi="Times New Roman" w:eastAsia="Times New Roman" w:cs="Times New Roman"/>
                <w:color w:val="000000"/>
                <w:sz w:val="24"/>
              </w:rPr>
              <w:t xml:space="preserve">Tổng Giám Đốc</w:t>
            </w:r>
            <w:r/>
          </w:p>
        </w:tc>
      </w:tr>
      <w:tr>
        <w:trPr>
          <w:trHeight w:val="437"/>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rPr/>
            </w:pPr>
            <w:r>
              <w:rPr>
                <w:rFonts w:ascii="Times New Roman" w:hAnsi="Times New Roman" w:eastAsia="Times New Roman" w:cs="Times New Roman"/>
                <w:color w:val="000000"/>
                <w:sz w:val="24"/>
              </w:rPr>
              <w:t xml:space="preserve">Địa chỉ</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pPr>
            <w:r>
              <w:rPr>
                <w:rFonts w:ascii="Times New Roman" w:hAnsi="Times New Roman" w:eastAsia="Times New Roman" w:cs="Times New Roman"/>
                <w:color w:val="000000"/>
                <w:sz w:val="24"/>
              </w:rPr>
              <w:t xml:space="preserve">Nhà số 5 – V6A, Khu đô thị mới Văn Phú, đường Lê Trọng Tấn, phường Phú La, quận Hà Đông, thành phố Hà Nội</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rPr/>
            </w:pPr>
            <w:r>
              <w:rPr>
                <w:rFonts w:ascii="Times New Roman" w:hAnsi="Times New Roman" w:eastAsia="Times New Roman" w:cs="Times New Roman"/>
                <w:color w:val="000000"/>
                <w:sz w:val="24"/>
              </w:rPr>
              <w:t xml:space="preserve">Mã số thuế</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pPr>
            <w:r>
              <w:rPr>
                <w:rFonts w:ascii="Times New Roman" w:hAnsi="Times New Roman" w:eastAsia="Times New Roman" w:cs="Times New Roman"/>
                <w:color w:val="000000"/>
                <w:sz w:val="24"/>
              </w:rPr>
              <w:t xml:space="preserve">0108380685</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w:t>
            </w:r>
            <w:r>
              <w:rPr>
                <w:rFonts w:ascii="Times New Roman" w:hAnsi="Times New Roman" w:eastAsia="Times New Roman" w:cs="Times New Roman"/>
                <w:color w:val="000000"/>
                <w:sz w:val="24"/>
              </w:rPr>
              <w:t xml:space="preserve">sử dụng đất quyền sở hữu nhà ở và tài sản khác gắn liền với đất tại thửa đất số: -/- tờ bản đồ số-/- có địa chỉ</w:t>
            </w:r>
            <w:r>
              <w:rPr>
                <w:bCs/>
                <w:color w:val="000000" w:themeColor="text1"/>
                <w:lang w:val="pt-BR"/>
              </w:rPr>
              <w:t xml:space="preserve">: Căn hộ A4 khu nhà ở bán, Phường Trung Văn, Quận Nam Từ Liêm, Hà Nội (nay là phường Thanh Xuân, thành phố Hà Nội)  t</w:t>
            </w:r>
            <w:r>
              <w:rPr>
                <w:bCs/>
                <w:color w:val="000000" w:themeColor="text1"/>
                <w:lang w:val="pt-BR"/>
              </w:rPr>
              <w:t xml:space="preserve">heo Giấy chứng nhận quyền sử dụng đất quyền sở hữu nhà ở và tài sản khác gắn liền với đất  số: BU 932337, số vào sổ cấp GCN: CH00284 do Ủy ban nhân dân quận Nam Từ Liêm cấp ngày 25/11/2014; Chủ sử dụng đất là Ông: Nguyễn Mạnh Hiệp và bà Nguyễn Thị Hạnh Chi</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04/2026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Căn hộ A4 khu nhà ở bán, Phường Trung Văn, Quận Nam Từ Liêm,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eastAsia="Times New Roman" w:cs="Times New Roman"/>
                <w:color w:val="000000"/>
                <w:sz w:val="24"/>
              </w:rPr>
              <w:t xml:space="preserve">20.9928652722396, 105.79459424256682</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04/2026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5"/>
        <w:pBdr/>
        <w:tabs>
          <w:tab w:val="left" w:leader="none" w:pos="993"/>
        </w:tabs>
        <w:spacing w:after="120" w:before="120" w:line="276" w:lineRule="auto"/>
        <w:ind w:left="0"/>
        <w:jc w:val="both"/>
        <w:rPr>
          <w:lang w:val="pt-BR"/>
        </w:rPr>
      </w:pPr>
      <w:r>
        <w:rPr>
          <w:bCs/>
          <w:color w:val="000000" w:themeColor="text1"/>
          <w:lang w:val="pt-BR"/>
        </w:rPr>
        <w:t xml:space="preserve">-  </w:t>
      </w:r>
      <w:r>
        <w:rPr>
          <w:b/>
          <w:color w:val="000000" w:themeColor="text1"/>
          <w:lang w:val="pt-BR"/>
        </w:rPr>
        <w:t xml:space="preserve"> </w:t>
      </w:r>
      <w:r>
        <w:rPr>
          <w:lang w:val="pt-BR"/>
        </w:rPr>
        <w:t xml:space="preserve">Luật Giá số 16/2023/QH15 ngày 19/6/2023;</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35"/>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35"/>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35"/>
        <w:numPr>
          <w:ilvl w:val="0"/>
          <w:numId w:val="1"/>
        </w:numPr>
        <w:pBdr/>
        <w:spacing w:after="120" w:before="120" w:line="276" w:lineRule="auto"/>
        <w:ind/>
        <w:jc w:val="both"/>
        <w:rPr>
          <w:bCs/>
          <w:spacing w:val="-4"/>
          <w:highlight w:val="white"/>
        </w:rPr>
      </w:pPr>
      <w:r>
        <w:rPr>
          <w:bCs/>
          <w:spacing w:val="-4"/>
          <w:highlight w:val="white"/>
          <w:lang w:val="pt-BR"/>
        </w:rPr>
        <w:t xml:space="preserve">Q</w:t>
      </w:r>
      <w:r>
        <w:rPr>
          <w:bCs/>
          <w:spacing w:val="-4"/>
          <w:highlight w:val="white"/>
          <w:lang w:val="pt-BR"/>
        </w:rPr>
        <w:t xml:space="preserve">u</w:t>
      </w:r>
      <w:r>
        <w:rPr>
          <w:bCs/>
          <w:spacing w:val="-4"/>
          <w:highlight w:val="white"/>
          <w:lang w:val="pt-BR"/>
        </w:rPr>
        <w:t xml:space="preserve">yết định số 425/QĐ-BXD ngày 30/03/2026 của Bộ Xây dựng về việc Công bố suất vốn đầu tư xây dựng công trình và giá xây dựng tổng hợp bộ phận kết cấu công trình năm 2025;</w:t>
      </w:r>
      <w:r>
        <w:rPr>
          <w:bCs/>
          <w:spacing w:val="-4"/>
          <w:highlight w:val="white"/>
        </w:rPr>
      </w:r>
      <w:r>
        <w:rPr>
          <w:bCs/>
          <w:spacing w:val="-4"/>
          <w:highlight w:val="white"/>
        </w:rPr>
      </w:r>
    </w:p>
    <w:p>
      <w:pPr>
        <w:pStyle w:val="1035"/>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3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BU 932337, số vào sổ cấp GCN: CH00284 do Ủy ban nhân dân quận Nam Từ Liêm cấp ngày 25/11/2014; Chủ sử dụng đất là Ông: Nguyễn Mạnh Hiệp và bà Nguyễn Thị Hạnh Chi</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275/2026/0598/VFI-HĐTĐ.65.A ngày 10/04/2026 giữa CÔNG TY CỔ PHẦN TẬP ĐOÀN ĐẦU TƯ GRAND HOME với Công ty Cổ phần Thẩm định và Đầu tư Tài chính Hoa Sen.</w:t>
      </w:r>
      <w:r>
        <w:rPr>
          <w:b/>
          <w:lang w:val="pt-BR"/>
        </w:rPr>
      </w:r>
      <w:r>
        <w:rPr>
          <w:b/>
          <w:lang w:val="pt-BR"/>
        </w:rPr>
      </w:r>
    </w:p>
    <w:p>
      <w:pPr>
        <w:pStyle w:val="103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jc w:val="both"/>
        <w:rPr>
          <w:iCs/>
        </w:rPr>
      </w:pPr>
      <w:r>
        <w:rPr>
          <w:shd w:val="clear" w:color="auto" w:fill="ffffff"/>
        </w:rPr>
        <w:t xml:space="preserve">Phường Trung Văn được hình thà</w:t>
      </w:r>
      <w:r>
        <w:rPr>
          <w:shd w:val="clear" w:color="auto" w:fill="ffffff"/>
        </w:rPr>
        <w:t xml:space="preserve">nh từ cơ sở 2 làng cổ Trung Văn và Phùng Khoang thuộc huyện Từ Liêm cũ, hiện nay có diện tích là 2,78 km2, thuộc phía Đông Nam quận Nam Từ Liêm. Về vị trí địa lý, phường Trung Văn nằm ở điểm tiếp giáp của quận Nam Từ Liêm với quận Hà Đông và Thanh Xuân, rấ</w:t>
      </w:r>
      <w:r>
        <w:rPr>
          <w:shd w:val="clear" w:color="auto" w:fill="ffffff"/>
        </w:rPr>
        <w:t xml:space="preserve">t nhanh chóng để di chuyển tới ngoài và trong trung tâm thành phố.</w:t>
      </w:r>
      <w:r>
        <w:rPr>
          <w:iCs/>
        </w:rPr>
      </w:r>
      <w:r>
        <w:rPr>
          <w:iCs/>
        </w:rPr>
      </w:r>
    </w:p>
    <w:p>
      <w:pPr>
        <w:pBdr/>
        <w:tabs>
          <w:tab w:val="left" w:leader="none" w:pos="426"/>
        </w:tabs>
        <w:spacing w:after="120" w:before="120" w:line="276" w:lineRule="auto"/>
        <w:ind/>
        <w:jc w:val="both"/>
        <w:rPr/>
      </w:pPr>
      <w:r>
        <w:rPr>
          <w:shd w:val="clear" w:color="auto" w:fill="ffffff"/>
        </w:rPr>
        <w:t xml:space="preserve">Hệ thống giao thông ở phường Trung Văn được hưởng lợi trực tiếp từ các tuyến đường lớn, trong đó không thể không nhắc đến đường Nguyễn Trãi vô cùng quan trọng với hạ tầng giao thông phía T</w:t>
      </w:r>
      <w:r>
        <w:rPr>
          <w:shd w:val="clear" w:color="auto" w:fill="ffffff"/>
        </w:rPr>
        <w:t xml:space="preserve">ây Nam Hà Nội.</w:t>
      </w:r>
      <w:r>
        <w:rPr>
          <w:iCs/>
        </w:rPr>
      </w:r>
      <w:r/>
    </w:p>
    <w:p>
      <w:pPr>
        <w:pBdr/>
        <w:tabs>
          <w:tab w:val="left" w:leader="none" w:pos="426"/>
        </w:tabs>
        <w:spacing w:after="120" w:before="120" w:line="276" w:lineRule="auto"/>
        <w:ind/>
        <w:jc w:val="both"/>
        <w:rPr/>
      </w:pPr>
      <w:r>
        <w:rPr>
          <w:shd w:val="clear" w:color="auto" w:fill="ffffff"/>
        </w:rPr>
        <w:t xml:space="preserve">Hơn nữa, phường Trung Văn cũng nằm trong khu vực hoạt động của tuyến đường sắt trên cao Cát Linh – Hà Đông, vì vậy các cư dân bên cạnh lựa chọn xe buýt truyền thống cũng có thể cân nhắc sử dụng đến tuyến tàu Metro đô thị này.</w:t>
      </w:r>
      <w:r>
        <w:rPr>
          <w:iCs/>
        </w:rPr>
      </w:r>
      <w:r/>
    </w:p>
    <w:p>
      <w:pPr>
        <w:pBdr/>
        <w:tabs>
          <w:tab w:val="left" w:leader="none" w:pos="426"/>
        </w:tabs>
        <w:spacing w:after="120" w:before="120" w:line="276" w:lineRule="auto"/>
        <w:ind/>
        <w:jc w:val="both"/>
        <w:rPr/>
      </w:pPr>
      <w:r>
        <w:rPr>
          <w:shd w:val="clear" w:color="auto" w:fill="ffffff"/>
        </w:rPr>
        <w:t xml:space="preserve">Trên địa bàn </w:t>
      </w:r>
      <w:r>
        <w:rPr>
          <w:shd w:val="clear" w:color="auto" w:fill="ffffff"/>
        </w:rPr>
        <w:t xml:space="preserve">phường Trung Văn có thành phần dân cư khá đa dạng, trong đó có một lượng lớn sinh viên đến từ Đại học Hà Nội. Sở hữu một khu có đông sinh viên sinh sống, phường Trung Văn có mức chi phí sinh hoạt khá rẻ không chỉ cho các bạn trẻ trọ học tại đây mà còn cho </w:t>
      </w:r>
      <w:r>
        <w:rPr>
          <w:shd w:val="clear" w:color="auto" w:fill="ffffff"/>
        </w:rPr>
        <w:t xml:space="preserve">những đối tượng dân cư khác đang lưu trú nơi đây.</w:t>
      </w:r>
      <w:r/>
    </w:p>
    <w:p>
      <w:pPr>
        <w:pBdr/>
        <w:tabs>
          <w:tab w:val="left" w:leader="none" w:pos="426"/>
        </w:tabs>
        <w:spacing w:after="120" w:before="120" w:line="276" w:lineRule="auto"/>
        <w:ind/>
        <w:jc w:val="both"/>
        <w:rPr/>
      </w:pPr>
      <w:r>
        <w:rPr>
          <w:shd w:val="clear" w:color="auto" w:fill="ffffff"/>
        </w:rPr>
        <w:t xml:space="preserve">Để không phát sinh thêm chi phí môi giới như mua nhà qua các chủ đầu tư, nhiều khách hàng đã quan tâm hơn đến việc mua bán nhà đất chính chủ, nhằm trực tiếp trao đổi với chủ nhà và có thể linh hoạt hơn tron</w:t>
      </w:r>
      <w:r>
        <w:rPr>
          <w:shd w:val="clear" w:color="auto" w:fill="ffffff"/>
        </w:rPr>
        <w:t xml:space="preserve">g đàm phán giá cả. Đây cũng là cách thức giúp người mua có những thông tin chân thực nhất về bất động sản mình đang quan tâm đến từ chính chủ nhà.</w:t>
      </w:r>
      <w:r>
        <w:rPr>
          <w:shd w:val="clear" w:color="auto" w:fill="ffffff"/>
        </w:rPr>
      </w:r>
      <w:r/>
    </w:p>
    <w:p>
      <w:pPr>
        <w:pBdr/>
        <w:tabs>
          <w:tab w:val="left" w:leader="none" w:pos="426"/>
        </w:tabs>
        <w:spacing w:after="120" w:before="120" w:line="276" w:lineRule="auto"/>
        <w:ind/>
        <w:jc w:val="both"/>
        <w:rPr/>
      </w:pPr>
      <w:r>
        <w:rPr>
          <w:shd w:val="clear" w:color="auto" w:fill="ffffff"/>
        </w:rPr>
        <w:t xml:space="preserve">Thị trường bất động sản quận Nam Từ Liêm những năm gần đây xuất hiện rất nhiều các sản phẩm chung cư, nên nh</w:t>
      </w:r>
      <w:r>
        <w:rPr>
          <w:shd w:val="clear" w:color="auto" w:fill="ffffff"/>
        </w:rPr>
        <w:t xml:space="preserve">à đất lại trở thành một mặt hàng tương đối khó tìm. Vì vậy, giá trị của loại hình nhà đất tại bất động sản quận Nam Từ Liêm ngày càng được nâng cao.</w:t>
      </w:r>
      <w:r/>
    </w:p>
    <w:p>
      <w:pPr>
        <w:pBdr/>
        <w:tabs>
          <w:tab w:val="left" w:leader="none" w:pos="426"/>
        </w:tabs>
        <w:spacing w:after="120" w:before="120" w:line="276" w:lineRule="auto"/>
        <w:ind/>
        <w:jc w:val="center"/>
        <w:rPr/>
      </w:pPr>
      <w:r>
        <w:rPr>
          <w:shd w:val="clear" w:color="auto" w:fill="ffffff"/>
        </w:rPr>
        <w:t xml:space="preserve">(https://onehousing.vn/blog/tong-quan-mua-ban-nha-dat-chinh-chu-tai-phuong-trung-van-quan-nam-tu-liem-n17t)</w:t>
      </w:r>
      <w:r/>
    </w:p>
    <w:p>
      <w:pPr>
        <w:pStyle w:val="103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w:t>
            </w:r>
            <w:r>
              <w:rPr>
                <w:b/>
                <w:bCs/>
                <w:color w:val="000000"/>
              </w:rPr>
              <w:t xml:space="preserve"> </w:t>
            </w:r>
            <w:r>
              <w:rPr>
                <w:rFonts w:ascii="Times New Roman" w:hAnsi="Times New Roman" w:eastAsia="Times New Roman" w:cs="Times New Roman"/>
                <w:b/>
                <w:bCs/>
                <w:color w:val="000000"/>
                <w:sz w:val="24"/>
              </w:rPr>
              <w:t xml:space="preserve">sử dụng đất quyền sở hữu nhà ở và tài sản khác gắn liền với đất tại thửa đất số: -/- tờ bản đồ số-/- có địa chỉ</w:t>
            </w:r>
            <w:r>
              <w:rPr>
                <w:b/>
                <w:bCs/>
                <w:color w:val="000000"/>
              </w:rPr>
              <w:t xml:space="preserve">: </w:t>
            </w:r>
            <w:r>
              <w:rPr>
                <w:b/>
                <w:bCs/>
                <w:color w:val="000000"/>
              </w:rPr>
              <w:t xml:space="preserve">Căn hộ A4 khu nhà ở bán, Phường Trung Văn, Quận Nam Từ Liêm, Hà Nội</w:t>
            </w:r>
            <w:r>
              <w:rPr>
                <w:b/>
                <w:bCs/>
                <w:color w:val="000000"/>
              </w:rPr>
              <w:t xml:space="preserve"> </w:t>
            </w:r>
            <w:r>
              <w:rPr>
                <w:b/>
                <w:bCs/>
                <w:color w:val="000000" w:themeColor="text1"/>
                <w:lang w:val="pt-BR"/>
              </w:rPr>
              <w:t xml:space="preserve">(nay là phường Thanh Xuân, thành phố Hà Nội)</w:t>
            </w:r>
            <w:r>
              <w:rPr>
                <w:b/>
                <w:bCs/>
                <w:color w:val="000000"/>
              </w:rPr>
              <w:t xml:space="preserve"> t</w:t>
            </w:r>
            <w:r>
              <w:rPr>
                <w:b/>
                <w:bCs/>
                <w:color w:val="000000"/>
              </w:rPr>
              <w:t xml:space="preserve">heo Giấy chứng nhận quyền sử dụng đất quyền sở hữu nhà ở và tài sản khác gắn li</w:t>
            </w:r>
            <w:r>
              <w:rPr>
                <w:b/>
                <w:bCs/>
                <w:color w:val="000000"/>
              </w:rPr>
              <w:t xml:space="preserve">ền với đất  số: BU 932337, số vào sổ cấp GCN: CH00284 do Ủy ban nhân dân quận Nam Từ Liêm cấp ngày 25/11/2014; Chủ sử dụng đất là Ông: Nguyễn Mạnh Hiệp và bà Nguyễn Thị Hạnh Chi</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Căn hộ A4 khu nhà ở bán, Phường Trung Văn, Quận Nam Từ Liêm, Hà Nội </w:t>
            </w:r>
            <w:r>
              <w:rPr>
                <w:bCs/>
                <w:color w:val="000000" w:themeColor="text1"/>
                <w:lang w:val="pt-BR"/>
              </w:rPr>
              <w:t xml:space="preserve">(nay là phường Thanh Xuân, thành phố Hà Nội)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58,8</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color w:val="000000"/>
                <w:sz w:val="24"/>
              </w:rPr>
              <w:t xml:space="preserve">Nhận chuyển nhượng đất được Nhà nước công nhận quyền sử dụng đất</w:t>
            </w: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Ghi chú:</w:t>
            </w:r>
            <w:r/>
          </w:p>
        </w:tc>
        <w:tc>
          <w:tcPr>
            <w:gridSpan w:val="3"/>
            <w:tcBorders/>
            <w:tcW w:w="625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color w:val="000000"/>
                <w:sz w:val="24"/>
              </w:rPr>
              <w:t xml:space="preserve">Không</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Thông tin quy hoạch:</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both"/>
              <w:rPr/>
            </w:pP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nhựa có vỉa hè</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2 mặt đường trước sau</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7</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7</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color w:val="000000"/>
                <w:sz w:val="24"/>
              </w:rPr>
              <w:t xml:space="preserve">Tài sản nằm tiếp giáp mặt đường ngõ 252 Lương Thế Vinh, Cách đường Lương Thế Vinh khoảng 50m; cách đường Tố Hữu khoảng 500m.</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 </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Hướng Tây: tiếp giáp với đường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top w:val="none" w:color="000000" w:sz="4" w:space="0"/>
                <w:left w:val="none" w:color="000000" w:sz="4" w:space="0"/>
                <w:bottom w:val="none" w:color="000000" w:sz="4" w:space="0"/>
                <w:right w:val="none" w:color="000000" w:sz="4" w:space="0"/>
              </w:pBdr>
              <w:spacing w:after="0"/>
              <w:ind w:right="0" w:firstLine="0" w:left="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Hướng Đông: tiếp giáp với đường</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top w:val="none" w:color="000000" w:sz="4" w:space="0"/>
                <w:left w:val="none" w:color="000000" w:sz="4" w:space="0"/>
                <w:bottom w:val="none" w:color="000000" w:sz="4" w:space="0"/>
                <w:right w:val="none" w:color="000000" w:sz="4" w:space="0"/>
              </w:pBdr>
              <w:spacing w:after="0"/>
              <w:ind w:right="0" w:firstLine="0" w:left="0"/>
              <w:jc w:val="both"/>
              <w:rPr>
                <w:sz w:val="22"/>
                <w:szCs w:val="22"/>
              </w:rPr>
            </w:pPr>
            <w:r>
              <w:rPr>
                <w:rFonts w:ascii="Times New Roman" w:hAnsi="Times New Roman" w:eastAsia="Times New Roman" w:cs="Times New Roman"/>
                <w:color w:val="000000"/>
                <w:sz w:val="24"/>
              </w:rPr>
              <w:t xml:space="preserve">Các hướng khác: Tiếp giáp các thửa đất khác.</w:t>
            </w:r>
            <w:r>
              <w:rPr>
                <w:sz w:val="22"/>
                <w:szCs w:val="22"/>
              </w:rPr>
            </w:r>
            <w:r>
              <w:rPr>
                <w:sz w:val="22"/>
                <w:szCs w:val="22"/>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rFonts w:ascii="Times New Roman" w:hAnsi="Times New Roman" w:eastAsia="Times New Roman" w:cs="Times New Roman"/>
                <w:color w:val="000000"/>
                <w:sz w:val="24"/>
              </w:rPr>
              <w:t xml:space="preserve">20.9928652722396, 105.79459424256682</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r>
            <w:r>
              <mc:AlternateContent>
                <mc:Choice Requires="wpg">
                  <w:drawing>
                    <wp:inline xmlns:wp="http://schemas.openxmlformats.org/drawingml/2006/wordprocessingDrawing" distT="0" distB="0" distL="0" distR="0">
                      <wp:extent cx="5437284" cy="2691872"/>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377621" name=""/>
                              <pic:cNvPicPr>
                                <a:picLocks noChangeAspect="1"/>
                              </pic:cNvPicPr>
                              <pic:nvPr/>
                            </pic:nvPicPr>
                            <pic:blipFill rotWithShape="1">
                              <a:blip r:embed="rId17"/>
                              <a:stretch/>
                            </pic:blipFill>
                            <pic:spPr bwMode="auto">
                              <a:xfrm flipH="0" flipV="0">
                                <a:off x="0" y="0"/>
                                <a:ext cx="5437284" cy="269187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8.13pt;height:211.96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58,8</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4,9</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12,0</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Khá</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spacing w:val="-4"/>
                <w:lang w:val="pt-BR"/>
              </w:rPr>
            </w:pPr>
            <w:r>
              <w:rPr>
                <w:color w:val="000000"/>
              </w:rPr>
              <w:t xml:space="preserve">+ </w:t>
            </w:r>
            <w:r>
              <w:rPr>
                <w:rFonts w:ascii="Times New Roman" w:hAnsi="Times New Roman" w:eastAsia="Times New Roman" w:cs="Times New Roman"/>
                <w:color w:val="000000"/>
                <w:sz w:val="24"/>
              </w:rPr>
              <w:t xml:space="preserve">Tại thời điểm khảo sát, CTXD gắn liền với đất là Nhà 4 tầng, đang cho thuê, công trình được xây dựng khoảng năm 2015, diện tích xây dựng 58,8m2, diện tích sàn khoảng 235,2m2. Kết cấu bê tông cốt thép, tường xây gạch</w:t>
            </w:r>
            <w:r>
              <w:rPr>
                <w:spacing w:val="-4"/>
                <w:lang w:val="pt-BR"/>
              </w:rPr>
              <w:t xml:space="preserve">. </w:t>
            </w:r>
            <w:r>
              <w:rPr>
                <w:spacing w:val="-4"/>
                <w:lang w:val="pt-BR"/>
              </w:rPr>
            </w:r>
            <w:r>
              <w:rPr>
                <w:spacing w:val="-4"/>
                <w:lang w:val="pt-BR"/>
              </w:rPr>
            </w:r>
          </w:p>
          <w:p>
            <w:pPr>
              <w:pBdr/>
              <w:spacing/>
              <w:ind/>
              <w:jc w:val="both"/>
              <w:rPr>
                <w:color w:val="000000"/>
              </w:rPr>
            </w:pPr>
            <w:r>
              <w:rPr>
                <w:spacing w:val="-4"/>
                <w:lang w:val="pt-BR"/>
              </w:rPr>
              <w:t xml:space="preserve">+ </w:t>
            </w:r>
            <w:r>
              <w:rPr>
                <w:rFonts w:ascii="Times New Roman" w:hAnsi="Times New Roman" w:eastAsia="Times New Roman" w:cs="Times New Roman"/>
                <w:color w:val="000000"/>
                <w:sz w:val="24"/>
              </w:rPr>
              <w:t xml:space="preserve">Công trình đã được chứng nhận trên Giấy chứng nhận quyền sử dụng đất quyền sở hữu nhà ở và tài sản khác gắn liền với đất số: BU 932337.</w:t>
            </w:r>
            <w:r>
              <w:rPr>
                <w:color w:val="000000"/>
              </w:rPr>
            </w:r>
            <w:r>
              <w:rPr>
                <w:color w:val="000000"/>
              </w:rPr>
            </w:r>
          </w:p>
        </w:tc>
      </w:tr>
    </w:tbl>
    <w:p>
      <w:pPr>
        <w:pBdr/>
        <w:spacing/>
        <w:ind/>
        <w:rPr>
          <w:b/>
          <w:bCs/>
        </w:rPr>
      </w:pPr>
      <w:r>
        <w:rPr>
          <w:b/>
          <w:bCs/>
        </w:rPr>
      </w:r>
      <w:r>
        <w:rPr>
          <w:b/>
          <w:bCs/>
        </w:rPr>
      </w:r>
      <w:r>
        <w:rPr>
          <w:b/>
          <w:bCs/>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S=0.5ha)&lt;5ha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xung</w:t>
            </w:r>
            <w:r>
              <w:rPr>
                <w:lang w:eastAsia="ko-KR"/>
              </w:rPr>
              <w:t xml:space="preserve"> :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3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3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5"/>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35"/>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3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5"/>
        <w:numPr>
          <w:ilvl w:val="0"/>
          <w:numId w:val="3"/>
        </w:numPr>
        <w:pBdr/>
        <w:spacing w:after="120" w:before="120" w:line="276" w:lineRule="auto"/>
        <w:ind/>
        <w:jc w:val="both"/>
        <w:rPr>
          <w:lang w:val="de-DE"/>
        </w:rPr>
      </w:pPr>
      <w:r>
        <w:rPr>
          <w:spacing w:val="-4"/>
          <w:lang w:val="pt-BR"/>
        </w:rPr>
      </w:r>
      <w:r>
        <w:rPr>
          <w:rFonts w:ascii="Times New Roman" w:hAnsi="Times New Roman" w:eastAsia="Times New Roman" w:cs="Times New Roman"/>
          <w:color w:val="000000"/>
          <w:sz w:val="24"/>
        </w:rPr>
        <w:t xml:space="preserve">Tại thời điểm khảo sát, CTXD gắn liền với đất là Nhà 4 tầng, đang cho thuê, công trình được xây dựng khoảng năm 2015, diện tích xây dựng 58,8m2, diện tích sàn khoảng 235,2m2. Kết cấu bê tông cốt thép, tường xây gạch</w:t>
      </w:r>
      <w:r>
        <w:rPr>
          <w:spacing w:val="-4"/>
          <w:lang w:val="pt-BR"/>
        </w:rPr>
        <w:t xml:space="preserve">. </w:t>
      </w:r>
      <w:r>
        <w:rPr>
          <w:rFonts w:ascii="Times New Roman" w:hAnsi="Times New Roman" w:eastAsia="Times New Roman" w:cs="Times New Roman"/>
          <w:color w:val="000000"/>
          <w:sz w:val="24"/>
        </w:rPr>
        <w:t xml:space="preserve">Công trình đã được chứng nhận trên Giấy chứng nhận quyền sử dụng đất quyền sở hữu nhà ở và tài sản khác gắn liền với đất số: BU 932337. </w:t>
      </w:r>
      <w:r>
        <w:rPr>
          <w:lang w:val="de-DE"/>
        </w:rPr>
      </w:r>
      <w:r>
        <w:rPr>
          <w:lang w:val="de-DE"/>
        </w:rPr>
      </w:r>
    </w:p>
    <w:p>
      <w:pPr>
        <w:pStyle w:val="103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3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hội,… với tài sản thẩm định giá, cụ thể như sau:</w:t>
      </w:r>
      <w:r>
        <w:rPr>
          <w:bCs/>
          <w:lang w:val="pt-BR"/>
        </w:rPr>
      </w:r>
      <w:r>
        <w:rPr>
          <w:bCs/>
          <w:lang w:val="pt-BR"/>
        </w:rPr>
      </w:r>
    </w:p>
    <w:p>
      <w:pPr>
        <w:pStyle w:val="103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75"/>
        <w:gridCol w:w="1710"/>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75"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75"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10"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sz w:val="22"/>
                <w:szCs w:val="22"/>
              </w:rPr>
            </w:pPr>
            <w:r>
              <w:rPr>
                <w:color w:val="000000" w:themeColor="text1"/>
                <w:sz w:val="22"/>
                <w:szCs w:val="22"/>
              </w:rPr>
              <w:t xml:space="preserve">Phường Trung Văn, Quận Nam Từ Liêm, Thành phố Hà Nội </w:t>
            </w:r>
            <w:r>
              <w:rPr>
                <w:bCs/>
                <w:color w:val="000000" w:themeColor="text1"/>
                <w:lang w:val="pt-BR"/>
              </w:rPr>
              <w:t xml:space="preserve">(nay là phường Thanh Xuân,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Trung Văn, Quận Nam Từ Liêm, Thành phố Hà Nội </w:t>
            </w:r>
            <w:r>
              <w:rPr>
                <w:bCs/>
                <w:color w:val="000000" w:themeColor="text1"/>
                <w:lang w:val="pt-BR"/>
              </w:rPr>
              <w:t xml:space="preserve">(nay là phường Thanh Xuân,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Đại Mỗ, Quận Nam Từ Liêm, Thành phố Hà Nội </w:t>
            </w:r>
            <w:r>
              <w:rPr>
                <w:bCs/>
                <w:color w:val="000000" w:themeColor="text1"/>
                <w:lang w:val="pt-BR"/>
              </w:rPr>
              <w:t xml:space="preserve">(nay là phường Mễ Trì,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Đại Mỗ, Quận Nam Từ Liêm, Thành phố Hà Nội </w:t>
            </w:r>
            <w:r>
              <w:rPr>
                <w:bCs/>
                <w:color w:val="000000" w:themeColor="text1"/>
                <w:lang w:val="pt-BR"/>
              </w:rPr>
              <w:t xml:space="preserve">(nay là phường Mễ Trì, thành phố Hà Nội)</w:t>
            </w:r>
            <w:r>
              <w:rPr>
                <w:sz w:val="22"/>
                <w:szCs w:val="22"/>
              </w:rPr>
            </w:r>
            <w:r>
              <w:rPr>
                <w:sz w:val="22"/>
                <w:szCs w:val="22"/>
              </w:rPr>
            </w:r>
          </w:p>
        </w:tc>
      </w:tr>
      <w:tr>
        <w:trPr>
          <w:trHeight w:val="1844"/>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https://data.thienkhoi.com/Account/Login?ReturnUrl=%2FHang%2FDetail%2Fg777h9-mbq5sdri-364887df</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https://data.thienkhoi.com/Account/Login?ReturnUrl=%2FHang%2FDetail%2F5ed7pg-m8of1n4f-1a4695fd</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0945680539</w:t>
            </w:r>
            <w:r>
              <w:rPr>
                <w:sz w:val="22"/>
                <w:szCs w:val="22"/>
              </w:rPr>
              <w:t xml:space="preserve"> </w:t>
            </w:r>
            <w:r>
              <w:rPr>
                <w:sz w:val="22"/>
                <w:szCs w:val="22"/>
              </w:rPr>
              <w:br/>
              <w:t xml:space="preserve">(</w:t>
            </w:r>
            <w:r>
              <w:rPr>
                <w:sz w:val="22"/>
                <w:szCs w:val="22"/>
              </w:rPr>
              <w:t xml:space="preserve">anh Hoàng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0979552413</w:t>
            </w:r>
            <w:r>
              <w:rPr>
                <w:sz w:val="22"/>
                <w:szCs w:val="22"/>
              </w:rPr>
              <w:br/>
            </w:r>
            <w:r>
              <w:rPr>
                <w:sz w:val="22"/>
                <w:szCs w:val="22"/>
              </w:rPr>
              <w:t xml:space="preserve">(</w:t>
            </w:r>
            <w:r>
              <w:rPr>
                <w:sz w:val="22"/>
                <w:szCs w:val="22"/>
              </w:rPr>
              <w:t xml:space="preserve">Lợi</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0326462020</w:t>
            </w:r>
            <w:r>
              <w:rPr>
                <w:sz w:val="22"/>
                <w:szCs w:val="22"/>
              </w:rPr>
              <w:br/>
            </w:r>
            <w:r>
              <w:rPr>
                <w:sz w:val="22"/>
                <w:szCs w:val="22"/>
              </w:rPr>
              <w:t xml:space="preserve">(</w:t>
            </w:r>
            <w:r>
              <w:rPr>
                <w:sz w:val="22"/>
                <w:szCs w:val="22"/>
              </w:rPr>
              <w:t xml:space="preserve">Thành</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Đang giao dịch</w:t>
            </w: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Đang giao dịch</w:t>
            </w: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04/2026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04/2026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04/2026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Có 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Có 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Có giấy chứng nhận quyền sử dụng đất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sz w:val="22"/>
                <w:szCs w:val="22"/>
              </w:rPr>
            </w:pPr>
            <w:r>
              <w:rPr>
                <w:color w:val="000000" w:themeColor="text1"/>
                <w:sz w:val="22"/>
                <w:szCs w:val="22"/>
              </w:rPr>
              <w:t xml:space="preserve">Tài sản tại: </w:t>
            </w:r>
            <w:r>
              <w:rPr>
                <w:color w:val="000000" w:themeColor="text1"/>
                <w:sz w:val="22"/>
                <w:szCs w:val="22"/>
              </w:rPr>
              <w:t xml:space="preserve">Phường Trung Văn, Quận Nam Từ Liêm, Thành phố Hà Nội </w:t>
            </w:r>
            <w:r>
              <w:rPr>
                <w:bCs/>
                <w:color w:val="000000" w:themeColor="text1"/>
                <w:lang w:val="pt-BR"/>
              </w:rPr>
              <w:t xml:space="preserve">(nay là phường Thanh Xuân, thành phố Hà Nội)</w:t>
            </w:r>
            <w:r>
              <w:rPr>
                <w:color w:val="000000" w:themeColor="text1"/>
                <w:sz w:val="22"/>
                <w:szCs w:val="22"/>
              </w:rPr>
              <w:t xml:space="preserve">, Cách đương Lương Thế Vinh khoảng 50m</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Tài sản tại: Xã Trung Văn </w:t>
            </w:r>
            <w:r>
              <w:rPr>
                <w:color w:val="000000" w:themeColor="text1"/>
                <w:sz w:val="22"/>
                <w:szCs w:val="22"/>
              </w:rPr>
              <w:t xml:space="preserve">Phường Trung Văn, Quận Nam Từ Liêm, Thành phố Hà Nội </w:t>
            </w:r>
            <w:r>
              <w:rPr>
                <w:bCs/>
                <w:color w:val="000000" w:themeColor="text1"/>
                <w:lang w:val="pt-BR"/>
              </w:rPr>
              <w:t xml:space="preserve">(nay là phường Thanh Xuân, thành phố Hà Nội)</w:t>
            </w:r>
            <w:r>
              <w:rPr>
                <w:color w:val="000000" w:themeColor="text1"/>
                <w:sz w:val="22"/>
                <w:szCs w:val="22"/>
              </w:rPr>
              <w:t xml:space="preserve">, cách đường Lương Thế Vinh khoảng 100m</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Tài sản tại: </w:t>
            </w:r>
            <w:r>
              <w:rPr>
                <w:color w:val="000000" w:themeColor="text1"/>
                <w:sz w:val="22"/>
                <w:szCs w:val="22"/>
              </w:rPr>
              <w:t xml:space="preserve">Phường Đại Mỗ, Quận Nam Từ Liêm, Thành phố Hà Nội </w:t>
            </w:r>
            <w:r>
              <w:rPr>
                <w:bCs/>
                <w:color w:val="000000" w:themeColor="text1"/>
                <w:lang w:val="pt-BR"/>
              </w:rPr>
              <w:t xml:space="preserve">(nay là phường Mễ Trì, thành phố Hà Nội), cách đường Lương Thế Vinh khoảng 200m</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Tài sản tại: </w:t>
            </w:r>
            <w:r>
              <w:rPr>
                <w:color w:val="000000" w:themeColor="text1"/>
                <w:sz w:val="22"/>
                <w:szCs w:val="22"/>
              </w:rPr>
              <w:t xml:space="preserve">Phường Đại Mỗ, Quận Nam Từ Liêm, Thành phố Hà Nội </w:t>
            </w:r>
            <w:r>
              <w:rPr>
                <w:bCs/>
                <w:color w:val="000000" w:themeColor="text1"/>
                <w:lang w:val="pt-BR"/>
              </w:rPr>
              <w:t xml:space="preserve">(nay là phường Mễ Trì, thành phố Hà Nội),</w:t>
            </w:r>
            <w:r>
              <w:rPr>
                <w:color w:val="000000" w:themeColor="text1"/>
                <w:sz w:val="22"/>
                <w:szCs w:val="22"/>
              </w:rPr>
              <w:t xml:space="preserve"> cách phố Tố Hữu 30m</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58,8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4,9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3,8</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đường trước sau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Nở hậu</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rPr/>
            </w:p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Nhà ở</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Nhà ở</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Nhà ở</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Số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rPr/>
            </w:p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Diện tích sàn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rPr/>
            </w:p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272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24.200.000.000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23.600.000.000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21.780.000.000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30.600.000.000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21.240.000.000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b/>
                <w:bCs/>
                <w:color w:val="000000" w:themeColor="text1"/>
                <w:sz w:val="22"/>
                <w:szCs w:val="22"/>
                <w:highlight w:val="white"/>
              </w:rPr>
            </w:pPr>
            <w:r>
              <w:rPr>
                <w:b/>
                <w:bCs/>
                <w:color w:val="000000" w:themeColor="text1"/>
                <w:sz w:val="22"/>
                <w:szCs w:val="22"/>
                <w:highlight w:val="white"/>
              </w:rPr>
              <w:t xml:space="preserve">Giá trị tài sản trên đất (đồng)</w:t>
            </w:r>
            <w:r>
              <w:rPr>
                <w:b/>
                <w:bCs/>
                <w:color w:val="000000" w:themeColor="text1"/>
                <w:sz w:val="22"/>
                <w:szCs w:val="22"/>
                <w:highlight w:val="white"/>
              </w:rPr>
            </w:r>
            <w:r>
              <w:rPr>
                <w:b/>
                <w:bCs/>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rPr>
                <w:color w:val="000000" w:themeColor="text1"/>
                <w:highlight w:val="white"/>
              </w:rPr>
            </w:pPr>
            <w:r>
              <w:rPr>
                <w:color w:val="000000" w:themeColor="text1"/>
                <w:highlight w:val="white"/>
              </w:rPr>
            </w:r>
            <w:r>
              <w:rPr>
                <w:color w:val="000000" w:themeColor="text1"/>
                <w:highlight w:val="white"/>
              </w:rPr>
            </w:r>
            <w:r>
              <w:rPr>
                <w:color w:val="000000" w:themeColor="text1"/>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1.7</w:t>
            </w:r>
            <w:r>
              <w:rPr>
                <w:color w:val="000000" w:themeColor="text1"/>
                <w:sz w:val="22"/>
                <w:szCs w:val="22"/>
                <w:highlight w:val="white"/>
              </w:rPr>
              <w:t xml:space="preserve">20.193.177</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2.</w:t>
            </w:r>
            <w:r>
              <w:rPr>
                <w:color w:val="000000" w:themeColor="text1"/>
                <w:sz w:val="22"/>
                <w:szCs w:val="22"/>
                <w:highlight w:val="white"/>
              </w:rPr>
              <w:t xml:space="preserve">234.596.651</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1.4</w:t>
            </w:r>
            <w:r>
              <w:rPr>
                <w:color w:val="000000" w:themeColor="text1"/>
                <w:sz w:val="22"/>
                <w:szCs w:val="22"/>
                <w:highlight w:val="white"/>
              </w:rPr>
              <w:t xml:space="preserve">45.456.422</w:t>
            </w:r>
            <w:r>
              <w:rPr>
                <w:color w:val="000000" w:themeColor="text1"/>
                <w:sz w:val="22"/>
                <w:szCs w:val="22"/>
                <w:highlight w:val="white"/>
              </w:rPr>
            </w:r>
            <w:r>
              <w:rPr>
                <w:color w:val="000000" w:themeColor="text1"/>
                <w:sz w:val="22"/>
                <w:szCs w:val="22"/>
                <w:highlight w:val="white"/>
              </w:rPr>
            </w:r>
          </w:p>
        </w:tc>
      </w:tr>
      <w:tr>
        <w:trPr>
          <w:trHeight w:val="138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Đơn giá xây dựng theo Quyế</w:t>
            </w:r>
            <w:r>
              <w:rPr>
                <w:color w:val="000000" w:themeColor="text1"/>
                <w:sz w:val="22"/>
                <w:szCs w:val="22"/>
                <w:highlight w:val="white"/>
              </w:rPr>
              <w:t xml:space="preserve">t định số 425/QĐ-BXD ngày 30/03/2026 </w:t>
            </w:r>
            <w:r>
              <w:rPr>
                <w:color w:val="000000" w:themeColor="text1"/>
                <w:sz w:val="22"/>
                <w:szCs w:val="22"/>
                <w:highlight w:val="white"/>
              </w:rPr>
              <w:t xml:space="preserve">của Bộ Xây Dựng (đồng/m²)</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rPr>
                <w:color w:val="000000" w:themeColor="text1"/>
                <w:highlight w:val="white"/>
              </w:rPr>
            </w:pPr>
            <w:r>
              <w:rPr>
                <w:color w:val="000000" w:themeColor="text1"/>
                <w:highlight w:val="white"/>
              </w:rPr>
            </w:r>
            <w:r>
              <w:rPr>
                <w:color w:val="000000" w:themeColor="text1"/>
                <w:highlight w:val="white"/>
              </w:rPr>
            </w:r>
            <w:r>
              <w:rPr>
                <w:color w:val="000000" w:themeColor="text1"/>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7.</w:t>
            </w:r>
            <w:r>
              <w:rPr>
                <w:color w:val="000000" w:themeColor="text1"/>
                <w:sz w:val="22"/>
                <w:szCs w:val="22"/>
                <w:highlight w:val="white"/>
              </w:rPr>
              <w:t xml:space="preserve">353.767</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6.</w:t>
            </w:r>
            <w:r>
              <w:rPr>
                <w:color w:val="000000" w:themeColor="text1"/>
                <w:sz w:val="22"/>
                <w:szCs w:val="22"/>
                <w:highlight w:val="white"/>
              </w:rPr>
              <w:t xml:space="preserve">603.418</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7.</w:t>
            </w:r>
            <w:r>
              <w:rPr>
                <w:color w:val="000000" w:themeColor="text1"/>
                <w:sz w:val="22"/>
                <w:szCs w:val="22"/>
                <w:highlight w:val="white"/>
              </w:rPr>
              <w:t xml:space="preserve">353.767</w:t>
            </w:r>
            <w:r>
              <w:rPr>
                <w:color w:val="000000" w:themeColor="text1"/>
                <w:sz w:val="22"/>
                <w:szCs w:val="22"/>
                <w:highlight w:val="white"/>
              </w:rPr>
            </w:r>
            <w:r>
              <w:rPr>
                <w:color w:val="000000" w:themeColor="text1"/>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 Tỷ lệ % CLCL </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rPr>
                <w:color w:val="000000" w:themeColor="text1"/>
                <w:highlight w:val="white"/>
              </w:rPr>
            </w:pPr>
            <w:r>
              <w:rPr>
                <w:color w:val="000000" w:themeColor="text1"/>
                <w:highlight w:val="white"/>
              </w:rPr>
            </w:r>
            <w:r>
              <w:rPr>
                <w:color w:val="000000" w:themeColor="text1"/>
                <w:highlight w:val="white"/>
              </w:rPr>
            </w:r>
            <w:r>
              <w:rPr>
                <w:color w:val="000000" w:themeColor="text1"/>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86</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94</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78</w:t>
            </w:r>
            <w:r>
              <w:rPr>
                <w:color w:val="000000" w:themeColor="text1"/>
                <w:sz w:val="22"/>
                <w:szCs w:val="22"/>
                <w:highlight w:val="white"/>
              </w:rPr>
            </w:r>
            <w:r>
              <w:rPr>
                <w:color w:val="000000" w:themeColor="text1"/>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tcPr>
          <w:p>
            <w:pPr>
              <w:pBdr/>
              <w:spacing/>
              <w:ind/>
              <w:rPr>
                <w:color w:val="000000"/>
                <w:sz w:val="22"/>
                <w:szCs w:val="22"/>
              </w:rPr>
            </w:pPr>
            <w:r>
              <w:rPr>
                <w:color w:val="000000"/>
                <w:sz w:val="22"/>
                <w:szCs w:val="22"/>
              </w:rPr>
              <w:t xml:space="preserve">Tỷ lệ % hoàn thiện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rPr/>
            </w:p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20.059.806.823</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28.365.403.349</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19.794.543.578</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294.997.159</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315.171.148</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314.199.104</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dựa trên ba tài sản so sánh tương đồng với tài sản thẩm định giá, Tổ thẩm định phân tích các </w:t>
      </w:r>
      <w:r>
        <w:rPr>
          <w:lang w:val="it-IT"/>
        </w:rPr>
        <w:t xml:space="preserve">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99"/>
        <w:gridCol w:w="1701"/>
        <w:gridCol w:w="1701"/>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99"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701"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701"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20.059.806.823</w:t>
            </w:r>
            <w:r/>
          </w:p>
        </w:tc>
        <w:tc>
          <w:tcPr>
            <w:shd w:val="clear" w:color="000000" w:fill="ffffff"/>
            <w:tcBorders/>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28.365.403.349</w:t>
            </w:r>
            <w:r/>
          </w:p>
        </w:tc>
        <w:tc>
          <w:tcPr>
            <w:shd w:val="clear" w:color="000000" w:fill="ffffff"/>
            <w:tcBorders/>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19.794.543.578</w:t>
            </w: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294.997.159</w:t>
            </w:r>
            <w:r/>
          </w:p>
        </w:tc>
        <w:tc>
          <w:tcPr>
            <w:shd w:val="clear" w:color="000000" w:fill="ffffff"/>
            <w:tcBorders/>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315.171.148</w:t>
            </w:r>
            <w:r/>
          </w:p>
        </w:tc>
        <w:tc>
          <w:tcPr>
            <w:shd w:val="clear" w:color="000000" w:fill="ffffff"/>
            <w:tcBorders/>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314.199.104</w:t>
            </w: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99"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701"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701"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000000" w:fill="ffffff"/>
            <w:tcBorders/>
            <w:tcW w:w="159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000000" w:fill="ffffff"/>
            <w:tcBorders/>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000000" w:fill="ffffff"/>
            <w:tcBorders/>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294.997.159 </w:t>
            </w:r>
            <w:r/>
          </w:p>
        </w:tc>
        <w:tc>
          <w:tcPr>
            <w:shd w:val="clear" w:color="000000" w:fill="ffffff"/>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315.171.148 </w:t>
            </w:r>
            <w:r/>
          </w:p>
        </w:tc>
        <w:tc>
          <w:tcPr>
            <w:shd w:val="clear" w:color="000000" w:fill="ffffff"/>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314.199.104 </w:t>
            </w: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99"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701"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701"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14.749.858 </w:t>
            </w:r>
            <w:r/>
          </w:p>
        </w:tc>
        <w:tc>
          <w:tcPr>
            <w:shd w:val="clear" w:color="000000" w:fill="ffffff"/>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000000" w:fill="ffffff"/>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15.709.955 </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309.747.017 </w:t>
            </w:r>
            <w:r/>
          </w:p>
        </w:tc>
        <w:tc>
          <w:tcPr>
            <w:shd w:val="clear" w:color="000000" w:fill="ffffff"/>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315.171.148 </w:t>
            </w:r>
            <w:r/>
          </w:p>
        </w:tc>
        <w:tc>
          <w:tcPr>
            <w:shd w:val="clear" w:color="000000" w:fill="ffffff"/>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329.909.060 </w:t>
            </w: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c>
          <w:tcPr>
            <w:shd w:val="clear" w:color="000000" w:fill="ffffff"/>
            <w:tcBorders/>
            <w:tcW w:w="1599"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701" w:type="dxa"/>
            <w:vAlign w:val="center"/>
            <w:textDirection w:val="lrTb"/>
            <w:noWrap w:val="false"/>
          </w:tcPr>
          <w:p>
            <w:pPr>
              <w:pBdr/>
              <w:spacing/>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c>
          <w:tcPr>
            <w:shd w:val="clear" w:color="000000" w:fill="ffffff"/>
            <w:tcBorders/>
            <w:tcW w:w="1701"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15.487.351 </w:t>
            </w:r>
            <w:r/>
          </w:p>
        </w:tc>
        <w:tc>
          <w:tcPr>
            <w:shd w:val="clear" w:color="000000" w:fill="ffffff"/>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000000" w:fill="ffffff"/>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9.897.272 </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325.234.368 </w:t>
            </w:r>
            <w:r/>
          </w:p>
        </w:tc>
        <w:tc>
          <w:tcPr>
            <w:shd w:val="clear" w:color="000000" w:fill="ffffff"/>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315.171.148 </w:t>
            </w:r>
            <w:r/>
          </w:p>
        </w:tc>
        <w:tc>
          <w:tcPr>
            <w:shd w:val="clear" w:color="000000" w:fill="ffffff"/>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339.806.331 </w:t>
            </w: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599"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701"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701"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9.292.411 </w:t>
            </w:r>
            <w:r/>
          </w:p>
        </w:tc>
        <w:tc>
          <w:tcPr>
            <w:shd w:val="clear" w:color="000000" w:fill="ffffff"/>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000000" w:fill="ffffff"/>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9.897.272 </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334.526.778 </w:t>
            </w:r>
            <w:r/>
          </w:p>
        </w:tc>
        <w:tc>
          <w:tcPr>
            <w:shd w:val="clear" w:color="000000" w:fill="ffffff"/>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315.171.148 </w:t>
            </w:r>
            <w:r/>
          </w:p>
        </w:tc>
        <w:tc>
          <w:tcPr>
            <w:shd w:val="clear" w:color="000000" w:fill="ffffff"/>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349.703.603 </w:t>
            </w: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58,8</w:t>
            </w:r>
            <w:r>
              <w:rPr>
                <w:b/>
                <w:bCs/>
                <w:color w:val="000000"/>
                <w:sz w:val="22"/>
                <w:szCs w:val="22"/>
              </w:rPr>
            </w:r>
            <w:r>
              <w:rPr>
                <w:b/>
                <w:bCs/>
                <w:color w:val="000000"/>
                <w:sz w:val="22"/>
                <w:szCs w:val="22"/>
              </w:rPr>
            </w:r>
          </w:p>
        </w:tc>
        <w:tc>
          <w:tcPr>
            <w:shd w:val="clear" w:color="000000" w:fill="ffffff"/>
            <w:tcBorders/>
            <w:tcW w:w="1599" w:type="dxa"/>
            <w:vAlign w:val="center"/>
            <w:textDirection w:val="lrTb"/>
            <w:noWrap w:val="false"/>
          </w:tcPr>
          <w:p>
            <w:pPr>
              <w:pBdr/>
              <w:spacing/>
              <w:ind/>
              <w:jc w:val="center"/>
              <w:rPr>
                <w:b/>
                <w:bCs/>
                <w:color w:val="000000"/>
                <w:sz w:val="22"/>
                <w:szCs w:val="22"/>
              </w:rPr>
            </w:pPr>
            <w:r>
              <w:rPr>
                <w:color w:val="000000" w:themeColor="text1"/>
                <w:sz w:val="22"/>
                <w:szCs w:val="22"/>
              </w:rPr>
              <w:t xml:space="preserve">68</w:t>
            </w:r>
            <w:r>
              <w:rPr>
                <w:b/>
                <w:bCs/>
                <w:color w:val="000000"/>
                <w:sz w:val="22"/>
                <w:szCs w:val="22"/>
              </w:rPr>
            </w:r>
            <w:r>
              <w:rPr>
                <w:b/>
                <w:bCs/>
                <w:color w:val="000000"/>
                <w:sz w:val="22"/>
                <w:szCs w:val="22"/>
              </w:rPr>
            </w:r>
          </w:p>
        </w:tc>
        <w:tc>
          <w:tcPr>
            <w:shd w:val="clear" w:color="000000" w:fill="ffffff"/>
            <w:tcBorders/>
            <w:tcW w:w="1701" w:type="dxa"/>
            <w:vAlign w:val="center"/>
            <w:textDirection w:val="lrTb"/>
            <w:noWrap w:val="false"/>
          </w:tcPr>
          <w:p>
            <w:pPr>
              <w:pBdr/>
              <w:spacing/>
              <w:ind/>
              <w:jc w:val="center"/>
              <w:rPr>
                <w:b/>
                <w:bCs/>
                <w:color w:val="000000"/>
                <w:sz w:val="22"/>
                <w:szCs w:val="22"/>
              </w:rPr>
            </w:pPr>
            <w:r>
              <w:rPr>
                <w:color w:val="000000" w:themeColor="text1"/>
                <w:sz w:val="22"/>
                <w:szCs w:val="22"/>
              </w:rPr>
              <w:t xml:space="preserve">90</w:t>
            </w:r>
            <w:r>
              <w:rPr>
                <w:b/>
                <w:bCs/>
                <w:color w:val="000000"/>
                <w:sz w:val="22"/>
                <w:szCs w:val="22"/>
              </w:rPr>
            </w:r>
            <w:r>
              <w:rPr>
                <w:b/>
                <w:bCs/>
                <w:color w:val="000000"/>
                <w:sz w:val="22"/>
                <w:szCs w:val="22"/>
              </w:rPr>
            </w:r>
          </w:p>
        </w:tc>
        <w:tc>
          <w:tcPr>
            <w:shd w:val="clear" w:color="000000" w:fill="ffffff"/>
            <w:tcBorders/>
            <w:tcW w:w="1701" w:type="dxa"/>
            <w:vAlign w:val="center"/>
            <w:textDirection w:val="lrTb"/>
            <w:noWrap w:val="false"/>
          </w:tcPr>
          <w:p>
            <w:pPr>
              <w:pBdr/>
              <w:spacing/>
              <w:ind/>
              <w:jc w:val="center"/>
              <w:rPr>
                <w:b/>
                <w:bCs/>
                <w:color w:val="000000"/>
                <w:sz w:val="22"/>
                <w:szCs w:val="22"/>
              </w:rPr>
            </w:pPr>
            <w:r>
              <w:rPr>
                <w:color w:val="000000" w:themeColor="text1"/>
                <w:sz w:val="22"/>
                <w:szCs w:val="22"/>
              </w:rPr>
              <w:t xml:space="preserve">63</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000000" w:fill="ffffff"/>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9.455.134 </w:t>
            </w:r>
            <w:r/>
          </w:p>
        </w:tc>
        <w:tc>
          <w:tcPr>
            <w:shd w:val="clear" w:color="000000" w:fill="ffffff"/>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334.526.778 </w:t>
            </w:r>
            <w:r/>
          </w:p>
        </w:tc>
        <w:tc>
          <w:tcPr>
            <w:shd w:val="clear" w:color="000000" w:fill="ffffff"/>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324.626.283 </w:t>
            </w:r>
            <w:r/>
          </w:p>
        </w:tc>
        <w:tc>
          <w:tcPr>
            <w:shd w:val="clear" w:color="000000" w:fill="ffffff"/>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349.703.603 </w:t>
            </w: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4,9</w:t>
            </w:r>
            <w:r>
              <w:rPr>
                <w:b/>
                <w:bCs/>
                <w:color w:val="000000"/>
                <w:sz w:val="22"/>
                <w:szCs w:val="22"/>
              </w:rPr>
            </w:r>
            <w:r>
              <w:rPr>
                <w:b/>
                <w:bCs/>
                <w:color w:val="000000"/>
                <w:sz w:val="22"/>
                <w:szCs w:val="22"/>
              </w:rPr>
            </w:r>
          </w:p>
        </w:tc>
        <w:tc>
          <w:tcPr>
            <w:shd w:val="clear" w:color="000000" w:fill="ffffff"/>
            <w:tcBorders/>
            <w:tcW w:w="1599"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701"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701" w:type="dxa"/>
            <w:vAlign w:val="center"/>
            <w:textDirection w:val="lrTb"/>
            <w:noWrap w:val="false"/>
          </w:tcPr>
          <w:p>
            <w:pPr>
              <w:pBdr/>
              <w:spacing/>
              <w:ind/>
              <w:jc w:val="center"/>
              <w:rPr>
                <w:b/>
                <w:bCs/>
                <w:color w:val="000000"/>
                <w:sz w:val="22"/>
                <w:szCs w:val="22"/>
              </w:rPr>
            </w:pPr>
            <w:r>
              <w:rPr>
                <w:color w:val="000000" w:themeColor="text1"/>
                <w:sz w:val="22"/>
                <w:szCs w:val="22"/>
              </w:rPr>
              <w:t xml:space="preserve">3,8</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9.292.411 </w:t>
            </w:r>
            <w:r/>
          </w:p>
        </w:tc>
        <w:tc>
          <w:tcPr>
            <w:shd w:val="clear" w:color="000000" w:fill="ffffff"/>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000000" w:fill="ffffff"/>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9.897.272 </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343.819.189 </w:t>
            </w:r>
            <w:r/>
          </w:p>
        </w:tc>
        <w:tc>
          <w:tcPr>
            <w:shd w:val="clear" w:color="000000" w:fill="ffffff"/>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324.626.283 </w:t>
            </w:r>
            <w:r/>
          </w:p>
        </w:tc>
        <w:tc>
          <w:tcPr>
            <w:shd w:val="clear" w:color="000000" w:fill="ffffff"/>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359.600.875 </w:t>
            </w: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đường trước sau</w:t>
            </w:r>
            <w:r>
              <w:rPr>
                <w:b/>
                <w:bCs/>
                <w:color w:val="000000"/>
                <w:sz w:val="22"/>
                <w:szCs w:val="22"/>
              </w:rPr>
            </w:r>
            <w:r>
              <w:rPr>
                <w:b/>
                <w:bCs/>
                <w:color w:val="000000"/>
                <w:sz w:val="22"/>
                <w:szCs w:val="22"/>
              </w:rPr>
            </w:r>
          </w:p>
        </w:tc>
        <w:tc>
          <w:tcPr>
            <w:shd w:val="clear" w:color="000000" w:fill="ffffff"/>
            <w:tcBorders/>
            <w:tcW w:w="1599"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701"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701"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 lưu không phía sau</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15.487.351 </w:t>
            </w:r>
            <w:r/>
          </w:p>
        </w:tc>
        <w:tc>
          <w:tcPr>
            <w:shd w:val="clear" w:color="000000" w:fill="ffffff"/>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15.758,557 </w:t>
            </w:r>
            <w:r/>
          </w:p>
        </w:tc>
        <w:tc>
          <w:tcPr>
            <w:shd w:val="clear" w:color="000000" w:fill="ffffff"/>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9.897.272 </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359.306.540 </w:t>
            </w:r>
            <w:r/>
          </w:p>
        </w:tc>
        <w:tc>
          <w:tcPr>
            <w:shd w:val="clear" w:color="000000" w:fill="ffffff"/>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340.384.840 </w:t>
            </w:r>
            <w:r/>
          </w:p>
        </w:tc>
        <w:tc>
          <w:tcPr>
            <w:shd w:val="clear" w:color="000000" w:fill="ffffff"/>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369.498.147 </w:t>
            </w: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99"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701"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701" w:type="dxa"/>
            <w:vAlign w:val="center"/>
            <w:textDirection w:val="lrTb"/>
            <w:noWrap w:val="false"/>
          </w:tcPr>
          <w:p>
            <w:pPr>
              <w:pBdr/>
              <w:spacing/>
              <w:ind/>
              <w:jc w:val="center"/>
              <w:rPr>
                <w:b/>
                <w:bCs/>
                <w:color w:val="000000"/>
                <w:sz w:val="22"/>
                <w:szCs w:val="22"/>
              </w:rPr>
            </w:pPr>
            <w:r>
              <w:rPr>
                <w:color w:val="000000" w:themeColor="text1"/>
                <w:sz w:val="22"/>
                <w:szCs w:val="22"/>
              </w:rPr>
              <w:t xml:space="preserve">Nở hậu</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000000" w:fill="ffffff"/>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000000" w:fill="ffffff"/>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-9.897.272 </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359.306.540 </w:t>
            </w:r>
            <w:r/>
          </w:p>
        </w:tc>
        <w:tc>
          <w:tcPr>
            <w:shd w:val="clear" w:color="000000" w:fill="ffffff"/>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340.384.840 </w:t>
            </w:r>
            <w:r/>
          </w:p>
        </w:tc>
        <w:tc>
          <w:tcPr>
            <w:shd w:val="clear" w:color="000000" w:fill="ffffff"/>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359.600.875 </w:t>
            </w: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9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359.306.540 </w:t>
            </w:r>
            <w:r/>
          </w:p>
        </w:tc>
        <w:tc>
          <w:tcPr>
            <w:shd w:val="clear" w:color="000000" w:fill="ffffff"/>
            <w:tcBorders/>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340.384.840 </w:t>
            </w:r>
            <w:r/>
          </w:p>
        </w:tc>
        <w:tc>
          <w:tcPr>
            <w:shd w:val="clear" w:color="000000" w:fill="ffffff"/>
            <w:tcBorders/>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359.600.875 </w:t>
            </w: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500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353.097.000 </w:t>
            </w: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1,76%</w:t>
            </w:r>
            <w:r/>
          </w:p>
        </w:tc>
        <w:tc>
          <w:tcPr>
            <w:shd w:val="clear" w:color="000000" w:fill="ffffff"/>
            <w:tcBorders/>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-3,60%</w:t>
            </w:r>
            <w:r/>
          </w:p>
        </w:tc>
        <w:tc>
          <w:tcPr>
            <w:shd w:val="clear" w:color="000000" w:fill="ffffff"/>
            <w:tcBorders/>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1,84%</w:t>
            </w: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99"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701"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701"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64.309.381 </w:t>
            </w:r>
            <w:r/>
          </w:p>
        </w:tc>
        <w:tc>
          <w:tcPr>
            <w:shd w:val="clear" w:color="000000" w:fill="ffffff"/>
            <w:tcBorders/>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25.213.692 </w:t>
            </w:r>
            <w:r/>
          </w:p>
        </w:tc>
        <w:tc>
          <w:tcPr>
            <w:shd w:val="clear" w:color="000000" w:fill="ffffff"/>
            <w:tcBorders/>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65.196.314 </w:t>
            </w: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701"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701"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701"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701"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64.309.381 </w:t>
            </w:r>
            <w:r/>
          </w:p>
        </w:tc>
        <w:tc>
          <w:tcPr>
            <w:shd w:val="clear" w:color="000000" w:fill="ffffff"/>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25.213.692 </w:t>
            </w:r>
            <w:r/>
          </w:p>
        </w:tc>
        <w:tc>
          <w:tcPr>
            <w:shd w:val="clear" w:color="000000" w:fill="ffffff"/>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45.401.771 </w:t>
            </w: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từ </w:t>
      </w:r>
      <w:r>
        <w:t xml:space="preserve"> </w:t>
      </w:r>
      <w:r>
        <w:t xml:space="preserve">1,76% đến 3,6%</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w:t>
            </w: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1</w:t>
            </w: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359.306.540</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119.756.870</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w:t>
            </w: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2</w:t>
            </w: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340.384.840</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33,34%</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113.484.306</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w:t>
            </w: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3</w:t>
            </w: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359.600.875</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119.854.972</w:t>
            </w: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bình quân theo trọng số:</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353.096.147</w:t>
            </w: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350.000.000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350.000.000</w:t>
      </w:r>
      <w:r>
        <w:rPr>
          <w:b/>
          <w:bCs/>
          <w:color w:val="000000" w:themeColor="text1"/>
        </w:rPr>
        <w:t xml:space="preserve"> </w:t>
      </w:r>
      <w:r>
        <w:rPr>
          <w:b/>
          <w:bCs/>
        </w:rPr>
        <w:t xml:space="preserve">đồng/m².</w:t>
      </w:r>
      <w:r>
        <w:rPr>
          <w:b/>
          <w:bCs/>
        </w:rPr>
      </w:r>
      <w:r>
        <w:rPr>
          <w:b/>
          <w:bCs/>
        </w:rPr>
      </w:r>
    </w:p>
    <w:p>
      <w:pPr>
        <w:pStyle w:val="1035"/>
        <w:numPr>
          <w:ilvl w:val="0"/>
          <w:numId w:val="26"/>
        </w:numPr>
        <w:pBdr/>
        <w:spacing w:after="120" w:before="120" w:line="276" w:lineRule="auto"/>
        <w:ind w:hanging="357" w:left="357"/>
        <w:jc w:val="both"/>
        <w:rPr>
          <w:b/>
          <w:bCs/>
        </w:rPr>
      </w:pPr>
      <w:r>
        <w:rPr>
          <w:b/>
          <w:bCs/>
        </w:rPr>
        <w:t xml:space="preserve">Xác định giá trị tài sản gắn liền với đất</w:t>
      </w:r>
      <w:r>
        <w:rPr>
          <w:b/>
          <w:bCs/>
        </w:rPr>
      </w:r>
      <w:r>
        <w:rPr>
          <w:b/>
          <w:bCs/>
        </w:rPr>
      </w:r>
    </w:p>
    <w:p>
      <w:pPr>
        <w:numPr>
          <w:ilvl w:val="0"/>
          <w:numId w:val="41"/>
        </w:numPr>
        <w:pBdr>
          <w:top w:val="none" w:color="000000" w:sz="4" w:space="0"/>
          <w:left w:val="none" w:color="000000" w:sz="4" w:space="0"/>
          <w:bottom w:val="none" w:color="000000" w:sz="4" w:space="0"/>
          <w:right w:val="none" w:color="000000" w:sz="4" w:space="0"/>
        </w:pBdr>
        <w:spacing w:after="120" w:before="120" w:line="264" w:lineRule="auto"/>
        <w:ind w:right="0" w:hanging="360" w:left="360"/>
        <w:jc w:val="both"/>
        <w:rPr/>
      </w:pPr>
      <w:r>
        <w:rPr>
          <w:rFonts w:ascii="Times New Roman" w:hAnsi="Times New Roman" w:eastAsia="Times New Roman" w:cs="Times New Roman"/>
          <w:b/>
          <w:color w:val="000000"/>
          <w:sz w:val="24"/>
        </w:rPr>
        <w:t xml:space="preserve">Xác định đơn giá của công trình xây dựng</w:t>
      </w:r>
      <w:r>
        <w:rPr>
          <w:rFonts w:ascii="Times New Roman" w:hAnsi="Times New Roman" w:eastAsia="Times New Roman" w:cs="Times New Roman"/>
          <w:sz w:val="24"/>
        </w:rPr>
      </w:r>
      <w:r/>
    </w:p>
    <w:p>
      <w:p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right="0" w:firstLine="180" w:left="0"/>
        <w:jc w:val="both"/>
        <w:rPr/>
      </w:pPr>
      <w:r>
        <w:rPr>
          <w:rFonts w:ascii="Times New Roman" w:hAnsi="Times New Roman" w:eastAsia="Times New Roman" w:cs="Times New Roman"/>
          <w:color w:val="000000"/>
          <w:sz w:val="24"/>
        </w:rPr>
        <w:t xml:space="preserve">Qu</w:t>
      </w:r>
      <w:r>
        <w:rPr>
          <w:rFonts w:ascii="Times New Roman" w:hAnsi="Times New Roman" w:eastAsia="Times New Roman" w:cs="Times New Roman"/>
          <w:color w:val="000000"/>
          <w:sz w:val="24"/>
          <w:highlight w:val="white"/>
        </w:rPr>
        <w:t xml:space="preserve">a t</w:t>
      </w:r>
      <w:r>
        <w:rPr>
          <w:rFonts w:ascii="Times New Roman" w:hAnsi="Times New Roman" w:eastAsia="Times New Roman" w:cs="Times New Roman"/>
          <w:color w:val="000000"/>
          <w:sz w:val="24"/>
          <w:highlight w:val="white"/>
        </w:rPr>
        <w:t xml:space="preserve">ham khảo thị trường về đơn giá xây dựng mới đối với công trình nhà 4 tầng, cân nhắc và xem xét với mức độ hoàn thiện của công trình xây dựng hiện có, tổ thẩm định nhận thấy đơn giá vận dụng theo Quyết định</w:t>
      </w:r>
      <w:r>
        <w:rPr>
          <w:rFonts w:ascii="Times New Roman" w:hAnsi="Times New Roman" w:eastAsia="Times New Roman" w:cs="Times New Roman"/>
          <w:color w:val="000000" w:themeColor="text1"/>
          <w:sz w:val="24"/>
          <w:szCs w:val="24"/>
          <w:highlight w:val="white"/>
        </w:rPr>
        <w:t xml:space="preserve"> số </w:t>
      </w:r>
      <w:r>
        <w:rPr>
          <w:rFonts w:ascii="Times New Roman" w:hAnsi="Times New Roman" w:eastAsia="Times New Roman" w:cs="Times New Roman"/>
          <w:color w:val="000000" w:themeColor="text1"/>
          <w:sz w:val="24"/>
          <w:szCs w:val="24"/>
          <w:highlight w:val="white"/>
        </w:rPr>
        <w:t xml:space="preserve">425/QĐ-BXD</w:t>
      </w:r>
      <w:r>
        <w:rPr>
          <w:rFonts w:ascii="Times New Roman" w:hAnsi="Times New Roman" w:eastAsia="Times New Roman" w:cs="Times New Roman"/>
          <w:color w:val="000000" w:themeColor="text1"/>
          <w:sz w:val="24"/>
          <w:szCs w:val="24"/>
        </w:rPr>
        <w:t xml:space="preserve"> ng</w:t>
      </w:r>
      <w:r>
        <w:rPr>
          <w:rFonts w:ascii="Times New Roman" w:hAnsi="Times New Roman" w:eastAsia="Times New Roman" w:cs="Times New Roman"/>
          <w:color w:val="000000"/>
          <w:sz w:val="24"/>
        </w:rPr>
        <w:t xml:space="preserve">ày 30 tháng 3 năm 2026 của Bộ</w:t>
      </w:r>
      <w:r>
        <w:rPr>
          <w:rFonts w:ascii="Times New Roman" w:hAnsi="Times New Roman" w:eastAsia="Times New Roman" w:cs="Times New Roman"/>
          <w:color w:val="000000"/>
          <w:sz w:val="24"/>
        </w:rPr>
        <w:t xml:space="preserve"> Xây dựng về việc công bố suất vốn đầu tư xây dựng và giá xây dựng tổng hợp bộ phận kết cấu công trình năm 2025 là khá phù hợp với thị trường, theo đó:</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right="0" w:firstLine="426" w:left="0"/>
        <w:jc w:val="both"/>
        <w:rPr/>
      </w:pPr>
      <w:r>
        <w:rPr>
          <w:rFonts w:ascii="Times New Roman" w:hAnsi="Times New Roman" w:eastAsia="Times New Roman" w:cs="Times New Roman"/>
          <w:i/>
          <w:color w:val="000000"/>
          <w:sz w:val="24"/>
        </w:rPr>
        <w:t xml:space="preserve">“Suất vốn đầu tư xây dựng Nhà từ 4 đến 5 tầng, kết cấu khung chịu lực BTCT; tường bao xây gạch; sàn, mái BTCT đổ tại chỗ, không có tầng hầm, Diện tích xây dựng từ 50 - dưới 70m</w:t>
      </w:r>
      <w:r>
        <w:rPr>
          <w:rFonts w:ascii="Times New Roman" w:hAnsi="Times New Roman" w:eastAsia="Times New Roman" w:cs="Times New Roman"/>
          <w:i/>
          <w:color w:val="000000"/>
          <w:sz w:val="20"/>
          <w:vertAlign w:val="superscript"/>
        </w:rPr>
        <w:t xml:space="preserve">2</w:t>
      </w:r>
      <w:r>
        <w:rPr>
          <w:rFonts w:ascii="Times New Roman" w:hAnsi="Times New Roman" w:eastAsia="Times New Roman" w:cs="Times New Roman"/>
          <w:i/>
          <w:color w:val="000000"/>
          <w:sz w:val="24"/>
        </w:rPr>
        <w:t xml:space="preserve"> có đơn giá là 8.497.000 đồng/m² sàn.</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right="0" w:firstLine="426" w:left="0"/>
        <w:jc w:val="both"/>
        <w:rPr/>
      </w:pPr>
      <w:r>
        <w:rPr>
          <w:rFonts w:ascii="Times New Roman" w:hAnsi="Times New Roman" w:eastAsia="Times New Roman" w:cs="Times New Roman"/>
          <w:i/>
          <w:color w:val="000000"/>
          <w:sz w:val="24"/>
        </w:rPr>
        <w:t xml:space="preserve">Hệ số điều chỉnh vùng cho Suất đầu tư: Hà Nội thuộc vùng 7 có hệ số điều chỉnh là 0,952.”</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right="0" w:firstLine="426" w:left="0"/>
        <w:jc w:val="both"/>
        <w:rPr/>
      </w:pPr>
      <w:r>
        <w:rPr>
          <w:rFonts w:ascii="Times New Roman" w:hAnsi="Times New Roman" w:eastAsia="Times New Roman" w:cs="Times New Roman"/>
          <w:i/>
          <w:color w:val="000000"/>
          <w:sz w:val="24"/>
        </w:rPr>
        <w:t xml:space="preserve">Do đó, Tổ thẩm định xác định đơn giá xây mới của công trình xây dựng là: (Suất đầu tư xây dựng) x (Hệ số vùng) = 8.497.000 x 0,952/1.1 = 7.353.767 đồng/m² sàn. </w:t>
      </w:r>
      <w:r/>
    </w:p>
    <w:p>
      <w:pPr>
        <w:numPr>
          <w:ilvl w:val="0"/>
          <w:numId w:val="42"/>
        </w:numPr>
        <w:pBdr>
          <w:top w:val="none" w:color="000000" w:sz="4" w:space="0"/>
          <w:left w:val="none" w:color="000000" w:sz="4" w:space="0"/>
          <w:bottom w:val="none" w:color="000000" w:sz="4" w:space="0"/>
          <w:right w:val="none" w:color="000000" w:sz="4" w:space="0"/>
        </w:pBdr>
        <w:spacing w:after="120" w:before="120" w:line="264" w:lineRule="auto"/>
        <w:ind/>
        <w:jc w:val="both"/>
        <w:rPr/>
      </w:pPr>
      <w:r>
        <w:rPr>
          <w:rFonts w:ascii="Times New Roman" w:hAnsi="Times New Roman" w:eastAsia="Times New Roman" w:cs="Times New Roman"/>
          <w:b/>
          <w:color w:val="000000"/>
          <w:sz w:val="24"/>
        </w:rPr>
        <w:t xml:space="preserve">Xác định giá trị hao mòn theo kỹ thuật tuổi đời:</w:t>
      </w:r>
      <w:r/>
    </w:p>
    <w:p>
      <w:pPr>
        <w:pBdr>
          <w:top w:val="none" w:color="000000" w:sz="4" w:space="0"/>
          <w:left w:val="none" w:color="000000" w:sz="4" w:space="0"/>
          <w:bottom w:val="none" w:color="000000" w:sz="4" w:space="0"/>
          <w:right w:val="none" w:color="000000" w:sz="4" w:space="0"/>
        </w:pBdr>
        <w:spacing w:after="80" w:before="80" w:line="264" w:lineRule="auto"/>
        <w:ind w:right="0" w:firstLine="284" w:left="0"/>
        <w:jc w:val="both"/>
        <w:rPr/>
      </w:pPr>
      <w:r>
        <w:rPr>
          <w:rFonts w:ascii="Times New Roman" w:hAnsi="Times New Roman" w:eastAsia="Times New Roman" w:cs="Times New Roman"/>
          <w:color w:val="000000"/>
          <w:spacing w:val="2"/>
          <w:sz w:val="24"/>
        </w:rPr>
        <w:t xml:space="preserve">Tỉ lệ hao mòn được tính toán theo phương pháp tuổi đời:</w:t>
      </w:r>
      <w:r/>
    </w:p>
    <w:p>
      <w:pPr>
        <w:pBdr>
          <w:top w:val="none" w:color="000000" w:sz="4" w:space="0"/>
          <w:left w:val="none" w:color="000000" w:sz="4" w:space="0"/>
          <w:bottom w:val="none" w:color="000000" w:sz="4" w:space="0"/>
          <w:right w:val="none" w:color="000000" w:sz="4" w:space="0"/>
        </w:pBdr>
        <w:spacing w:after="80" w:before="80" w:line="264" w:lineRule="auto"/>
        <w:ind w:right="0" w:firstLine="284" w:left="0"/>
        <w:jc w:val="both"/>
        <w:rPr/>
      </w:pPr>
      <w:r>
        <w:rPr>
          <w:rFonts w:ascii="Times New Roman" w:hAnsi="Times New Roman" w:eastAsia="Times New Roman" w:cs="Times New Roman"/>
          <w:color w:val="000000"/>
          <w:spacing w:val="2"/>
          <w:sz w:val="24"/>
        </w:rPr>
        <w:t xml:space="preserve">Công thức: Tỉ lệ hao mòn = Tuổi đời hiệu quả/ Tuổi đời kinh tế</w:t>
      </w:r>
      <w:r/>
    </w:p>
    <w:p>
      <w:pPr>
        <w:pBdr>
          <w:top w:val="none" w:color="000000" w:sz="4" w:space="0"/>
          <w:left w:val="none" w:color="000000" w:sz="4" w:space="0"/>
          <w:bottom w:val="none" w:color="000000" w:sz="4" w:space="0"/>
          <w:right w:val="none" w:color="000000" w:sz="4" w:space="0"/>
        </w:pBdr>
        <w:spacing w:after="80" w:before="80" w:line="264" w:lineRule="auto"/>
        <w:ind w:right="0" w:firstLine="284" w:left="0"/>
        <w:jc w:val="both"/>
        <w:rPr/>
      </w:pPr>
      <w:r>
        <w:rPr>
          <w:rFonts w:ascii="Times New Roman" w:hAnsi="Times New Roman" w:eastAsia="Times New Roman" w:cs="Times New Roman"/>
          <w:color w:val="000000"/>
          <w:spacing w:val="2"/>
          <w:sz w:val="24"/>
        </w:rPr>
        <w:t xml:space="preserve">Tổ thẩm định giả định rằng công trình xây dựng hoạt động liên tục trong khoảng thời gian trích khấu hao được duy tu, sửa chữa định kỳ và đúng quy trình nên tuổi đời hiệu quả bằng tuổi đời thực tế. Theo thông tin khách hàng cung cấp, công trình được hoàn th</w:t>
      </w:r>
      <w:r>
        <w:rPr>
          <w:rFonts w:ascii="Times New Roman" w:hAnsi="Times New Roman" w:eastAsia="Times New Roman" w:cs="Times New Roman"/>
          <w:color w:val="000000"/>
          <w:spacing w:val="2"/>
          <w:sz w:val="24"/>
        </w:rPr>
        <w:t xml:space="preserve">ành đưa vào sử dụng khoảng năm 2015, do vậy tổ thẩm định xác định tuổi đời hiệu quả của công trình là khoảng 10 năm.</w:t>
      </w:r>
      <w:r/>
    </w:p>
    <w:p>
      <w:pPr>
        <w:pBdr>
          <w:top w:val="none" w:color="000000" w:sz="4" w:space="0"/>
          <w:left w:val="none" w:color="000000" w:sz="4" w:space="0"/>
          <w:bottom w:val="none" w:color="000000" w:sz="4" w:space="0"/>
          <w:right w:val="none" w:color="000000" w:sz="4" w:space="0"/>
        </w:pBdr>
        <w:spacing w:after="80" w:before="80" w:line="264" w:lineRule="auto"/>
        <w:ind w:right="0" w:firstLine="284" w:left="0"/>
        <w:jc w:val="both"/>
        <w:rPr>
          <w:rFonts w:ascii="Times New Roman" w:hAnsi="Times New Roman" w:eastAsia="Times New Roman" w:cs="Times New Roman"/>
          <w:sz w:val="24"/>
          <w:szCs w:val="24"/>
          <w:highlight w:val="none"/>
        </w:rPr>
      </w:pPr>
      <w:r>
        <w:rPr>
          <w:rFonts w:ascii="Times New Roman" w:hAnsi="Times New Roman" w:eastAsia="Times New Roman" w:cs="Times New Roman"/>
          <w:color w:val="000000"/>
          <w:sz w:val="24"/>
        </w:rPr>
        <w:t xml:space="preserve">Vận dụng thời gian trích khấu hao TSCĐ tại Thông tư 45/2013/TT-BTC của Bộ Tài Chính về việc hướng dẫn chế độ quản lý, sử dụng và trích khấu hao tài sản cố định ngày 25/4/2013, kết hợp với khảo sát thông tin thị trường và quan sát hiện trạng thực tế công tr</w:t>
      </w:r>
      <w:r>
        <w:rPr>
          <w:rFonts w:ascii="Times New Roman" w:hAnsi="Times New Roman" w:eastAsia="Times New Roman" w:cs="Times New Roman"/>
          <w:color w:val="000000"/>
          <w:sz w:val="24"/>
        </w:rPr>
        <w:t xml:space="preserve">ình, tổ thẩm định xác định tuổi đời kinh tế của tài sản thẩm định là 50 năm.</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pPr>
        <w:pBdr>
          <w:top w:val="none" w:color="000000" w:sz="4" w:space="0"/>
          <w:left w:val="none" w:color="000000" w:sz="4" w:space="0"/>
          <w:bottom w:val="none" w:color="000000" w:sz="4" w:space="0"/>
          <w:right w:val="none" w:color="000000" w:sz="4" w:space="0"/>
        </w:pBdr>
        <w:spacing w:after="80" w:before="80" w:line="264" w:lineRule="auto"/>
        <w:ind w:right="0" w:firstLine="284" w:left="0"/>
        <w:jc w:val="both"/>
        <w:rPr>
          <w:rFonts w:ascii="Times New Roman" w:hAnsi="Times New Roman" w:eastAsia="Times New Roman" w:cs="Times New Roman"/>
          <w:sz w:val="24"/>
          <w:szCs w:val="24"/>
          <w:highlight w:val="none"/>
        </w:rPr>
      </w:pP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pPr>
        <w:pBdr>
          <w:top w:val="none" w:color="000000" w:sz="4" w:space="0"/>
          <w:left w:val="none" w:color="000000" w:sz="4" w:space="0"/>
          <w:bottom w:val="none" w:color="000000" w:sz="4" w:space="0"/>
          <w:right w:val="none" w:color="000000" w:sz="4" w:space="0"/>
        </w:pBdr>
        <w:spacing w:after="80" w:before="80" w:line="264" w:lineRule="auto"/>
        <w:ind w:right="0" w:firstLine="284" w:left="0"/>
        <w:jc w:val="both"/>
        <w:rPr>
          <w:rFonts w:ascii="Times New Roman" w:hAnsi="Times New Roman" w:eastAsia="Times New Roman" w:cs="Times New Roman"/>
          <w:sz w:val="24"/>
          <w:szCs w:val="24"/>
          <w:highlight w:val="none"/>
        </w:rPr>
      </w:pPr>
      <w:r>
        <w:rPr>
          <w:rFonts w:ascii="Times New Roman" w:hAnsi="Times New Roman" w:eastAsia="Times New Roman" w:cs="Times New Roman"/>
          <w:sz w:val="24"/>
          <w:highlight w:val="none"/>
        </w:rPr>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tbl>
      <w:tblPr>
        <w:tblStyle w:val="1039"/>
        <w:tblInd w:w="-5"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34053"/>
        <w:gridCol w:w="25011"/>
        <w:gridCol w:w="20431"/>
        <w:gridCol w:w="20431"/>
        <w:gridCol w:w="20431"/>
        <w:gridCol w:w="27976"/>
      </w:tblGrid>
      <w:tr>
        <w:trPr>
          <w:trHeight w:val="19"/>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40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64" w:lineRule="auto"/>
              <w:ind w:right="0" w:firstLine="0" w:left="0"/>
              <w:jc w:val="center"/>
              <w:rPr/>
            </w:pPr>
            <w:r>
              <w:rPr>
                <w:rFonts w:ascii="Times New Roman" w:hAnsi="Times New Roman" w:eastAsia="Times New Roman" w:cs="Times New Roman"/>
                <w:b/>
                <w:color w:val="000000"/>
                <w:sz w:val="24"/>
              </w:rPr>
              <w:t xml:space="preserve">Tên tài sản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501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64" w:lineRule="auto"/>
              <w:ind w:right="0" w:firstLine="0" w:left="0"/>
              <w:jc w:val="center"/>
              <w:rPr/>
            </w:pPr>
            <w:r>
              <w:rPr>
                <w:rFonts w:ascii="Times New Roman" w:hAnsi="Times New Roman" w:eastAsia="Times New Roman" w:cs="Times New Roman"/>
                <w:b/>
                <w:color w:val="000000"/>
                <w:sz w:val="24"/>
              </w:rPr>
              <w:t xml:space="preserve">Thời điểm thẩm định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4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64" w:lineRule="auto"/>
              <w:ind w:right="0" w:firstLine="0" w:left="0"/>
              <w:jc w:val="center"/>
              <w:rPr/>
            </w:pPr>
            <w:r>
              <w:rPr>
                <w:rFonts w:ascii="Times New Roman" w:hAnsi="Times New Roman" w:eastAsia="Times New Roman" w:cs="Times New Roman"/>
                <w:b/>
                <w:color w:val="000000"/>
                <w:sz w:val="24"/>
              </w:rPr>
              <w:t xml:space="preserve">Tuổi đời kinh tế (năm)</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4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64" w:lineRule="auto"/>
              <w:ind w:right="0" w:firstLine="0" w:left="0"/>
              <w:jc w:val="center"/>
              <w:rPr/>
            </w:pPr>
            <w:r>
              <w:rPr>
                <w:rFonts w:ascii="Times New Roman" w:hAnsi="Times New Roman" w:eastAsia="Times New Roman" w:cs="Times New Roman"/>
                <w:b/>
                <w:color w:val="000000"/>
                <w:sz w:val="24"/>
              </w:rPr>
              <w:t xml:space="preserve">Tuổi đời hiệu quả (năm)</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4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64" w:lineRule="auto"/>
              <w:ind w:right="0" w:firstLine="0" w:left="0"/>
              <w:jc w:val="center"/>
              <w:rPr/>
            </w:pPr>
            <w:r>
              <w:rPr>
                <w:rFonts w:ascii="Times New Roman" w:hAnsi="Times New Roman" w:eastAsia="Times New Roman" w:cs="Times New Roman"/>
                <w:b/>
                <w:color w:val="000000"/>
                <w:sz w:val="24"/>
              </w:rPr>
              <w:t xml:space="preserve">Tỉ lệ hao mòn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79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64" w:lineRule="auto"/>
              <w:ind w:right="0" w:firstLine="0" w:left="0"/>
              <w:jc w:val="center"/>
              <w:rPr/>
            </w:pPr>
            <w:r>
              <w:rPr>
                <w:rFonts w:ascii="Times New Roman" w:hAnsi="Times New Roman" w:eastAsia="Times New Roman" w:cs="Times New Roman"/>
                <w:b/>
                <w:color w:val="000000"/>
                <w:sz w:val="24"/>
              </w:rPr>
              <w:t xml:space="preserve">Giá trị hao mòn (đồng)</w:t>
            </w:r>
            <w:r/>
          </w:p>
        </w:tc>
      </w:tr>
      <w:tr>
        <w:trPr>
          <w:trHeight w:val="19"/>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40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64" w:lineRule="auto"/>
              <w:ind w:right="0" w:firstLine="0" w:left="0"/>
              <w:jc w:val="center"/>
              <w:rPr/>
            </w:pPr>
            <w:r>
              <w:rPr>
                <w:rFonts w:ascii="Times New Roman" w:hAnsi="Times New Roman" w:eastAsia="Times New Roman" w:cs="Times New Roman"/>
                <w:color w:val="000000"/>
                <w:sz w:val="24"/>
              </w:rPr>
              <w:t xml:space="preserve">Nhà 4 tầng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5011" w:type="dxa"/>
            <w:vAlign w:val="top"/>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64" w:lineRule="auto"/>
              <w:ind w:right="0" w:firstLine="0" w:left="0"/>
              <w:jc w:val="center"/>
              <w:rPr>
                <w:highlight w:val="white"/>
              </w:rPr>
            </w:pPr>
            <w:r>
              <w:rPr>
                <w:rFonts w:ascii="Times New Roman" w:hAnsi="Times New Roman" w:eastAsia="Times New Roman" w:cs="Times New Roman"/>
                <w:color w:val="000000"/>
                <w:sz w:val="24"/>
                <w:highlight w:val="white"/>
              </w:rPr>
              <w:t xml:space="preserve">T4/2026</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431" w:type="dxa"/>
            <w:vAlign w:val="top"/>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64" w:lineRule="auto"/>
              <w:ind w:right="0" w:firstLine="0" w:left="0"/>
              <w:jc w:val="center"/>
              <w:rPr/>
            </w:pPr>
            <w:r>
              <w:rPr>
                <w:rFonts w:ascii="Times New Roman" w:hAnsi="Times New Roman" w:eastAsia="Times New Roman" w:cs="Times New Roman"/>
                <w:color w:val="000000"/>
                <w:sz w:val="24"/>
              </w:rPr>
              <w:t xml:space="preserve">50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431" w:type="dxa"/>
            <w:vAlign w:val="top"/>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64" w:lineRule="auto"/>
              <w:ind w:right="0" w:firstLine="0" w:left="0"/>
              <w:jc w:val="center"/>
              <w:rPr/>
            </w:pPr>
            <w:r>
              <w:rPr>
                <w:rFonts w:ascii="Times New Roman" w:hAnsi="Times New Roman" w:eastAsia="Times New Roman" w:cs="Times New Roman"/>
                <w:color w:val="000000"/>
                <w:sz w:val="24"/>
              </w:rPr>
              <w:t xml:space="preserve">11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431" w:type="dxa"/>
            <w:vAlign w:val="top"/>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64" w:lineRule="auto"/>
              <w:ind w:right="0" w:firstLine="0" w:left="0"/>
              <w:jc w:val="center"/>
              <w:rPr/>
            </w:pPr>
            <w:r>
              <w:rPr>
                <w:rFonts w:ascii="Times New Roman" w:hAnsi="Times New Roman" w:eastAsia="Times New Roman" w:cs="Times New Roman"/>
                <w:color w:val="000000"/>
                <w:sz w:val="24"/>
              </w:rPr>
              <w:t xml:space="preserve">22%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7976" w:type="dxa"/>
            <w:vAlign w:val="center"/>
            <w:textDirection w:val="lrTb"/>
            <w:noWrap w:val="false"/>
          </w:tcPr>
          <w:p>
            <w:pPr>
              <w:pBdr/>
              <w:spacing w:after="60" w:before="60"/>
              <w:ind/>
              <w:jc w:val="center"/>
              <w:rPr>
                <w:sz w:val="22"/>
                <w:szCs w:val="22"/>
                <w:highlight w:val="yellow"/>
              </w:rPr>
            </w:pPr>
            <w:r>
              <w:rPr>
                <w:sz w:val="22"/>
                <w:szCs w:val="22"/>
                <w:highlight w:val="none"/>
              </w:rPr>
              <w:t xml:space="preserve">380.513.319</w:t>
            </w:r>
            <w:r>
              <w:rPr>
                <w:sz w:val="22"/>
                <w:szCs w:val="22"/>
                <w:highlight w:val="yellow"/>
              </w:rPr>
            </w:r>
            <w:r>
              <w:rPr>
                <w:sz w:val="22"/>
                <w:szCs w:val="22"/>
                <w:highlight w:val="yellow"/>
              </w:rPr>
            </w:r>
          </w:p>
        </w:tc>
      </w:tr>
    </w:tbl>
    <w:p>
      <w:pPr>
        <w:numPr>
          <w:ilvl w:val="0"/>
          <w:numId w:val="43"/>
        </w:numPr>
        <w:pBdr>
          <w:top w:val="none" w:color="000000" w:sz="4" w:space="0"/>
          <w:left w:val="none" w:color="000000" w:sz="4" w:space="0"/>
          <w:bottom w:val="none" w:color="000000" w:sz="4" w:space="0"/>
          <w:right w:val="none" w:color="000000" w:sz="4" w:space="0"/>
        </w:pBdr>
        <w:spacing w:after="120" w:before="240" w:line="264" w:lineRule="auto"/>
        <w:ind/>
        <w:jc w:val="both"/>
        <w:rPr/>
      </w:pPr>
      <w:r>
        <w:rPr>
          <w:rFonts w:ascii="Times New Roman" w:hAnsi="Times New Roman" w:eastAsia="Times New Roman" w:cs="Times New Roman"/>
          <w:b/>
          <w:color w:val="000000"/>
          <w:sz w:val="24"/>
        </w:rPr>
        <w:t xml:space="preserve">Xác định giá trị của công trình xây dựng trên đất:</w:t>
      </w:r>
      <w:r/>
    </w:p>
    <w:p>
      <w:pPr>
        <w:pBdr>
          <w:top w:val="none" w:color="000000" w:sz="4" w:space="0"/>
          <w:left w:val="none" w:color="000000" w:sz="4" w:space="0"/>
          <w:bottom w:val="none" w:color="000000" w:sz="4" w:space="0"/>
          <w:right w:val="none" w:color="000000" w:sz="4" w:space="0"/>
        </w:pBdr>
        <w:spacing w:after="80" w:before="80" w:line="264" w:lineRule="auto"/>
        <w:ind w:right="0" w:firstLine="284" w:left="0"/>
        <w:jc w:val="both"/>
        <w:rPr/>
      </w:pPr>
      <w:r>
        <w:rPr>
          <w:rFonts w:ascii="Times New Roman" w:hAnsi="Times New Roman" w:eastAsia="Times New Roman" w:cs="Times New Roman"/>
          <w:color w:val="000000"/>
          <w:spacing w:val="2"/>
          <w:sz w:val="24"/>
        </w:rPr>
        <w:t xml:space="preserve">Công thức:</w:t>
      </w:r>
      <w:r/>
    </w:p>
    <w:tbl>
      <w:tblPr>
        <w:tblStyle w:val="1039"/>
        <w:tblInd w:w="0"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autofit"/>
        <w:tblLook w:val="04A0" w:firstRow="1" w:lastRow="0" w:firstColumn="1" w:lastColumn="0" w:noHBand="0" w:noVBand="1"/>
      </w:tblPr>
      <w:tblGrid>
        <w:gridCol w:w="1551"/>
        <w:gridCol w:w="349"/>
        <w:gridCol w:w="3699"/>
        <w:gridCol w:w="571"/>
        <w:gridCol w:w="2386"/>
      </w:tblGrid>
      <w:tr>
        <w:trPr>
          <w:trHeight w:val="794"/>
        </w:trPr>
        <w:tc>
          <w:tcPr>
            <w:tcBorders/>
            <w:tcMar>
              <w:left w:w="108" w:type="dxa"/>
              <w:top w:w="0" w:type="dxa"/>
              <w:right w:w="108" w:type="dxa"/>
              <w:bottom w:w="0" w:type="dxa"/>
            </w:tcMar>
            <w:tcW w:w="1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line="264" w:lineRule="auto"/>
              <w:ind w:right="0" w:firstLine="0" w:left="0"/>
              <w:jc w:val="center"/>
              <w:rPr/>
            </w:pPr>
            <w:r>
              <w:rPr>
                <w:rFonts w:ascii="Times New Roman" w:hAnsi="Times New Roman" w:eastAsia="Times New Roman" w:cs="Times New Roman"/>
                <w:color w:val="000000"/>
                <w:sz w:val="24"/>
              </w:rPr>
              <w:t xml:space="preserve">Giá trị ước tính của tài sản</w:t>
            </w:r>
            <w:r/>
          </w:p>
        </w:tc>
        <w:tc>
          <w:tcPr>
            <w:tcBorders/>
            <w:tcMar>
              <w:left w:w="108" w:type="dxa"/>
              <w:top w:w="0" w:type="dxa"/>
              <w:right w:w="108" w:type="dxa"/>
              <w:bottom w:w="0" w:type="dxa"/>
            </w:tcMar>
            <w:tcW w:w="3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line="264"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369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line="264" w:lineRule="auto"/>
              <w:ind w:right="0" w:firstLine="0" w:left="0"/>
              <w:jc w:val="center"/>
              <w:rPr/>
            </w:pPr>
            <w:r>
              <w:rPr>
                <w:rFonts w:ascii="Times New Roman" w:hAnsi="Times New Roman" w:eastAsia="Times New Roman" w:cs="Times New Roman"/>
                <w:color w:val="000000"/>
                <w:sz w:val="24"/>
              </w:rPr>
              <w:t xml:space="preserve">Chi phí thay thế </w:t>
            </w:r>
            <w:r/>
          </w:p>
          <w:p>
            <w:pPr>
              <w:pBdr>
                <w:top w:val="none" w:color="000000" w:sz="4" w:space="0"/>
                <w:left w:val="none" w:color="000000" w:sz="4" w:space="0"/>
                <w:bottom w:val="none" w:color="000000" w:sz="4" w:space="0"/>
                <w:right w:val="none" w:color="000000" w:sz="4" w:space="0"/>
              </w:pBdr>
              <w:shd w:val="clear" w:color="ffffff" w:fill="ffffff"/>
              <w:spacing w:after="120" w:before="0" w:line="264" w:lineRule="auto"/>
              <w:ind w:right="0" w:firstLine="0" w:left="0"/>
              <w:jc w:val="center"/>
              <w:rPr/>
            </w:pPr>
            <w:r>
              <w:rPr>
                <w:rFonts w:ascii="Times New Roman" w:hAnsi="Times New Roman" w:eastAsia="Times New Roman" w:cs="Times New Roman"/>
                <w:color w:val="000000"/>
                <w:sz w:val="24"/>
              </w:rPr>
              <w:t xml:space="preserve">(Giá trị xây mới tài sản-đã bao gồm lợi nhuận của nhà sản xuất/nhà đầu tư)</w:t>
            </w:r>
            <w:r/>
          </w:p>
        </w:tc>
        <w:tc>
          <w:tcPr>
            <w:tcBorders/>
            <w:tcMar>
              <w:left w:w="108" w:type="dxa"/>
              <w:top w:w="0" w:type="dxa"/>
              <w:right w:w="108" w:type="dxa"/>
              <w:bottom w:w="0" w:type="dxa"/>
            </w:tcMar>
            <w:tcW w:w="5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line="264"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23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line="264" w:lineRule="auto"/>
              <w:ind w:right="0" w:firstLine="0" w:left="0"/>
              <w:jc w:val="center"/>
              <w:rPr/>
            </w:pPr>
            <w:r>
              <w:rPr>
                <w:rFonts w:ascii="Times New Roman" w:hAnsi="Times New Roman" w:eastAsia="Times New Roman" w:cs="Times New Roman"/>
                <w:color w:val="000000"/>
                <w:sz w:val="24"/>
              </w:rPr>
              <w:t xml:space="preserve">Tổng giá trị hao mòn </w:t>
            </w:r>
            <w:r/>
          </w:p>
        </w:tc>
      </w:tr>
    </w:tbl>
    <w:p>
      <w:pPr>
        <w:pBdr>
          <w:top w:val="none" w:color="000000" w:sz="4" w:space="0"/>
          <w:left w:val="none" w:color="000000" w:sz="4" w:space="0"/>
          <w:bottom w:val="none" w:color="000000" w:sz="4" w:space="0"/>
          <w:right w:val="none" w:color="000000" w:sz="4" w:space="0"/>
        </w:pBdr>
        <w:spacing w:after="80" w:before="80" w:line="264" w:lineRule="auto"/>
        <w:ind w:right="0" w:firstLine="284" w:left="0"/>
        <w:jc w:val="both"/>
        <w:rPr/>
      </w:pPr>
      <w:r>
        <w:rPr>
          <w:rFonts w:ascii="Times New Roman" w:hAnsi="Times New Roman" w:eastAsia="Times New Roman" w:cs="Times New Roman"/>
          <w:sz w:val="24"/>
          <w:highlight w:val="none"/>
        </w:rPr>
      </w:r>
      <w:r>
        <w:rPr>
          <w:rFonts w:ascii="Times New Roman" w:hAnsi="Times New Roman" w:eastAsia="Times New Roman" w:cs="Times New Roman"/>
          <w:sz w:val="24"/>
          <w:highlight w:val="none"/>
        </w:rPr>
      </w:r>
      <w:r/>
    </w:p>
    <w:tbl>
      <w:tblPr>
        <w:tblInd w:w="-714" w:type="dxa"/>
        <w:tblW w:w="106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418"/>
        <w:gridCol w:w="1275"/>
        <w:gridCol w:w="1560"/>
        <w:gridCol w:w="1701"/>
        <w:gridCol w:w="1139"/>
        <w:gridCol w:w="1559"/>
        <w:gridCol w:w="1968"/>
      </w:tblGrid>
      <w:tr>
        <w:trPr>
          <w:trHeight w:val="936"/>
        </w:trPr>
        <w:tc>
          <w:tcPr>
            <w:shd w:val="clear" w:color="000000" w:fill="ffffff"/>
            <w:tcBorders/>
            <w:tcW w:w="1418" w:type="dxa"/>
            <w:vAlign w:val="center"/>
            <w:textDirection w:val="lrTb"/>
            <w:noWrap w:val="false"/>
          </w:tcPr>
          <w:p>
            <w:pPr>
              <w:pBdr/>
              <w:spacing w:after="60" w:before="60"/>
              <w:ind/>
              <w:jc w:val="center"/>
              <w:rPr>
                <w:b/>
                <w:bCs/>
                <w:sz w:val="22"/>
                <w:szCs w:val="22"/>
              </w:rPr>
            </w:pPr>
            <w:r>
              <w:rPr>
                <w:b/>
                <w:bCs/>
                <w:sz w:val="22"/>
                <w:szCs w:val="22"/>
              </w:rPr>
              <w:t xml:space="preserve">Tài sản</w:t>
            </w:r>
            <w:r>
              <w:rPr>
                <w:b/>
                <w:bCs/>
                <w:sz w:val="22"/>
                <w:szCs w:val="22"/>
              </w:rPr>
            </w:r>
            <w:r>
              <w:rPr>
                <w:b/>
                <w:bCs/>
                <w:sz w:val="22"/>
                <w:szCs w:val="22"/>
              </w:rPr>
            </w:r>
          </w:p>
        </w:tc>
        <w:tc>
          <w:tcPr>
            <w:shd w:val="clear" w:color="000000" w:fill="ffffff"/>
            <w:tcBorders/>
            <w:tcW w:w="1275" w:type="dxa"/>
            <w:vAlign w:val="center"/>
            <w:textDirection w:val="lrTb"/>
            <w:noWrap w:val="false"/>
          </w:tcPr>
          <w:p>
            <w:pPr>
              <w:pBdr/>
              <w:spacing w:after="60" w:before="60"/>
              <w:ind/>
              <w:jc w:val="center"/>
              <w:rPr>
                <w:b/>
                <w:bCs/>
                <w:sz w:val="22"/>
                <w:szCs w:val="22"/>
              </w:rPr>
            </w:pPr>
            <w:r>
              <w:rPr>
                <w:b/>
                <w:bCs/>
                <w:sz w:val="22"/>
                <w:szCs w:val="22"/>
              </w:rPr>
              <w:t xml:space="preserve">Diện tích sàn (m²)</w:t>
            </w:r>
            <w:r>
              <w:rPr>
                <w:b/>
                <w:bCs/>
                <w:sz w:val="22"/>
                <w:szCs w:val="22"/>
              </w:rPr>
            </w:r>
            <w:r>
              <w:rPr>
                <w:b/>
                <w:bCs/>
                <w:sz w:val="22"/>
                <w:szCs w:val="22"/>
              </w:rPr>
            </w:r>
          </w:p>
        </w:tc>
        <w:tc>
          <w:tcPr>
            <w:shd w:val="clear" w:color="000000" w:fill="ffffff"/>
            <w:tcBorders/>
            <w:tcW w:w="1560" w:type="dxa"/>
            <w:vAlign w:val="center"/>
            <w:textDirection w:val="lrTb"/>
            <w:noWrap w:val="false"/>
          </w:tcPr>
          <w:p>
            <w:pPr>
              <w:pBdr/>
              <w:spacing w:after="60" w:before="60"/>
              <w:ind/>
              <w:jc w:val="center"/>
              <w:rPr>
                <w:b/>
                <w:bCs/>
                <w:sz w:val="22"/>
                <w:szCs w:val="22"/>
              </w:rPr>
            </w:pPr>
            <w:r>
              <w:rPr>
                <w:b/>
                <w:bCs/>
                <w:sz w:val="22"/>
                <w:szCs w:val="22"/>
              </w:rPr>
              <w:t xml:space="preserve">Đơn giá xây dựng mới (đồng/m² sàn)</w:t>
            </w:r>
            <w:r>
              <w:rPr>
                <w:b/>
                <w:bCs/>
                <w:sz w:val="22"/>
                <w:szCs w:val="22"/>
              </w:rPr>
            </w:r>
            <w:r>
              <w:rPr>
                <w:b/>
                <w:bCs/>
                <w:sz w:val="22"/>
                <w:szCs w:val="22"/>
              </w:rPr>
            </w:r>
          </w:p>
        </w:tc>
        <w:tc>
          <w:tcPr>
            <w:shd w:val="clear" w:color="000000" w:fill="ffffff"/>
            <w:tcBorders/>
            <w:tcW w:w="1701" w:type="dxa"/>
            <w:vAlign w:val="center"/>
            <w:textDirection w:val="lrTb"/>
            <w:noWrap w:val="false"/>
          </w:tcPr>
          <w:p>
            <w:pPr>
              <w:pBdr/>
              <w:spacing w:after="60" w:before="60"/>
              <w:ind/>
              <w:jc w:val="center"/>
              <w:rPr>
                <w:b/>
                <w:bCs/>
                <w:sz w:val="22"/>
                <w:szCs w:val="22"/>
              </w:rPr>
            </w:pPr>
            <w:r>
              <w:rPr>
                <w:b/>
                <w:bCs/>
                <w:sz w:val="22"/>
                <w:szCs w:val="22"/>
              </w:rPr>
              <w:t xml:space="preserve">Chi phí thay thế (đồng)</w:t>
            </w:r>
            <w:r>
              <w:rPr>
                <w:b/>
                <w:bCs/>
                <w:sz w:val="22"/>
                <w:szCs w:val="22"/>
              </w:rPr>
            </w:r>
            <w:r>
              <w:rPr>
                <w:b/>
                <w:bCs/>
                <w:sz w:val="22"/>
                <w:szCs w:val="22"/>
              </w:rPr>
            </w:r>
          </w:p>
        </w:tc>
        <w:tc>
          <w:tcPr>
            <w:shd w:val="clear" w:color="000000" w:fill="ffffff"/>
            <w:tcBorders/>
            <w:tcW w:w="1139" w:type="dxa"/>
            <w:vAlign w:val="center"/>
            <w:textDirection w:val="lrTb"/>
            <w:noWrap w:val="false"/>
          </w:tcPr>
          <w:p>
            <w:pPr>
              <w:pBdr/>
              <w:spacing w:after="60" w:before="60"/>
              <w:ind/>
              <w:jc w:val="center"/>
              <w:rPr>
                <w:b/>
                <w:bCs/>
                <w:sz w:val="22"/>
                <w:szCs w:val="22"/>
              </w:rPr>
            </w:pPr>
            <w:r>
              <w:rPr>
                <w:b/>
                <w:bCs/>
                <w:sz w:val="22"/>
                <w:szCs w:val="22"/>
              </w:rPr>
              <w:t xml:space="preserve">Tỷ lệ hao mòn (%)</w:t>
            </w:r>
            <w:r>
              <w:rPr>
                <w:b/>
                <w:bCs/>
                <w:sz w:val="22"/>
                <w:szCs w:val="22"/>
              </w:rPr>
            </w:r>
            <w:r>
              <w:rPr>
                <w:b/>
                <w:bCs/>
                <w:sz w:val="22"/>
                <w:szCs w:val="22"/>
              </w:rPr>
            </w:r>
          </w:p>
        </w:tc>
        <w:tc>
          <w:tcPr>
            <w:shd w:val="clear" w:color="000000" w:fill="ffffff"/>
            <w:tcBorders/>
            <w:tcW w:w="1559" w:type="dxa"/>
            <w:vAlign w:val="center"/>
            <w:textDirection w:val="lrTb"/>
            <w:noWrap w:val="false"/>
          </w:tcPr>
          <w:p>
            <w:pPr>
              <w:pBdr/>
              <w:spacing w:after="60" w:before="60"/>
              <w:ind/>
              <w:jc w:val="center"/>
              <w:rPr>
                <w:b/>
                <w:bCs/>
                <w:sz w:val="22"/>
                <w:szCs w:val="22"/>
              </w:rPr>
            </w:pPr>
            <w:r>
              <w:rPr>
                <w:b/>
                <w:bCs/>
                <w:sz w:val="22"/>
                <w:szCs w:val="22"/>
              </w:rPr>
              <w:t xml:space="preserve">Giá trị hao mòn (đồng)</w:t>
            </w:r>
            <w:r>
              <w:rPr>
                <w:b/>
                <w:bCs/>
                <w:sz w:val="22"/>
                <w:szCs w:val="22"/>
              </w:rPr>
            </w:r>
            <w:r>
              <w:rPr>
                <w:b/>
                <w:bCs/>
                <w:sz w:val="22"/>
                <w:szCs w:val="22"/>
              </w:rPr>
            </w:r>
          </w:p>
        </w:tc>
        <w:tc>
          <w:tcPr>
            <w:shd w:val="clear" w:color="000000" w:fill="ffffff"/>
            <w:tcBorders/>
            <w:tcW w:w="1968" w:type="dxa"/>
            <w:vAlign w:val="center"/>
            <w:textDirection w:val="lrTb"/>
            <w:noWrap w:val="false"/>
          </w:tcPr>
          <w:p>
            <w:pPr>
              <w:pBdr/>
              <w:spacing w:after="60" w:before="60"/>
              <w:ind/>
              <w:jc w:val="center"/>
              <w:rPr>
                <w:b/>
                <w:bCs/>
                <w:sz w:val="22"/>
                <w:szCs w:val="22"/>
              </w:rPr>
            </w:pPr>
            <w:r>
              <w:rPr>
                <w:b/>
                <w:bCs/>
                <w:sz w:val="22"/>
                <w:szCs w:val="22"/>
              </w:rPr>
              <w:t xml:space="preserve">Giá trị thẩm định tại thời điểm thẩm định giá (đồng)</w:t>
            </w:r>
            <w:r>
              <w:rPr>
                <w:b/>
                <w:bCs/>
                <w:sz w:val="22"/>
                <w:szCs w:val="22"/>
              </w:rPr>
            </w:r>
            <w:r>
              <w:rPr>
                <w:b/>
                <w:bCs/>
                <w:sz w:val="22"/>
                <w:szCs w:val="22"/>
              </w:rPr>
            </w:r>
          </w:p>
        </w:tc>
      </w:tr>
      <w:tr>
        <w:trPr>
          <w:trHeight w:val="300"/>
        </w:trPr>
        <w:tc>
          <w:tcPr>
            <w:shd w:val="clear" w:color="000000" w:fill="ffffff"/>
            <w:tcBorders/>
            <w:tcW w:w="1418" w:type="dxa"/>
            <w:vAlign w:val="center"/>
            <w:textDirection w:val="lrTb"/>
            <w:noWrap w:val="false"/>
          </w:tcPr>
          <w:p>
            <w:pPr>
              <w:pBdr/>
              <w:spacing w:after="60" w:before="60"/>
              <w:ind/>
              <w:jc w:val="center"/>
              <w:rPr>
                <w:b/>
                <w:bCs/>
                <w:sz w:val="22"/>
                <w:szCs w:val="22"/>
              </w:rPr>
            </w:pPr>
            <w:r>
              <w:rPr>
                <w:b/>
                <w:bCs/>
                <w:sz w:val="22"/>
                <w:szCs w:val="22"/>
              </w:rPr>
              <w:t xml:space="preserve">(1)</w:t>
            </w:r>
            <w:r>
              <w:rPr>
                <w:b/>
                <w:bCs/>
                <w:sz w:val="22"/>
                <w:szCs w:val="22"/>
              </w:rPr>
            </w:r>
            <w:r>
              <w:rPr>
                <w:b/>
                <w:bCs/>
                <w:sz w:val="22"/>
                <w:szCs w:val="22"/>
              </w:rPr>
            </w:r>
          </w:p>
        </w:tc>
        <w:tc>
          <w:tcPr>
            <w:shd w:val="clear" w:color="000000" w:fill="ffffff"/>
            <w:tcBorders/>
            <w:tcW w:w="1275" w:type="dxa"/>
            <w:vAlign w:val="center"/>
            <w:textDirection w:val="lrTb"/>
            <w:noWrap w:val="false"/>
          </w:tcPr>
          <w:p>
            <w:pPr>
              <w:pBdr/>
              <w:spacing w:after="60" w:before="60"/>
              <w:ind/>
              <w:jc w:val="center"/>
              <w:rPr>
                <w:b/>
                <w:bCs/>
                <w:sz w:val="22"/>
                <w:szCs w:val="22"/>
              </w:rPr>
            </w:pPr>
            <w:r>
              <w:rPr>
                <w:b/>
                <w:bCs/>
                <w:sz w:val="22"/>
                <w:szCs w:val="22"/>
              </w:rPr>
              <w:t xml:space="preserve">(2)</w:t>
            </w:r>
            <w:r>
              <w:rPr>
                <w:b/>
                <w:bCs/>
                <w:sz w:val="22"/>
                <w:szCs w:val="22"/>
              </w:rPr>
            </w:r>
            <w:r>
              <w:rPr>
                <w:b/>
                <w:bCs/>
                <w:sz w:val="22"/>
                <w:szCs w:val="22"/>
              </w:rPr>
            </w:r>
          </w:p>
        </w:tc>
        <w:tc>
          <w:tcPr>
            <w:shd w:val="clear" w:color="000000" w:fill="ffffff"/>
            <w:tcBorders/>
            <w:tcW w:w="1560" w:type="dxa"/>
            <w:vAlign w:val="center"/>
            <w:textDirection w:val="lrTb"/>
            <w:noWrap w:val="false"/>
          </w:tcPr>
          <w:p>
            <w:pPr>
              <w:pBdr/>
              <w:spacing w:after="60" w:before="60"/>
              <w:ind/>
              <w:jc w:val="center"/>
              <w:rPr>
                <w:b/>
                <w:bCs/>
                <w:sz w:val="22"/>
                <w:szCs w:val="22"/>
              </w:rPr>
            </w:pPr>
            <w:r>
              <w:rPr>
                <w:b/>
                <w:bCs/>
                <w:sz w:val="22"/>
                <w:szCs w:val="22"/>
              </w:rPr>
              <w:t xml:space="preserve">(3)</w:t>
            </w:r>
            <w:r>
              <w:rPr>
                <w:b/>
                <w:bCs/>
                <w:sz w:val="22"/>
                <w:szCs w:val="22"/>
              </w:rPr>
            </w:r>
            <w:r>
              <w:rPr>
                <w:b/>
                <w:bCs/>
                <w:sz w:val="22"/>
                <w:szCs w:val="22"/>
              </w:rPr>
            </w:r>
          </w:p>
        </w:tc>
        <w:tc>
          <w:tcPr>
            <w:shd w:val="clear" w:color="000000" w:fill="ffffff"/>
            <w:tcBorders/>
            <w:tcW w:w="1701" w:type="dxa"/>
            <w:vAlign w:val="center"/>
            <w:textDirection w:val="lrTb"/>
            <w:noWrap w:val="false"/>
          </w:tcPr>
          <w:p>
            <w:pPr>
              <w:pBdr/>
              <w:spacing w:after="60" w:before="60"/>
              <w:ind/>
              <w:jc w:val="center"/>
              <w:rPr>
                <w:b/>
                <w:bCs/>
                <w:sz w:val="22"/>
                <w:szCs w:val="22"/>
              </w:rPr>
            </w:pPr>
            <w:r>
              <w:rPr>
                <w:b/>
                <w:bCs/>
                <w:sz w:val="22"/>
                <w:szCs w:val="22"/>
              </w:rPr>
              <w:t xml:space="preserve">(4) = (2) * (3)</w:t>
            </w:r>
            <w:r>
              <w:rPr>
                <w:b/>
                <w:bCs/>
                <w:sz w:val="22"/>
                <w:szCs w:val="22"/>
              </w:rPr>
            </w:r>
            <w:r>
              <w:rPr>
                <w:b/>
                <w:bCs/>
                <w:sz w:val="22"/>
                <w:szCs w:val="22"/>
              </w:rPr>
            </w:r>
          </w:p>
        </w:tc>
        <w:tc>
          <w:tcPr>
            <w:shd w:val="clear" w:color="000000" w:fill="ffffff"/>
            <w:tcBorders/>
            <w:tcW w:w="1139" w:type="dxa"/>
            <w:vAlign w:val="center"/>
            <w:textDirection w:val="lrTb"/>
            <w:noWrap w:val="false"/>
          </w:tcPr>
          <w:p>
            <w:pPr>
              <w:pBdr/>
              <w:spacing w:after="60" w:before="60"/>
              <w:ind/>
              <w:jc w:val="center"/>
              <w:rPr>
                <w:b/>
                <w:bCs/>
                <w:sz w:val="22"/>
                <w:szCs w:val="22"/>
              </w:rPr>
            </w:pPr>
            <w:r>
              <w:rPr>
                <w:b/>
                <w:bCs/>
                <w:sz w:val="22"/>
                <w:szCs w:val="22"/>
              </w:rPr>
              <w:t xml:space="preserve">(5)</w:t>
            </w:r>
            <w:r>
              <w:rPr>
                <w:b/>
                <w:bCs/>
                <w:sz w:val="22"/>
                <w:szCs w:val="22"/>
              </w:rPr>
            </w:r>
            <w:r>
              <w:rPr>
                <w:b/>
                <w:bCs/>
                <w:sz w:val="22"/>
                <w:szCs w:val="22"/>
              </w:rPr>
            </w:r>
          </w:p>
        </w:tc>
        <w:tc>
          <w:tcPr>
            <w:shd w:val="clear" w:color="000000" w:fill="ffffff"/>
            <w:tcBorders/>
            <w:tcW w:w="1559" w:type="dxa"/>
            <w:vAlign w:val="center"/>
            <w:textDirection w:val="lrTb"/>
            <w:noWrap w:val="false"/>
          </w:tcPr>
          <w:p>
            <w:pPr>
              <w:pBdr/>
              <w:spacing w:after="60" w:before="60"/>
              <w:ind/>
              <w:jc w:val="center"/>
              <w:rPr>
                <w:b/>
                <w:bCs/>
                <w:sz w:val="22"/>
                <w:szCs w:val="22"/>
              </w:rPr>
            </w:pPr>
            <w:r>
              <w:rPr>
                <w:b/>
                <w:bCs/>
                <w:sz w:val="22"/>
                <w:szCs w:val="22"/>
              </w:rPr>
              <w:t xml:space="preserve">(</w:t>
            </w:r>
            <w:r>
              <w:rPr>
                <w:b/>
                <w:bCs/>
                <w:sz w:val="22"/>
                <w:szCs w:val="22"/>
              </w:rPr>
              <w:t xml:space="preserve">6</w:t>
            </w:r>
            <w:r>
              <w:rPr>
                <w:b/>
                <w:bCs/>
                <w:sz w:val="22"/>
                <w:szCs w:val="22"/>
              </w:rPr>
              <w:t xml:space="preserve">)</w:t>
            </w:r>
            <w:r>
              <w:rPr>
                <w:b/>
                <w:bCs/>
                <w:sz w:val="22"/>
                <w:szCs w:val="22"/>
              </w:rPr>
              <w:t xml:space="preserve">=(4)*(5)</w:t>
            </w:r>
            <w:r>
              <w:rPr>
                <w:b/>
                <w:bCs/>
                <w:sz w:val="22"/>
                <w:szCs w:val="22"/>
              </w:rPr>
            </w:r>
            <w:r>
              <w:rPr>
                <w:b/>
                <w:bCs/>
                <w:sz w:val="22"/>
                <w:szCs w:val="22"/>
              </w:rPr>
            </w:r>
          </w:p>
        </w:tc>
        <w:tc>
          <w:tcPr>
            <w:shd w:val="clear" w:color="000000" w:fill="ffffff"/>
            <w:tcBorders/>
            <w:tcW w:w="1968" w:type="dxa"/>
            <w:vAlign w:val="center"/>
            <w:textDirection w:val="lrTb"/>
            <w:noWrap w:val="false"/>
          </w:tcPr>
          <w:p>
            <w:pPr>
              <w:pBdr/>
              <w:spacing w:after="60" w:before="60"/>
              <w:ind/>
              <w:jc w:val="center"/>
              <w:rPr>
                <w:b/>
                <w:bCs/>
                <w:sz w:val="22"/>
                <w:szCs w:val="22"/>
              </w:rPr>
            </w:pPr>
            <w:r>
              <w:rPr>
                <w:b/>
                <w:bCs/>
                <w:sz w:val="22"/>
                <w:szCs w:val="22"/>
              </w:rPr>
              <w:t xml:space="preserve">(</w:t>
            </w:r>
            <w:r>
              <w:rPr>
                <w:b/>
                <w:bCs/>
                <w:sz w:val="22"/>
                <w:szCs w:val="22"/>
              </w:rPr>
              <w:t xml:space="preserve">7</w:t>
            </w:r>
            <w:r>
              <w:rPr>
                <w:b/>
                <w:bCs/>
                <w:sz w:val="22"/>
                <w:szCs w:val="22"/>
              </w:rPr>
              <w:t xml:space="preserve">) = (4) - (</w:t>
            </w:r>
            <w:r>
              <w:rPr>
                <w:b/>
                <w:bCs/>
                <w:sz w:val="22"/>
                <w:szCs w:val="22"/>
              </w:rPr>
              <w:t xml:space="preserve">6</w:t>
            </w:r>
            <w:r>
              <w:rPr>
                <w:b/>
                <w:bCs/>
                <w:sz w:val="22"/>
                <w:szCs w:val="22"/>
              </w:rPr>
              <w:t xml:space="preserve">)</w:t>
            </w:r>
            <w:r>
              <w:rPr>
                <w:b/>
                <w:bCs/>
                <w:sz w:val="22"/>
                <w:szCs w:val="22"/>
              </w:rPr>
            </w:r>
            <w:r>
              <w:rPr>
                <w:b/>
                <w:bCs/>
                <w:sz w:val="22"/>
                <w:szCs w:val="22"/>
              </w:rPr>
            </w:r>
          </w:p>
        </w:tc>
      </w:tr>
      <w:tr>
        <w:trPr>
          <w:trHeight w:val="312"/>
        </w:trPr>
        <w:tc>
          <w:tcPr>
            <w:tcBorders/>
            <w:tcW w:w="1418" w:type="dxa"/>
            <w:vAlign w:val="center"/>
            <w:textDirection w:val="lrTb"/>
            <w:noWrap w:val="false"/>
          </w:tcPr>
          <w:p>
            <w:pPr>
              <w:pBdr/>
              <w:spacing w:after="60" w:before="60"/>
              <w:ind/>
              <w:jc w:val="center"/>
              <w:rPr>
                <w:sz w:val="22"/>
                <w:szCs w:val="22"/>
              </w:rPr>
            </w:pPr>
            <w:r>
              <w:rPr>
                <w:sz w:val="22"/>
                <w:szCs w:val="22"/>
              </w:rPr>
              <w:t xml:space="preserve">Nhà ở 4 tầng</w:t>
            </w:r>
            <w:r>
              <w:rPr>
                <w:sz w:val="22"/>
                <w:szCs w:val="22"/>
              </w:rPr>
            </w:r>
            <w:r>
              <w:rPr>
                <w:sz w:val="22"/>
                <w:szCs w:val="22"/>
              </w:rPr>
            </w:r>
          </w:p>
        </w:tc>
        <w:tc>
          <w:tcPr>
            <w:tcBorders/>
            <w:tcW w:w="1275" w:type="dxa"/>
            <w:vAlign w:val="center"/>
            <w:textDirection w:val="lrTb"/>
            <w:noWrap/>
          </w:tcPr>
          <w:p>
            <w:pPr>
              <w:pBdr/>
              <w:spacing w:after="60" w:before="60"/>
              <w:ind/>
              <w:jc w:val="center"/>
              <w:rPr>
                <w:sz w:val="22"/>
                <w:szCs w:val="22"/>
              </w:rPr>
            </w:pPr>
            <w:r>
              <w:rPr>
                <w:sz w:val="22"/>
                <w:szCs w:val="22"/>
              </w:rPr>
              <w:t xml:space="preserve">235.2</w:t>
            </w:r>
            <w:r>
              <w:rPr>
                <w:sz w:val="22"/>
                <w:szCs w:val="22"/>
              </w:rPr>
            </w:r>
            <w:r>
              <w:rPr>
                <w:sz w:val="22"/>
                <w:szCs w:val="22"/>
              </w:rPr>
            </w:r>
          </w:p>
        </w:tc>
        <w:tc>
          <w:tcPr>
            <w:tcBorders/>
            <w:tcW w:w="1560" w:type="dxa"/>
            <w:vAlign w:val="center"/>
            <w:textDirection w:val="lrTb"/>
            <w:noWrap/>
          </w:tcPr>
          <w:p>
            <w:pPr>
              <w:pBdr/>
              <w:spacing w:after="60" w:before="60"/>
              <w:ind/>
              <w:jc w:val="center"/>
              <w:rPr>
                <w:b w:val="0"/>
                <w:bCs w:val="0"/>
                <w:i w:val="0"/>
                <w:sz w:val="22"/>
                <w:szCs w:val="22"/>
              </w:rPr>
            </w:pPr>
            <w:r>
              <w:rPr>
                <w:b w:val="0"/>
                <w:bCs w:val="0"/>
                <w:i w:val="0"/>
                <w:iCs w:val="0"/>
                <w:sz w:val="22"/>
                <w:szCs w:val="22"/>
              </w:rPr>
            </w:r>
            <w:r>
              <w:rPr>
                <w:rFonts w:ascii="Times New Roman" w:hAnsi="Times New Roman" w:eastAsia="Times New Roman" w:cs="Times New Roman"/>
                <w:b w:val="0"/>
                <w:bCs w:val="0"/>
                <w:i w:val="0"/>
                <w:iCs w:val="0"/>
                <w:color w:val="000000"/>
                <w:sz w:val="22"/>
                <w:szCs w:val="22"/>
              </w:rPr>
              <w:t xml:space="preserve">7.353.767</w:t>
            </w:r>
            <w:r>
              <w:rPr>
                <w:b w:val="0"/>
                <w:bCs w:val="0"/>
                <w:i w:val="0"/>
                <w:sz w:val="22"/>
                <w:szCs w:val="22"/>
              </w:rPr>
            </w:r>
            <w:r>
              <w:rPr>
                <w:b w:val="0"/>
                <w:bCs w:val="0"/>
                <w:i w:val="0"/>
                <w:sz w:val="22"/>
                <w:szCs w:val="22"/>
              </w:rPr>
            </w:r>
          </w:p>
        </w:tc>
        <w:tc>
          <w:tcPr>
            <w:tcBorders/>
            <w:tcW w:w="1701" w:type="dxa"/>
            <w:vAlign w:val="center"/>
            <w:textDirection w:val="lrTb"/>
            <w:noWrap/>
          </w:tcPr>
          <w:p>
            <w:pPr>
              <w:pBdr/>
              <w:spacing w:after="60" w:before="60"/>
              <w:ind/>
              <w:jc w:val="center"/>
              <w:rPr>
                <w:sz w:val="22"/>
                <w:szCs w:val="22"/>
              </w:rPr>
            </w:pPr>
            <w:r>
              <w:rPr>
                <w:sz w:val="22"/>
                <w:szCs w:val="22"/>
              </w:rPr>
              <w:t xml:space="preserve">1.729.605.998</w:t>
            </w:r>
            <w:r>
              <w:rPr>
                <w:sz w:val="22"/>
                <w:szCs w:val="22"/>
              </w:rPr>
            </w:r>
            <w:r>
              <w:rPr>
                <w:sz w:val="22"/>
                <w:szCs w:val="22"/>
              </w:rPr>
            </w:r>
          </w:p>
        </w:tc>
        <w:tc>
          <w:tcPr>
            <w:tcBorders/>
            <w:tcW w:w="1139" w:type="dxa"/>
            <w:vAlign w:val="center"/>
            <w:textDirection w:val="lrTb"/>
            <w:noWrap w:val="false"/>
          </w:tcPr>
          <w:p>
            <w:pPr>
              <w:pBdr/>
              <w:spacing w:after="60" w:before="60"/>
              <w:ind/>
              <w:jc w:val="center"/>
              <w:rPr>
                <w:sz w:val="22"/>
                <w:szCs w:val="22"/>
                <w:highlight w:val="white"/>
              </w:rPr>
            </w:pPr>
            <w:r>
              <w:rPr>
                <w:sz w:val="22"/>
                <w:szCs w:val="22"/>
                <w:highlight w:val="white"/>
              </w:rPr>
              <w:t xml:space="preserve">22%</w:t>
            </w:r>
            <w:r>
              <w:rPr>
                <w:sz w:val="22"/>
                <w:szCs w:val="22"/>
                <w:highlight w:val="white"/>
              </w:rPr>
            </w:r>
            <w:r>
              <w:rPr>
                <w:sz w:val="22"/>
                <w:szCs w:val="22"/>
                <w:highlight w:val="white"/>
              </w:rPr>
            </w:r>
          </w:p>
        </w:tc>
        <w:tc>
          <w:tcPr>
            <w:tcBorders/>
            <w:tcW w:w="1559" w:type="dxa"/>
            <w:vAlign w:val="center"/>
            <w:textDirection w:val="lrTb"/>
            <w:noWrap/>
          </w:tcPr>
          <w:p>
            <w:pPr>
              <w:pBdr/>
              <w:spacing w:after="60" w:before="60"/>
              <w:ind/>
              <w:jc w:val="center"/>
              <w:rPr>
                <w:sz w:val="22"/>
                <w:szCs w:val="22"/>
                <w:highlight w:val="yellow"/>
              </w:rPr>
            </w:pPr>
            <w:r>
              <w:rPr>
                <w:sz w:val="22"/>
                <w:szCs w:val="22"/>
                <w:highlight w:val="none"/>
              </w:rPr>
              <w:t xml:space="preserve">380.513.319</w:t>
            </w:r>
            <w:r>
              <w:rPr>
                <w:sz w:val="22"/>
                <w:szCs w:val="22"/>
                <w:highlight w:val="yellow"/>
              </w:rPr>
            </w:r>
            <w:r>
              <w:rPr>
                <w:sz w:val="22"/>
                <w:szCs w:val="22"/>
                <w:highlight w:val="yellow"/>
              </w:rPr>
            </w:r>
          </w:p>
        </w:tc>
        <w:tc>
          <w:tcPr>
            <w:tcBorders/>
            <w:tcW w:w="1968" w:type="dxa"/>
            <w:vAlign w:val="center"/>
            <w:textDirection w:val="lrTb"/>
            <w:noWrap w:val="false"/>
          </w:tcPr>
          <w:p>
            <w:pPr>
              <w:pBdr/>
              <w:spacing w:after="60" w:before="60"/>
              <w:ind/>
              <w:jc w:val="center"/>
              <w:rPr>
                <w:sz w:val="22"/>
                <w:szCs w:val="22"/>
                <w:highlight w:val="yellow"/>
              </w:rPr>
            </w:pPr>
            <w:r>
              <w:rPr>
                <w:sz w:val="22"/>
                <w:szCs w:val="22"/>
                <w:highlight w:val="none"/>
              </w:rPr>
              <w:t xml:space="preserve">1.349.092.679</w:t>
            </w:r>
            <w:r>
              <w:rPr>
                <w:sz w:val="22"/>
                <w:szCs w:val="22"/>
                <w:highlight w:val="yellow"/>
              </w:rPr>
            </w:r>
            <w:r>
              <w:rPr>
                <w:sz w:val="22"/>
                <w:szCs w:val="22"/>
                <w:highlight w:val="yellow"/>
              </w:rPr>
            </w:r>
          </w:p>
        </w:tc>
      </w:tr>
    </w:tbl>
    <w:p>
      <w:pPr>
        <w:pStyle w:val="1035"/>
        <w:pBdr/>
        <w:spacing w:after="120" w:before="120" w:line="276" w:lineRule="auto"/>
        <w:ind w:left="0"/>
        <w:jc w:val="both"/>
        <w:rPr>
          <w:b/>
          <w:lang w:val="pt-BR"/>
        </w:rPr>
      </w:pPr>
      <w:r>
        <w:rPr>
          <w:b/>
          <w:lang w:val="pt-BR"/>
        </w:rPr>
      </w:r>
      <w:r>
        <w:rPr>
          <w:b/>
          <w:lang w:val="pt-BR"/>
        </w:rPr>
      </w:r>
      <w:r>
        <w:rPr>
          <w:b/>
          <w:lang w:val="pt-BR"/>
        </w:rPr>
      </w:r>
    </w:p>
    <w:p>
      <w:pPr>
        <w:pStyle w:val="103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35"/>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rPr>
          <w:color w:val="000000" w:themeColor="text1"/>
          <w:lang w:val="pt-BR"/>
        </w:rPr>
        <w:t xml:space="preserve">tháng 04/2026</w:t>
      </w:r>
      <w:r>
        <w:t xml:space="preserve"> </w:t>
      </w:r>
      <w:r>
        <w:t xml:space="preserve">ước tính </w:t>
      </w:r>
      <w:r>
        <w:t xml:space="preserve">như sau</w:t>
      </w:r>
      <w:r>
        <w:t xml:space="preserve">:</w:t>
      </w:r>
      <w:r/>
    </w:p>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878"/>
        <w:gridCol w:w="2105"/>
        <w:gridCol w:w="1276"/>
        <w:gridCol w:w="1797"/>
        <w:gridCol w:w="1319"/>
        <w:gridCol w:w="2150"/>
      </w:tblGrid>
      <w:tr>
        <w:trPr>
          <w:trHeight w:val="624"/>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87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1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27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79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31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Tỷ lệ chất lượng còn lại </w:t>
            </w:r>
            <w:r>
              <w:rPr>
                <w:rFonts w:ascii="Times New Roman" w:hAnsi="Times New Roman" w:eastAsia="Times New Roman" w:cs="Times New Roman"/>
                <w:b/>
                <w:bCs/>
                <w:color w:val="000000"/>
                <w:sz w:val="24"/>
              </w:rPr>
              <w:t xml:space="preserve">(</w:t>
            </w:r>
            <w:r>
              <w:rPr>
                <w:rFonts w:ascii="Times New Roman" w:hAnsi="Times New Roman" w:eastAsia="Times New Roman" w:cs="Times New Roman"/>
                <w:b/>
                <w:bCs/>
                <w:color w:val="000000"/>
                <w:sz w:val="24"/>
              </w:rPr>
              <w:t xml:space="preserve">%</w:t>
            </w:r>
            <w:r>
              <w:rPr>
                <w:rFonts w:ascii="Times New Roman" w:hAnsi="Times New Roman" w:eastAsia="Times New Roman" w:cs="Times New Roman"/>
                <w:b/>
                <w:bCs/>
                <w:color w:val="000000"/>
                <w:sz w:val="24"/>
              </w:rPr>
              <w:t xml:space="preserve">)</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15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Thành tiền (đồng)</w:t>
            </w:r>
            <w:r/>
          </w:p>
        </w:tc>
      </w:tr>
      <w:tr>
        <w:trPr>
          <w:trHeight w:val="2448"/>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87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 </w:t>
            </w:r>
            <w:r/>
          </w:p>
        </w:tc>
        <w:tc>
          <w:tcPr>
            <w:gridSpan w:val="4"/>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649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Quyền sử dụng đất quyền sở hữu nhà ở và tài sản khác gắn liền với đất tại thửa đất số: -/- tờ bản đồ số-/- có địa chỉ: Căn hộ A4 khu nhà ở bán, Phường Trung Văn, Quận Nam Từ Liêm, Hà Nội (nay là phường Thanh Xuân, thành phố Hà Nội) theo Giấy chứng nhận quy</w:t>
            </w:r>
            <w:r>
              <w:rPr>
                <w:rFonts w:ascii="Times New Roman" w:hAnsi="Times New Roman" w:eastAsia="Times New Roman" w:cs="Times New Roman"/>
                <w:color w:val="000000"/>
                <w:sz w:val="24"/>
              </w:rPr>
              <w:t xml:space="preserve">ền sử dụng đất quyền sở hữu nhà ở và tài sản khác gắn liền với đất  số: BU 932337, số vào sổ cấp GCN: CH00284 do Ủy ban nhân dân quận Nam Từ Liêm cấp ngày 25/11/2014; Chủ sử dụng đất là Ông: Nguyễn Mạnh Hiệp và bà Nguyễn Thị Hạnh Chi</w:t>
            </w:r>
            <w:r>
              <w:rPr>
                <w:rFonts w:ascii="Times New Roman" w:hAnsi="Times New Roman" w:eastAsia="Times New Roman" w:cs="Times New Roman"/>
                <w:b/>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150" w:type="dxa"/>
            <w:vAlign w:val="center"/>
            <w:textDirection w:val="lrTb"/>
            <w:noWrap w:val="false"/>
          </w:tcPr>
          <w:p>
            <w:pPr>
              <w:pBdr/>
              <w:spacing w:after="0" w:before="0" w:line="240" w:lineRule="auto"/>
              <w:ind/>
              <w:jc w:val="right"/>
              <w:rPr/>
            </w:pPr>
            <w:r>
              <w:rPr>
                <w:rFonts w:ascii="Times New Roman" w:hAnsi="Times New Roman" w:eastAsia="Times New Roman" w:cs="Times New Roman"/>
                <w:b/>
                <w:color w:val="000000"/>
                <w:sz w:val="24"/>
              </w:rPr>
              <w:t xml:space="preserve"> </w:t>
            </w:r>
            <w:r/>
          </w:p>
        </w:tc>
      </w:tr>
      <w:tr>
        <w:trPr>
          <w:trHeight w:val="31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w:t>
            </w:r>
            <w:r/>
          </w:p>
        </w:tc>
        <w:tc>
          <w:tcPr>
            <w:shd w:val="clear" w:color="ffffff" w:fill="ffffff"/>
            <w:tcBorders>
              <w:bottom w:val="single" w:color="000000" w:sz="6" w:space="0"/>
              <w:right w:val="single" w:color="000000" w:sz="6" w:space="0"/>
            </w:tcBorders>
            <w:tcMar>
              <w:left w:w="0" w:type="dxa"/>
              <w:top w:w="0" w:type="dxa"/>
              <w:right w:w="0" w:type="dxa"/>
              <w:bottom w:w="0" w:type="dxa"/>
            </w:tcMar>
            <w:tcW w:w="210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Đất ở tại đô thị</w:t>
            </w:r>
            <w:r/>
          </w:p>
        </w:tc>
        <w:tc>
          <w:tcPr>
            <w:tcBorders>
              <w:bottom w:val="single" w:color="000000" w:sz="6" w:space="0"/>
              <w:right w:val="single" w:color="000000" w:sz="6" w:space="0"/>
            </w:tcBorders>
            <w:tcMar>
              <w:left w:w="0" w:type="dxa"/>
              <w:top w:w="0" w:type="dxa"/>
              <w:right w:w="0" w:type="dxa"/>
              <w:bottom w:w="0" w:type="dxa"/>
            </w:tcMar>
            <w:tcW w:w="127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58,8</w:t>
            </w:r>
            <w:r/>
          </w:p>
        </w:tc>
        <w:tc>
          <w:tcPr>
            <w:shd w:val="clear" w:color="ffffff" w:fill="ffffff"/>
            <w:tcBorders>
              <w:bottom w:val="single" w:color="000000" w:sz="6" w:space="0"/>
              <w:right w:val="single" w:color="000000" w:sz="6" w:space="0"/>
            </w:tcBorders>
            <w:tcMar>
              <w:left w:w="0" w:type="dxa"/>
              <w:top w:w="0" w:type="dxa"/>
              <w:right w:w="0" w:type="dxa"/>
              <w:bottom w:w="0" w:type="dxa"/>
            </w:tcMar>
            <w:tcW w:w="179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350.000.000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31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1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20.580.000.000</w:t>
            </w:r>
            <w:r/>
          </w:p>
        </w:tc>
      </w:tr>
      <w:tr>
        <w:trPr>
          <w:trHeight w:val="31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w:t>
            </w:r>
            <w:r/>
          </w:p>
        </w:tc>
        <w:tc>
          <w:tcPr>
            <w:shd w:val="clear" w:color="ffffff" w:fill="ffffff"/>
            <w:tcBorders>
              <w:bottom w:val="single" w:color="000000" w:sz="6" w:space="0"/>
              <w:right w:val="single" w:color="000000" w:sz="6" w:space="0"/>
            </w:tcBorders>
            <w:tcMar>
              <w:left w:w="0" w:type="dxa"/>
              <w:top w:w="0" w:type="dxa"/>
              <w:right w:w="0" w:type="dxa"/>
              <w:bottom w:w="0" w:type="dxa"/>
            </w:tcMar>
            <w:tcW w:w="210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Nhà ở 4 tầng</w:t>
            </w:r>
            <w:r/>
          </w:p>
        </w:tc>
        <w:tc>
          <w:tcPr>
            <w:tcBorders>
              <w:bottom w:val="single" w:color="000000" w:sz="6" w:space="0"/>
              <w:right w:val="single" w:color="000000" w:sz="6" w:space="0"/>
            </w:tcBorders>
            <w:tcMar>
              <w:left w:w="0" w:type="dxa"/>
              <w:top w:w="0" w:type="dxa"/>
              <w:right w:w="0" w:type="dxa"/>
              <w:bottom w:w="0" w:type="dxa"/>
            </w:tcMar>
            <w:tcW w:w="127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235,2</w:t>
            </w:r>
            <w:r/>
          </w:p>
        </w:tc>
        <w:tc>
          <w:tcPr>
            <w:shd w:val="clear" w:color="ffffff" w:fill="ffffff"/>
            <w:tcBorders>
              <w:bottom w:val="single" w:color="000000" w:sz="6" w:space="0"/>
              <w:right w:val="single" w:color="000000" w:sz="6" w:space="0"/>
            </w:tcBorders>
            <w:tcMar>
              <w:left w:w="0" w:type="dxa"/>
              <w:top w:w="0" w:type="dxa"/>
              <w:right w:w="0" w:type="dxa"/>
              <w:bottom w:w="0" w:type="dxa"/>
            </w:tcMar>
            <w:tcW w:w="179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7.353.767</w:t>
            </w:r>
            <w:r/>
          </w:p>
        </w:tc>
        <w:tc>
          <w:tcPr>
            <w:shd w:val="clear" w:color="ffffff" w:fill="ffffff"/>
            <w:tcBorders>
              <w:bottom w:val="single" w:color="000000" w:sz="6" w:space="0"/>
              <w:right w:val="single" w:color="000000" w:sz="6" w:space="0"/>
            </w:tcBorders>
            <w:tcMar>
              <w:left w:w="0" w:type="dxa"/>
              <w:top w:w="0" w:type="dxa"/>
              <w:right w:w="0" w:type="dxa"/>
              <w:bottom w:w="0" w:type="dxa"/>
            </w:tcMar>
            <w:tcW w:w="131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78%</w:t>
            </w:r>
            <w:r/>
          </w:p>
        </w:tc>
        <w:tc>
          <w:tcPr>
            <w:shd w:val="clear" w:color="ffffff" w:fill="ffffff"/>
            <w:tcBorders>
              <w:bottom w:val="single" w:color="000000" w:sz="6" w:space="0"/>
              <w:right w:val="single" w:color="000000" w:sz="6" w:space="0"/>
            </w:tcBorders>
            <w:tcMar>
              <w:left w:w="0" w:type="dxa"/>
              <w:top w:w="0" w:type="dxa"/>
              <w:right w:w="0" w:type="dxa"/>
              <w:bottom w:w="0" w:type="dxa"/>
            </w:tcMar>
            <w:tcW w:w="21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1.349.092.679</w:t>
            </w:r>
            <w:r/>
          </w:p>
        </w:tc>
      </w:tr>
      <w:tr>
        <w:trPr>
          <w:trHeight w:val="312"/>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05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6" w:space="0"/>
              <w:right w:val="single" w:color="000000" w:sz="6" w:space="0"/>
            </w:tcBorders>
            <w:tcMar>
              <w:left w:w="0" w:type="dxa"/>
              <w:top w:w="0" w:type="dxa"/>
              <w:right w:w="0" w:type="dxa"/>
              <w:bottom w:w="0" w:type="dxa"/>
            </w:tcMar>
            <w:tcW w:w="131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 </w:t>
            </w:r>
            <w:r/>
          </w:p>
        </w:tc>
        <w:tc>
          <w:tcPr>
            <w:tcBorders>
              <w:bottom w:val="single" w:color="000000" w:sz="6" w:space="0"/>
              <w:right w:val="single" w:color="000000" w:sz="6" w:space="0"/>
            </w:tcBorders>
            <w:tcMar>
              <w:left w:w="0" w:type="dxa"/>
              <w:top w:w="0" w:type="dxa"/>
              <w:right w:w="0" w:type="dxa"/>
              <w:bottom w:w="0" w:type="dxa"/>
            </w:tcMar>
            <w:tcW w:w="215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21.929.092.679</w:t>
            </w:r>
            <w:r/>
          </w:p>
        </w:tc>
      </w:tr>
      <w:tr>
        <w:trPr>
          <w:trHeight w:val="312"/>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05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bottom w:val="single" w:color="000000" w:sz="6" w:space="0"/>
              <w:right w:val="single" w:color="000000" w:sz="6" w:space="0"/>
            </w:tcBorders>
            <w:tcMar>
              <w:left w:w="0" w:type="dxa"/>
              <w:top w:w="0" w:type="dxa"/>
              <w:right w:w="0" w:type="dxa"/>
              <w:bottom w:w="0" w:type="dxa"/>
            </w:tcMar>
            <w:tcW w:w="131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 </w:t>
            </w:r>
            <w:r/>
          </w:p>
        </w:tc>
        <w:tc>
          <w:tcPr>
            <w:tcBorders>
              <w:bottom w:val="single" w:color="000000" w:sz="6" w:space="0"/>
              <w:right w:val="single" w:color="000000" w:sz="6" w:space="0"/>
            </w:tcBorders>
            <w:tcMar>
              <w:left w:w="0" w:type="dxa"/>
              <w:top w:w="0" w:type="dxa"/>
              <w:right w:w="0" w:type="dxa"/>
              <w:bottom w:w="0" w:type="dxa"/>
            </w:tcMar>
            <w:tcW w:w="215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21.929.000.000</w:t>
            </w:r>
            <w:r/>
          </w:p>
        </w:tc>
      </w:tr>
      <w:tr>
        <w:trPr>
          <w:trHeight w:val="324"/>
        </w:trPr>
        <w:tc>
          <w:tcPr>
            <w:gridSpan w:val="6"/>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525" w:type="dxa"/>
            <w:vAlign w:val="center"/>
            <w:textDirection w:val="lrTb"/>
            <w:noWrap w:val="false"/>
          </w:tcPr>
          <w:p>
            <w:pPr>
              <w:pBdr/>
              <w:spacing w:after="0" w:before="0" w:line="240" w:lineRule="auto"/>
              <w:ind/>
              <w:jc w:val="center"/>
              <w:rPr/>
            </w:pPr>
            <w:r>
              <w:rPr>
                <w:rFonts w:ascii="Times New Roman" w:hAnsi="Times New Roman" w:eastAsia="Times New Roman" w:cs="Times New Roman"/>
                <w:b/>
                <w:i/>
                <w:color w:val="000000"/>
                <w:sz w:val="24"/>
              </w:rPr>
              <w:t xml:space="preserve">(Bằng chữ: Hai mươi mốt tỷ chín trăm hai mươi chín triệu đồng./.)</w:t>
            </w:r>
            <w:r/>
          </w:p>
        </w:tc>
      </w:tr>
    </w:tbl>
    <w:p>
      <w:pPr>
        <w:pStyle w:val="1035"/>
        <w:pBdr/>
        <w:tabs>
          <w:tab w:val="left" w:leader="none" w:pos="993"/>
        </w:tabs>
        <w:spacing w:after="120" w:before="120" w:line="276" w:lineRule="auto"/>
        <w:ind w:left="0"/>
        <w:jc w:val="both"/>
        <w:rPr/>
      </w:pPr>
      <w:r/>
      <w:r/>
    </w:p>
    <w:p>
      <w:pPr>
        <w:pStyle w:val="103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Thẩm định giá không phải là</w:t>
      </w:r>
      <w:r>
        <w:rPr>
          <w:lang w:val="pt-BR"/>
        </w:rPr>
        <w:t xml:space="preserve">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w:t>
      </w:r>
      <w:r>
        <w:rPr>
          <w:lang w:val="pt-BR"/>
        </w:rPr>
        <w:t xml:space="preserve">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5"/>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5"/>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5"/>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5"/>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đất  đã cung cấp cho chúng tôi.</w:t>
      </w:r>
      <w:r>
        <w:rPr>
          <w:shd w:val="clear" w:color="auto" w:fill="ffffff"/>
          <w:lang w:val="pt-BR"/>
        </w:rPr>
      </w:r>
      <w:r>
        <w:rPr>
          <w:shd w:val="clear" w:color="auto" w:fill="ffffff"/>
          <w:lang w:val="pt-BR"/>
        </w:rPr>
      </w:r>
    </w:p>
    <w:p>
      <w:pPr>
        <w:pStyle w:val="103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5"/>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w:t>
      </w:r>
      <w:r>
        <w:rPr>
          <w:bCs/>
          <w:spacing w:val="-2"/>
          <w:lang w:val="pt-BR"/>
        </w:rPr>
        <w:t xml:space="preserve">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w:t>
      </w:r>
      <w:r>
        <w:rPr>
          <w:bCs/>
          <w:spacing w:val="-2"/>
          <w:lang w:val="pt-BR"/>
        </w:rPr>
        <w:t xml:space="preserve">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pPr>
        <w:pStyle w:val="103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5"/>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5"/>
        <w:numPr>
          <w:ilvl w:val="0"/>
          <w:numId w:val="5"/>
        </w:numPr>
        <w:pBdr/>
        <w:tabs>
          <w:tab w:val="left" w:leader="none" w:pos="993"/>
        </w:tabs>
        <w:spacing w:after="120" w:before="120" w:line="288" w:lineRule="auto"/>
        <w:ind w:hanging="357" w:left="357"/>
        <w:jc w:val="both"/>
        <w:rPr>
          <w:lang w:val="pt-BR"/>
        </w:rPr>
      </w:pPr>
      <w:r/>
      <w:bookmarkStart w:id="3"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5"/>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Bdr/>
        <w:shd w:val="nil" w:color="auto"/>
        <w:spacing/>
        <w:ind/>
        <w:rPr>
          <w:lang w:val="pt-BR"/>
        </w:rPr>
      </w:pPr>
      <w:r>
        <w:rPr>
          <w:highlight w:val="none"/>
          <w:lang w:val="vi-VN"/>
        </w:rPr>
        <w:br w:type="page" w:clear="all"/>
      </w:r>
      <w:r>
        <w:rPr>
          <w:lang w:val="pt-BR"/>
        </w:rPr>
      </w:r>
      <w:r>
        <w:rPr>
          <w:lang w:val="pt-BR"/>
        </w:rPr>
      </w:r>
    </w:p>
    <w:p>
      <w:pPr>
        <w:pStyle w:val="1035"/>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275/2026/0598/VFI-CT.65.A</w:t>
      </w:r>
      <w:r>
        <w:rPr>
          <w:color w:val="ff0000"/>
          <w:lang w:val="vi-VN"/>
        </w:rPr>
        <w:t xml:space="preserve"> </w:t>
      </w:r>
      <w:r>
        <w:rPr>
          <w:color w:val="000000" w:themeColor="text1"/>
        </w:rPr>
        <w:t xml:space="preserve">ngày 18 tháng 4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highlight w:val="none"/>
          <w:lang w:val="vi-VN"/>
        </w:rPr>
      </w:r>
      <w:r>
        <w:rPr>
          <w:highlight w:val="non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Hồng Phúc</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275/2026/0598/VFI-BC.65.A</w:t>
      </w:r>
      <w:r>
        <w:rPr>
          <w:i/>
        </w:rPr>
        <w:t xml:space="preserve"> ngày</w:t>
      </w:r>
      <w:r>
        <w:rPr>
          <w:i/>
          <w:lang w:val="pt-BR"/>
        </w:rPr>
        <w:t xml:space="preserve"> </w:t>
      </w:r>
      <w:r>
        <w:rPr>
          <w:i/>
          <w:lang w:val="pt-BR"/>
        </w:rPr>
        <w:t xml:space="preserve">18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r>
            <w:r>
              <w:rPr>
                <w:b/>
                <w:bCs/>
                <w:i/>
                <w:lang w:val="pt-BR"/>
              </w:rPr>
              <w:t xml:space="preserve">Người khảo sát</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504963" cy="2382859"/>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856058" name=""/>
                              <pic:cNvPicPr>
                                <a:picLocks noChangeAspect="1"/>
                              </pic:cNvPicPr>
                              <pic:nvPr/>
                            </pic:nvPicPr>
                            <pic:blipFill rotWithShape="1">
                              <a:blip r:embed="rId18"/>
                              <a:stretch/>
                            </pic:blipFill>
                            <pic:spPr bwMode="auto">
                              <a:xfrm flipH="0" flipV="0">
                                <a:off x="0" y="0"/>
                                <a:ext cx="1504963" cy="238285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8.50pt;height:187.63pt;mso-wrap-distance-left:0.00pt;mso-wrap-distance-top:0.00pt;mso-wrap-distance-right:0.00pt;mso-wrap-distance-bottom:0.00pt;z-index:1;" stroked="false">
                      <v:imagedata r:id="rId18"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207662" cy="2405746"/>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074938" name=""/>
                              <pic:cNvPicPr>
                                <a:picLocks noChangeAspect="1"/>
                              </pic:cNvPicPr>
                              <pic:nvPr/>
                            </pic:nvPicPr>
                            <pic:blipFill rotWithShape="1">
                              <a:blip r:embed="rId19"/>
                              <a:stretch/>
                            </pic:blipFill>
                            <pic:spPr bwMode="auto">
                              <a:xfrm flipH="0" flipV="0">
                                <a:off x="0" y="0"/>
                                <a:ext cx="3207661" cy="240574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52.57pt;height:189.43pt;mso-wrap-distance-left:0.00pt;mso-wrap-distance-top:0.00pt;mso-wrap-distance-right:0.00pt;mso-wrap-distance-bottom:0.00pt;z-index:1;" stroked="false">
                      <v:imagedata r:id="rId19" o:title=""/>
                      <o:lock v:ext="edit" rotation="t"/>
                    </v:shape>
                  </w:pict>
                </mc:Fallback>
              </mc:AlternateContent>
            </w:r>
            <w:r>
              <w:rPr>
                <w:b/>
                <w:bCs/>
                <w:i/>
                <w:lang w:val="pt-BR"/>
              </w:rPr>
            </w:r>
            <w:r>
              <w:rPr>
                <w:b/>
                <w:bCs/>
                <w:i/>
                <w:lang w:val="pt-BR"/>
              </w:rPr>
            </w:r>
          </w:p>
        </w:tc>
      </w:tr>
    </w:tbl>
    <w:tbl>
      <w:tblPr>
        <w:tblStyle w:val="1039"/>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681"/>
        <w:gridCol w:w="4844"/>
      </w:tblGrid>
      <w:tr>
        <w:trPr/>
        <w:tc>
          <w:tcPr>
            <w:tcBorders/>
            <w:tcW w:w="4758" w:type="dxa"/>
            <w:vAlign w:val="center"/>
            <w:textDirection w:val="lrTb"/>
            <w:noWrap w:val="false"/>
          </w:tcPr>
          <w:p>
            <w:pPr>
              <w:pBdr/>
              <w:spacing w:after="120"/>
              <w:ind/>
              <w:jc w:val="center"/>
              <w:rPr>
                <w:b/>
                <w:bCs/>
                <w:i/>
                <w:lang w:val="pt-BR"/>
              </w:rPr>
            </w:pPr>
            <w:r>
              <w:rPr>
                <w:b/>
                <w:bCs/>
                <w:i/>
                <w:lang w:val="pt-BR"/>
              </w:rPr>
            </w:r>
            <w:r>
              <w:rPr>
                <w:b/>
                <w:bCs/>
                <w:i/>
                <w:lang w:val="pt-BR"/>
              </w:rPr>
              <w:t xml:space="preserve">Tổng quan tài</w:t>
            </w:r>
            <w:r>
              <w:rPr>
                <w:b/>
                <w:bCs/>
                <w:i/>
                <w:lang w:val="pt-BR"/>
              </w:rPr>
              <w:t xml:space="preserve">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89017" cy="2166763"/>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395921" name=""/>
                              <pic:cNvPicPr>
                                <a:picLocks noChangeAspect="1"/>
                              </pic:cNvPicPr>
                              <pic:nvPr/>
                            </pic:nvPicPr>
                            <pic:blipFill rotWithShape="1">
                              <a:blip r:embed="rId20"/>
                              <a:stretch/>
                            </pic:blipFill>
                            <pic:spPr bwMode="auto">
                              <a:xfrm flipH="0" flipV="0">
                                <a:off x="0" y="0"/>
                                <a:ext cx="2889017" cy="216676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7.48pt;height:170.61pt;mso-wrap-distance-left:0.00pt;mso-wrap-distance-top:0.00pt;mso-wrap-distance-right:0.00pt;mso-wrap-distance-bottom:0.00pt;z-index:1;" stroked="false">
                      <v:imagedata r:id="rId20"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86241" cy="216468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350943" name=""/>
                              <pic:cNvPicPr>
                                <a:picLocks noChangeAspect="1"/>
                              </pic:cNvPicPr>
                              <pic:nvPr/>
                            </pic:nvPicPr>
                            <pic:blipFill rotWithShape="1">
                              <a:blip r:embed="rId21"/>
                              <a:stretch/>
                            </pic:blipFill>
                            <pic:spPr bwMode="auto">
                              <a:xfrm flipH="0" flipV="0">
                                <a:off x="0" y="0"/>
                                <a:ext cx="2886240" cy="216468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7.26pt;height:170.45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17784" cy="2188338"/>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168918" name=""/>
                              <pic:cNvPicPr>
                                <a:picLocks noChangeAspect="1"/>
                              </pic:cNvPicPr>
                              <pic:nvPr/>
                            </pic:nvPicPr>
                            <pic:blipFill rotWithShape="1">
                              <a:blip r:embed="rId22"/>
                              <a:stretch/>
                            </pic:blipFill>
                            <pic:spPr bwMode="auto">
                              <a:xfrm flipH="0" flipV="0">
                                <a:off x="0" y="0"/>
                                <a:ext cx="2917783" cy="218833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9.75pt;height:172.31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49884" cy="2209301"/>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040083" name=""/>
                              <pic:cNvPicPr>
                                <a:picLocks noChangeAspect="1"/>
                              </pic:cNvPicPr>
                              <pic:nvPr/>
                            </pic:nvPicPr>
                            <pic:blipFill rotWithShape="1">
                              <a:blip r:embed="rId23"/>
                              <a:stretch/>
                            </pic:blipFill>
                            <pic:spPr bwMode="auto">
                              <a:xfrm flipH="0" flipV="0">
                                <a:off x="0" y="0"/>
                                <a:ext cx="2949883" cy="220930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32.27pt;height:173.96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275/2026/0598/VFI-BC.65.A</w:t>
      </w:r>
      <w:r>
        <w:rPr>
          <w:i/>
        </w:rPr>
        <w:t xml:space="preserve"> ngày</w:t>
      </w:r>
      <w:r>
        <w:rPr>
          <w:i/>
          <w:lang w:val="pt-BR"/>
        </w:rPr>
        <w:t xml:space="preserve"> </w:t>
      </w:r>
      <w:r>
        <w:rPr>
          <w:i/>
          <w:lang w:val="pt-BR"/>
        </w:rPr>
        <w:t xml:space="preserve">18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0945680539</w:t>
            </w:r>
            <w:r>
              <w:rPr>
                <w:sz w:val="22"/>
                <w:szCs w:val="22"/>
              </w:rPr>
              <w:t xml:space="preserve"> </w:t>
            </w:r>
            <w:r>
              <w:rPr>
                <w:sz w:val="22"/>
                <w:szCs w:val="22"/>
              </w:rPr>
              <w:br/>
              <w:t xml:space="preserve">(anh Hoàng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24.200.000.000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21.780.000.000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tại: Xã Trung VăPhường Trung Văn, Quận Nam Từ Liêm, Thành phố Hà Nội </w:t>
            </w:r>
            <w:r>
              <w:rPr>
                <w:rFonts w:ascii="Times New Roman" w:hAnsi="Times New Roman" w:eastAsia="Times New Roman" w:cs="Times New Roman"/>
                <w:color w:val="000000"/>
                <w:sz w:val="24"/>
              </w:rPr>
              <w:t xml:space="preserve">(nay là phường Thanh Xuân, thành phố Hà Nội)</w:t>
            </w:r>
            <w:r>
              <w:rPr>
                <w:rFonts w:ascii="Times New Roman" w:hAnsi="Times New Roman" w:eastAsia="Times New Roman" w:cs="Times New Roman"/>
                <w:color w:val="000000"/>
                <w:sz w:val="22"/>
              </w:rPr>
              <w:t xml:space="preserve">, cách đường Lương Thế Vinh khoảng 100m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Không có lợi thế thương mại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Không có </w:t>
            </w:r>
            <w:r>
              <w:rPr>
                <w:color w:val="000000"/>
                <w:sz w:val="22"/>
                <w:szCs w:val="22"/>
              </w:rPr>
              <w:t xml:space="preserve">bất lợi thương mại</w:t>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line="276" w:lineRule="auto"/>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502615" cy="326971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flipH="0" flipV="0">
                                <a:off x="0" y="0"/>
                                <a:ext cx="5502614" cy="32697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33.28pt;height:257.46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092790" cy="4669885"/>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flipH="0" flipV="0">
                                <a:off x="0" y="0"/>
                                <a:ext cx="3092789" cy="46698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43.53pt;height:367.71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tbl>
      <w:tblPr>
        <w:jc w:val="center"/>
        <w:tblW w:w="8488" w:type="dxa"/>
        <w:tblBorders/>
        <w:tblLook w:val="04A0" w:firstRow="1" w:lastRow="0" w:firstColumn="1" w:lastColumn="0" w:noHBand="0" w:noVBand="1"/>
      </w:tblPr>
      <w:tblGrid>
        <w:gridCol w:w="3812"/>
        <w:gridCol w:w="4676"/>
      </w:tblGrid>
      <w:tr>
        <w:trPr>
          <w:jc w:val="center"/>
          <w:trHeight w:val="283"/>
        </w:trPr>
        <w:tc>
          <w:tcPr>
            <w:tcBorders/>
            <w:tcW w:w="3812" w:type="dxa"/>
            <w:vAlign w:val="center"/>
            <w:textDirection w:val="lrTb"/>
            <w:noWrap w:val="false"/>
          </w:tcPr>
          <w:p>
            <w:pPr>
              <w:pBdr/>
              <w:spacing/>
              <w:ind/>
              <w:jc w:val="center"/>
              <w:rPr>
                <w:b/>
                <w:bCs/>
              </w:rPr>
            </w:pPr>
            <w:r>
              <w:rPr>
                <w:b/>
                <w:bCs/>
              </w:rPr>
            </w:r>
            <w:r>
              <w:rPr>
                <w:b/>
                <w:bCs/>
              </w:rPr>
            </w:r>
            <w:r>
              <w:rPr>
                <w:b/>
                <w:bCs/>
              </w:rPr>
            </w:r>
          </w:p>
        </w:tc>
        <w:tc>
          <w:tcPr>
            <w:tcBorders/>
            <w:tcW w:w="46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jc w:val="center"/>
          <w:trHeight w:val="293"/>
        </w:trPr>
        <w:tc>
          <w:tcPr>
            <w:tcBorders/>
            <w:tcW w:w="3812" w:type="dxa"/>
            <w:vAlign w:val="center"/>
            <w:textDirection w:val="lrTb"/>
            <w:noWrap w:val="false"/>
          </w:tcPr>
          <w:p>
            <w:pPr>
              <w:pBdr/>
              <w:spacing/>
              <w:ind/>
              <w:jc w:val="center"/>
              <w:rPr>
                <w:b/>
                <w:bCs/>
              </w:rPr>
            </w:pPr>
            <w:r>
              <w:rPr>
                <w:b/>
                <w:bCs/>
              </w:rPr>
            </w:r>
            <w:r>
              <w:rPr>
                <w:b/>
                <w:bCs/>
              </w:rPr>
            </w:r>
            <w:r>
              <w:rPr>
                <w:b/>
                <w:bCs/>
              </w:rPr>
            </w:r>
          </w:p>
        </w:tc>
        <w:tc>
          <w:tcPr>
            <w:tcBorders/>
            <w:tcW w:w="4676"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t xml:space="preserve">Nguyễn Thị Hồng Phúc</w:t>
            </w:r>
            <w:r/>
          </w:p>
          <w:p>
            <w:pPr>
              <w:pBdr/>
              <w:spacing/>
              <w:ind/>
              <w:jc w:val="center"/>
              <w:rPr/>
            </w:pPr>
            <w:r/>
            <w:r/>
          </w:p>
        </w:tc>
      </w:tr>
    </w:tbl>
    <w:p>
      <w:pPr>
        <w:pBdr/>
        <w:spacing/>
        <w:ind/>
        <w:rPr/>
      </w:pPr>
      <w:r>
        <w:br w:type="page" w:clear="all"/>
      </w:r>
      <w:r/>
    </w:p>
    <w:p>
      <w:pPr>
        <w:pBdr/>
        <w:spacing w:after="200" w:line="276" w:lineRule="auto"/>
        <w:ind/>
        <w:jc w:val="center"/>
        <w:rPr>
          <w:b/>
          <w:bCs/>
          <w:iCs/>
          <w:lang w:val="pt-BR"/>
        </w:rPr>
      </w:pP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https://data.thienkhoi.com/Account/Login?ReturnUrl=%2FHang%2FDetail%2Fg777h9-mbq5sdri-364887df</w:t>
            </w:r>
            <w:r>
              <w:rPr>
                <w:color w:val="000000" w:themeColor="text1"/>
                <w:sz w:val="22"/>
                <w:szCs w:val="22"/>
              </w:rPr>
              <w:br/>
              <w:t xml:space="preserve">0979552413</w:t>
            </w:r>
            <w:r>
              <w:rPr>
                <w:sz w:val="22"/>
                <w:szCs w:val="22"/>
              </w:rPr>
              <w:t xml:space="preserve"> </w:t>
            </w:r>
            <w:r>
              <w:rPr>
                <w:sz w:val="22"/>
                <w:szCs w:val="22"/>
              </w:rPr>
              <w:br/>
              <w:t xml:space="preserve">(Lợi</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34.000.000.000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30.600.000.000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tại: Phường Đại Mỗ, Quận Nam Từ Liêm, Thành phố Hà Nội </w:t>
            </w:r>
            <w:r>
              <w:rPr>
                <w:rFonts w:ascii="Times New Roman" w:hAnsi="Times New Roman" w:eastAsia="Times New Roman" w:cs="Times New Roman"/>
                <w:color w:val="000000"/>
                <w:sz w:val="24"/>
              </w:rPr>
              <w:t xml:space="preserve">(nay là phường Mễ Trì, thành phố Hà Nội), cách đường Lương Thế Vinh khoảng 200m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Không có lợi thế thương mại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Không có </w:t>
            </w:r>
            <w:r>
              <w:rPr>
                <w:color w:val="000000"/>
                <w:sz w:val="22"/>
                <w:szCs w:val="22"/>
              </w:rPr>
              <w:t xml:space="preserve">bất lợi thương mại</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223924"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522392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11.33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533415" cy="2443726"/>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flipH="0" flipV="0">
                                <a:off x="0" y="0"/>
                                <a:ext cx="5533414" cy="244372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35.70pt;height:192.42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332332" cy="2436999"/>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flipH="0" flipV="0">
                                <a:off x="0" y="0"/>
                                <a:ext cx="5332331" cy="2436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19.87pt;height:191.89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078331" cy="2092570"/>
                      <wp:effectExtent l="0" t="0" r="0" b="0"/>
                      <wp:docPr id="17" name=""/>
                      <wp:cNvGraphicFramePr/>
                      <a:graphic xmlns:a="http://schemas.openxmlformats.org/drawingml/2006/main">
                        <a:graphicData uri="http://schemas.openxmlformats.org/drawingml/2006/picture">
                          <pic:pic xmlns:pic="http://schemas.openxmlformats.org/drawingml/2006/picture">
                            <pic:nvPicPr>
                              <pic:cNvPr id="714460531" name="" descr=""/>
                              <pic:cNvPicPr/>
                              <pic:nvPr/>
                            </pic:nvPicPr>
                            <pic:blipFill rotWithShape="1">
                              <a:blip r:embed="rId29"/>
                              <a:stretch/>
                            </pic:blipFill>
                            <pic:spPr bwMode="auto">
                              <a:xfrm flipH="0" flipV="0">
                                <a:off x="0" y="0"/>
                                <a:ext cx="5078331" cy="209257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99.87pt;height:164.77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t xml:space="preserve">Nguyễn Thị Hồng Phúc</w:t>
            </w:r>
            <w:r/>
          </w:p>
        </w:tc>
      </w:tr>
    </w:tbl>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https://data.thienkhoi.com/Account/Login?ReturnUrl=%2FHang%2FDetail%2F5ed7pg-m8of1n4f-1a4695fd</w:t>
            </w:r>
            <w:r>
              <w:rPr>
                <w:color w:val="000000" w:themeColor="text1"/>
                <w:sz w:val="22"/>
                <w:szCs w:val="22"/>
              </w:rPr>
              <w:br/>
            </w:r>
            <w:r>
              <w:rPr>
                <w:sz w:val="22"/>
                <w:szCs w:val="22"/>
              </w:rPr>
              <w:t xml:space="preserve">SĐT: </w:t>
            </w:r>
            <w:r>
              <w:rPr>
                <w:color w:val="000000" w:themeColor="text1"/>
                <w:sz w:val="22"/>
                <w:szCs w:val="22"/>
              </w:rPr>
              <w:t xml:space="preserve">0326462020</w:t>
            </w:r>
            <w:r>
              <w:rPr>
                <w:sz w:val="22"/>
                <w:szCs w:val="22"/>
              </w:rPr>
              <w:t xml:space="preserve"> </w:t>
            </w:r>
            <w:r>
              <w:rPr>
                <w:sz w:val="22"/>
                <w:szCs w:val="22"/>
              </w:rPr>
              <w:br/>
              <w:t xml:space="preserve">(Thành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23.600.000.000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21.240.000.000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tại: Phường Đại Mỗ, Quận Nam Từ Liêm, Thành phố Hà Nội </w:t>
            </w:r>
            <w:r>
              <w:rPr>
                <w:rFonts w:ascii="Times New Roman" w:hAnsi="Times New Roman" w:eastAsia="Times New Roman" w:cs="Times New Roman"/>
                <w:color w:val="000000"/>
                <w:sz w:val="24"/>
              </w:rPr>
              <w:t xml:space="preserve">(nay là phường Mễ Trì, thành phố Hà Nội),</w:t>
            </w:r>
            <w:r>
              <w:rPr>
                <w:rFonts w:ascii="Times New Roman" w:hAnsi="Times New Roman" w:eastAsia="Times New Roman" w:cs="Times New Roman"/>
                <w:color w:val="000000"/>
                <w:sz w:val="22"/>
              </w:rPr>
              <w:t xml:space="preserve"> cách phố Tố Hữu 30m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Nở hậu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Không có lợi thế thương mại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Không có </w:t>
            </w:r>
            <w:r>
              <w:rPr>
                <w:color w:val="000000"/>
                <w:sz w:val="22"/>
                <w:szCs w:val="22"/>
              </w:rPr>
              <w:t xml:space="preserve">bất lợi thương mại</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491081" cy="3259612"/>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flipH="0" flipV="0">
                                <a:off x="0" y="0"/>
                                <a:ext cx="5491081" cy="325961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32.37pt;height:256.66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554581" cy="3353893"/>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flipH="0" flipV="0">
                                <a:off x="0" y="0"/>
                                <a:ext cx="5554581" cy="335389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37.37pt;height:264.09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554581" cy="2956524"/>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flipH="0" flipV="0">
                                <a:off x="0" y="0"/>
                                <a:ext cx="5554581" cy="295652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37.37pt;height:232.8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410651" cy="3353893"/>
                      <wp:effectExtent l="0" t="0" r="0" b="0"/>
                      <wp:docPr id="21" name=""/>
                      <wp:cNvGraphicFramePr/>
                      <a:graphic xmlns:a="http://schemas.openxmlformats.org/drawingml/2006/main">
                        <a:graphicData uri="http://schemas.openxmlformats.org/drawingml/2006/picture">
                          <pic:pic xmlns:pic="http://schemas.openxmlformats.org/drawingml/2006/picture">
                            <pic:nvPicPr>
                              <pic:cNvPr id="701874011" name="" descr=""/>
                              <pic:cNvPicPr/>
                              <pic:nvPr/>
                            </pic:nvPicPr>
                            <pic:blipFill rotWithShape="1">
                              <a:blip r:embed="rId33"/>
                              <a:stretch/>
                            </pic:blipFill>
                            <pic:spPr bwMode="auto">
                              <a:xfrm flipH="0" flipV="0">
                                <a:off x="0" y="0"/>
                                <a:ext cx="5410651" cy="335389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26.04pt;height:264.09pt;mso-wrap-distance-left:0.00pt;mso-wrap-distance-top:0.00pt;mso-wrap-distance-right:0.00pt;mso-wrap-distance-bottom:0.00pt;z-index:1;" stroked="false">
                      <v:imagedata r:id="rId33" o:title=""/>
                      <o:lock v:ext="edit" rotation="t"/>
                    </v:shape>
                  </w:pict>
                </mc:Fallback>
              </mc:AlternateConten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t xml:space="preserve">Nguyễn Thị Hồng Phúc</w:t>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8">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39">
    <w:nsid w:val="79BF7EDC"/>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0">
    <w:nsid w:val="76A6BFC4"/>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1">
    <w:nsid w:val="1009F5CC"/>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7">
    <w:name w:val="Table Grid Light"/>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1"/>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2"/>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3"/>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4"/>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5"/>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w:basedOn w:val="101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w:basedOn w:val="101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1"/>
    <w:basedOn w:val="101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2"/>
    <w:basedOn w:val="101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3"/>
    <w:basedOn w:val="101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4"/>
    <w:basedOn w:val="101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5"/>
    <w:basedOn w:val="101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6"/>
    <w:basedOn w:val="101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Accent 1"/>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2"/>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3"/>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Accent 4"/>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5"/>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 Accent 6"/>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9">
    <w:name w:val="Grid Table 6 Colorful - Accent 1"/>
    <w:basedOn w:val="101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0">
    <w:name w:val="Grid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1">
    <w:name w:val="Grid Table 6 Colorful - Accent 3"/>
    <w:basedOn w:val="101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2">
    <w:name w:val="Grid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3">
    <w:name w:val="Grid Table 6 Colorful - Accent 5"/>
    <w:basedOn w:val="101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4">
    <w:name w:val="Grid Table 6 Colorful - Accent 6"/>
    <w:basedOn w:val="101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5">
    <w:name w:val="Grid Table 7 Colorful"/>
    <w:basedOn w:val="101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1"/>
    <w:basedOn w:val="101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5"/>
    <w:basedOn w:val="101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6"/>
    <w:basedOn w:val="101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1"/>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2"/>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3"/>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4"/>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5"/>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6"/>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w:basedOn w:val="101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1"/>
    <w:basedOn w:val="101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2"/>
    <w:basedOn w:val="101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3"/>
    <w:basedOn w:val="101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4"/>
    <w:basedOn w:val="101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5"/>
    <w:basedOn w:val="101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6"/>
    <w:basedOn w:val="101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1"/>
    <w:basedOn w:val="101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3"/>
    <w:basedOn w:val="101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5"/>
    <w:basedOn w:val="101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6"/>
    <w:basedOn w:val="101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1"/>
    <w:basedOn w:val="101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2"/>
    <w:basedOn w:val="101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3"/>
    <w:basedOn w:val="101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4"/>
    <w:basedOn w:val="101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5"/>
    <w:basedOn w:val="101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6"/>
    <w:basedOn w:val="101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5 Dark"/>
    <w:basedOn w:val="101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1"/>
    <w:basedOn w:val="101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2"/>
    <w:basedOn w:val="101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3"/>
    <w:basedOn w:val="101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4"/>
    <w:basedOn w:val="101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5"/>
    <w:basedOn w:val="101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6"/>
    <w:basedOn w:val="101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1"/>
    <w:basedOn w:val="101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3"/>
    <w:basedOn w:val="101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5"/>
    <w:basedOn w:val="101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6"/>
    <w:basedOn w:val="101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7 Colorful"/>
    <w:basedOn w:val="101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5">
    <w:name w:val="List Table 7 Colorful - Accent 1"/>
    <w:basedOn w:val="101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6">
    <w:name w:val="List Table 7 Colorful - Accent 2"/>
    <w:basedOn w:val="101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7">
    <w:name w:val="List Table 7 Colorful - Accent 3"/>
    <w:basedOn w:val="101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8">
    <w:name w:val="List Table 7 Colorful - Accent 4"/>
    <w:basedOn w:val="101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9">
    <w:name w:val="List Table 7 Colorful - Accent 5"/>
    <w:basedOn w:val="101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0">
    <w:name w:val="List Table 7 Colorful - Accent 6"/>
    <w:basedOn w:val="101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1">
    <w:name w:val="Lined - Accent"/>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1"/>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2"/>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3"/>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4"/>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5"/>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6"/>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w:basedOn w:val="101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1"/>
    <w:basedOn w:val="101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2"/>
    <w:basedOn w:val="101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3"/>
    <w:basedOn w:val="101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4"/>
    <w:basedOn w:val="101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5"/>
    <w:basedOn w:val="101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6"/>
    <w:basedOn w:val="101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w:basedOn w:val="101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2">
    <w:name w:val="Heading 5"/>
    <w:basedOn w:val="1013"/>
    <w:next w:val="1013"/>
    <w:link w:val="97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3">
    <w:name w:val="Heading 6"/>
    <w:basedOn w:val="1013"/>
    <w:next w:val="1013"/>
    <w:link w:val="97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4">
    <w:name w:val="Heading 7"/>
    <w:basedOn w:val="1013"/>
    <w:next w:val="1013"/>
    <w:link w:val="97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5">
    <w:name w:val="Heading 8"/>
    <w:basedOn w:val="1013"/>
    <w:next w:val="1013"/>
    <w:link w:val="98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6">
    <w:name w:val="Heading 9"/>
    <w:basedOn w:val="1013"/>
    <w:next w:val="1013"/>
    <w:link w:val="98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7">
    <w:name w:val="Heading 5 Char"/>
    <w:basedOn w:val="1018"/>
    <w:link w:val="972"/>
    <w:uiPriority w:val="9"/>
    <w:pPr>
      <w:pBdr/>
      <w:spacing/>
      <w:ind/>
    </w:pPr>
    <w:rPr>
      <w:rFonts w:ascii="Arial" w:hAnsi="Arial" w:eastAsia="Arial" w:cs="Arial"/>
      <w:color w:val="0f4761" w:themeColor="accent1" w:themeShade="BF"/>
    </w:rPr>
  </w:style>
  <w:style w:type="character" w:styleId="978">
    <w:name w:val="Heading 6 Char"/>
    <w:basedOn w:val="1018"/>
    <w:link w:val="973"/>
    <w:uiPriority w:val="9"/>
    <w:pPr>
      <w:pBdr/>
      <w:spacing/>
      <w:ind/>
    </w:pPr>
    <w:rPr>
      <w:rFonts w:ascii="Arial" w:hAnsi="Arial" w:eastAsia="Arial" w:cs="Arial"/>
      <w:i/>
      <w:iCs/>
      <w:color w:val="595959" w:themeColor="text1" w:themeTint="A6"/>
    </w:rPr>
  </w:style>
  <w:style w:type="character" w:styleId="979">
    <w:name w:val="Heading 7 Char"/>
    <w:basedOn w:val="1018"/>
    <w:link w:val="974"/>
    <w:uiPriority w:val="9"/>
    <w:pPr>
      <w:pBdr/>
      <w:spacing/>
      <w:ind/>
    </w:pPr>
    <w:rPr>
      <w:rFonts w:ascii="Arial" w:hAnsi="Arial" w:eastAsia="Arial" w:cs="Arial"/>
      <w:color w:val="595959" w:themeColor="text1" w:themeTint="A6"/>
    </w:rPr>
  </w:style>
  <w:style w:type="character" w:styleId="980">
    <w:name w:val="Heading 8 Char"/>
    <w:basedOn w:val="1018"/>
    <w:link w:val="975"/>
    <w:uiPriority w:val="9"/>
    <w:pPr>
      <w:pBdr/>
      <w:spacing/>
      <w:ind/>
    </w:pPr>
    <w:rPr>
      <w:rFonts w:ascii="Arial" w:hAnsi="Arial" w:eastAsia="Arial" w:cs="Arial"/>
      <w:i/>
      <w:iCs/>
      <w:color w:val="272727" w:themeColor="text1" w:themeTint="D8"/>
    </w:rPr>
  </w:style>
  <w:style w:type="character" w:styleId="981">
    <w:name w:val="Heading 9 Char"/>
    <w:basedOn w:val="1018"/>
    <w:link w:val="976"/>
    <w:uiPriority w:val="9"/>
    <w:pPr>
      <w:pBdr/>
      <w:spacing/>
      <w:ind/>
    </w:pPr>
    <w:rPr>
      <w:rFonts w:ascii="Arial" w:hAnsi="Arial" w:eastAsia="Arial" w:cs="Arial"/>
      <w:i/>
      <w:iCs/>
      <w:color w:val="272727" w:themeColor="text1" w:themeTint="D8"/>
    </w:rPr>
  </w:style>
  <w:style w:type="paragraph" w:styleId="982">
    <w:name w:val="Subtitle"/>
    <w:basedOn w:val="1013"/>
    <w:next w:val="1013"/>
    <w:link w:val="983"/>
    <w:uiPriority w:val="11"/>
    <w:qFormat/>
    <w:pPr>
      <w:numPr>
        <w:ilvl w:val="1"/>
      </w:numPr>
      <w:pBdr/>
      <w:spacing/>
      <w:ind/>
    </w:pPr>
    <w:rPr>
      <w:color w:val="595959" w:themeColor="text1" w:themeTint="A6"/>
      <w:spacing w:val="15"/>
      <w:sz w:val="28"/>
      <w:szCs w:val="28"/>
    </w:rPr>
  </w:style>
  <w:style w:type="character" w:styleId="983">
    <w:name w:val="Subtitle Char"/>
    <w:basedOn w:val="1018"/>
    <w:link w:val="982"/>
    <w:uiPriority w:val="11"/>
    <w:pPr>
      <w:pBdr/>
      <w:spacing/>
      <w:ind/>
    </w:pPr>
    <w:rPr>
      <w:color w:val="595959" w:themeColor="text1" w:themeTint="A6"/>
      <w:spacing w:val="15"/>
      <w:sz w:val="28"/>
      <w:szCs w:val="28"/>
    </w:rPr>
  </w:style>
  <w:style w:type="paragraph" w:styleId="984">
    <w:name w:val="Quote"/>
    <w:basedOn w:val="1013"/>
    <w:next w:val="1013"/>
    <w:link w:val="985"/>
    <w:uiPriority w:val="29"/>
    <w:qFormat/>
    <w:pPr>
      <w:pBdr/>
      <w:spacing w:before="160"/>
      <w:ind/>
      <w:jc w:val="center"/>
    </w:pPr>
    <w:rPr>
      <w:i/>
      <w:iCs/>
      <w:color w:val="404040" w:themeColor="text1" w:themeTint="BF"/>
    </w:rPr>
  </w:style>
  <w:style w:type="character" w:styleId="985">
    <w:name w:val="Quote Char"/>
    <w:basedOn w:val="1018"/>
    <w:link w:val="984"/>
    <w:uiPriority w:val="29"/>
    <w:pPr>
      <w:pBdr/>
      <w:spacing/>
      <w:ind/>
    </w:pPr>
    <w:rPr>
      <w:i/>
      <w:iCs/>
      <w:color w:val="404040" w:themeColor="text1" w:themeTint="BF"/>
    </w:rPr>
  </w:style>
  <w:style w:type="character" w:styleId="986">
    <w:name w:val="Intense Emphasis"/>
    <w:basedOn w:val="1018"/>
    <w:uiPriority w:val="21"/>
    <w:qFormat/>
    <w:pPr>
      <w:pBdr/>
      <w:spacing/>
      <w:ind/>
    </w:pPr>
    <w:rPr>
      <w:i/>
      <w:iCs/>
      <w:color w:val="0f4761" w:themeColor="accent1" w:themeShade="BF"/>
    </w:rPr>
  </w:style>
  <w:style w:type="paragraph" w:styleId="987">
    <w:name w:val="Intense Quote"/>
    <w:basedOn w:val="1013"/>
    <w:next w:val="1013"/>
    <w:link w:val="98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8">
    <w:name w:val="Intense Quote Char"/>
    <w:basedOn w:val="1018"/>
    <w:link w:val="987"/>
    <w:uiPriority w:val="30"/>
    <w:pPr>
      <w:pBdr/>
      <w:spacing/>
      <w:ind/>
    </w:pPr>
    <w:rPr>
      <w:i/>
      <w:iCs/>
      <w:color w:val="0f4761" w:themeColor="accent1" w:themeShade="BF"/>
    </w:rPr>
  </w:style>
  <w:style w:type="character" w:styleId="989">
    <w:name w:val="Intense Reference"/>
    <w:basedOn w:val="1018"/>
    <w:uiPriority w:val="32"/>
    <w:qFormat/>
    <w:pPr>
      <w:pBdr/>
      <w:spacing/>
      <w:ind/>
    </w:pPr>
    <w:rPr>
      <w:b/>
      <w:bCs/>
      <w:smallCaps/>
      <w:color w:val="0f4761" w:themeColor="accent1" w:themeShade="BF"/>
      <w:spacing w:val="5"/>
    </w:rPr>
  </w:style>
  <w:style w:type="paragraph" w:styleId="990">
    <w:name w:val="No Spacing"/>
    <w:basedOn w:val="1013"/>
    <w:uiPriority w:val="1"/>
    <w:qFormat/>
    <w:pPr>
      <w:pBdr/>
      <w:spacing w:after="0" w:line="240" w:lineRule="auto"/>
      <w:ind/>
    </w:pPr>
  </w:style>
  <w:style w:type="character" w:styleId="991">
    <w:name w:val="Subtle Emphasis"/>
    <w:basedOn w:val="1018"/>
    <w:uiPriority w:val="19"/>
    <w:qFormat/>
    <w:pPr>
      <w:pBdr/>
      <w:spacing/>
      <w:ind/>
    </w:pPr>
    <w:rPr>
      <w:i/>
      <w:iCs/>
      <w:color w:val="404040" w:themeColor="text1" w:themeTint="BF"/>
    </w:rPr>
  </w:style>
  <w:style w:type="character" w:styleId="992">
    <w:name w:val="Subtle Reference"/>
    <w:basedOn w:val="1018"/>
    <w:uiPriority w:val="31"/>
    <w:qFormat/>
    <w:pPr>
      <w:pBdr/>
      <w:spacing/>
      <w:ind/>
    </w:pPr>
    <w:rPr>
      <w:smallCaps/>
      <w:color w:val="5a5a5a" w:themeColor="text1" w:themeTint="A5"/>
    </w:rPr>
  </w:style>
  <w:style w:type="character" w:styleId="993">
    <w:name w:val="Book Title"/>
    <w:basedOn w:val="1018"/>
    <w:uiPriority w:val="33"/>
    <w:qFormat/>
    <w:pPr>
      <w:pBdr/>
      <w:spacing/>
      <w:ind/>
    </w:pPr>
    <w:rPr>
      <w:b/>
      <w:bCs/>
      <w:i/>
      <w:iCs/>
      <w:spacing w:val="5"/>
    </w:rPr>
  </w:style>
  <w:style w:type="paragraph" w:styleId="994">
    <w:name w:val="Caption"/>
    <w:basedOn w:val="1013"/>
    <w:next w:val="1013"/>
    <w:uiPriority w:val="35"/>
    <w:unhideWhenUsed/>
    <w:qFormat/>
    <w:pPr>
      <w:pBdr/>
      <w:spacing w:after="200" w:line="240" w:lineRule="auto"/>
      <w:ind/>
    </w:pPr>
    <w:rPr>
      <w:i/>
      <w:iCs/>
      <w:color w:val="0e2841" w:themeColor="text2"/>
      <w:sz w:val="18"/>
      <w:szCs w:val="18"/>
    </w:rPr>
  </w:style>
  <w:style w:type="paragraph" w:styleId="995">
    <w:name w:val="footnote text"/>
    <w:basedOn w:val="1013"/>
    <w:link w:val="996"/>
    <w:uiPriority w:val="99"/>
    <w:semiHidden/>
    <w:unhideWhenUsed/>
    <w:pPr>
      <w:pBdr/>
      <w:spacing w:after="0" w:line="240" w:lineRule="auto"/>
      <w:ind/>
    </w:pPr>
    <w:rPr>
      <w:sz w:val="20"/>
      <w:szCs w:val="20"/>
    </w:rPr>
  </w:style>
  <w:style w:type="character" w:styleId="996">
    <w:name w:val="Footnote Text Char"/>
    <w:basedOn w:val="1018"/>
    <w:link w:val="995"/>
    <w:uiPriority w:val="99"/>
    <w:semiHidden/>
    <w:pPr>
      <w:pBdr/>
      <w:spacing/>
      <w:ind/>
    </w:pPr>
    <w:rPr>
      <w:sz w:val="20"/>
      <w:szCs w:val="20"/>
    </w:rPr>
  </w:style>
  <w:style w:type="character" w:styleId="997">
    <w:name w:val="footnote reference"/>
    <w:basedOn w:val="1018"/>
    <w:uiPriority w:val="99"/>
    <w:semiHidden/>
    <w:unhideWhenUsed/>
    <w:pPr>
      <w:pBdr/>
      <w:spacing/>
      <w:ind/>
    </w:pPr>
    <w:rPr>
      <w:vertAlign w:val="superscript"/>
    </w:rPr>
  </w:style>
  <w:style w:type="paragraph" w:styleId="998">
    <w:name w:val="endnote text"/>
    <w:basedOn w:val="1013"/>
    <w:link w:val="999"/>
    <w:uiPriority w:val="99"/>
    <w:semiHidden/>
    <w:unhideWhenUsed/>
    <w:pPr>
      <w:pBdr/>
      <w:spacing w:after="0" w:line="240" w:lineRule="auto"/>
      <w:ind/>
    </w:pPr>
    <w:rPr>
      <w:sz w:val="20"/>
      <w:szCs w:val="20"/>
    </w:rPr>
  </w:style>
  <w:style w:type="character" w:styleId="999">
    <w:name w:val="Endnote Text Char"/>
    <w:basedOn w:val="1018"/>
    <w:link w:val="998"/>
    <w:uiPriority w:val="99"/>
    <w:semiHidden/>
    <w:pPr>
      <w:pBdr/>
      <w:spacing/>
      <w:ind/>
    </w:pPr>
    <w:rPr>
      <w:sz w:val="20"/>
      <w:szCs w:val="20"/>
    </w:rPr>
  </w:style>
  <w:style w:type="character" w:styleId="1000">
    <w:name w:val="endnote reference"/>
    <w:basedOn w:val="1018"/>
    <w:uiPriority w:val="99"/>
    <w:semiHidden/>
    <w:unhideWhenUsed/>
    <w:pPr>
      <w:pBdr/>
      <w:spacing/>
      <w:ind/>
    </w:pPr>
    <w:rPr>
      <w:vertAlign w:val="superscript"/>
    </w:rPr>
  </w:style>
  <w:style w:type="paragraph" w:styleId="1001">
    <w:name w:val="toc 1"/>
    <w:basedOn w:val="1013"/>
    <w:next w:val="1013"/>
    <w:uiPriority w:val="39"/>
    <w:unhideWhenUsed/>
    <w:pPr>
      <w:pBdr/>
      <w:spacing w:after="100"/>
      <w:ind/>
    </w:pPr>
  </w:style>
  <w:style w:type="paragraph" w:styleId="1002">
    <w:name w:val="toc 2"/>
    <w:basedOn w:val="1013"/>
    <w:next w:val="1013"/>
    <w:uiPriority w:val="39"/>
    <w:unhideWhenUsed/>
    <w:pPr>
      <w:pBdr/>
      <w:spacing w:after="100"/>
      <w:ind w:left="220"/>
    </w:pPr>
  </w:style>
  <w:style w:type="paragraph" w:styleId="1003">
    <w:name w:val="toc 3"/>
    <w:basedOn w:val="1013"/>
    <w:next w:val="1013"/>
    <w:uiPriority w:val="39"/>
    <w:unhideWhenUsed/>
    <w:pPr>
      <w:pBdr/>
      <w:spacing w:after="100"/>
      <w:ind w:left="440"/>
    </w:pPr>
  </w:style>
  <w:style w:type="paragraph" w:styleId="1004">
    <w:name w:val="toc 4"/>
    <w:basedOn w:val="1013"/>
    <w:next w:val="1013"/>
    <w:uiPriority w:val="39"/>
    <w:unhideWhenUsed/>
    <w:pPr>
      <w:pBdr/>
      <w:spacing w:after="100"/>
      <w:ind w:left="660"/>
    </w:pPr>
  </w:style>
  <w:style w:type="paragraph" w:styleId="1005">
    <w:name w:val="toc 5"/>
    <w:basedOn w:val="1013"/>
    <w:next w:val="1013"/>
    <w:uiPriority w:val="39"/>
    <w:unhideWhenUsed/>
    <w:pPr>
      <w:pBdr/>
      <w:spacing w:after="100"/>
      <w:ind w:left="880"/>
    </w:pPr>
  </w:style>
  <w:style w:type="paragraph" w:styleId="1006">
    <w:name w:val="toc 6"/>
    <w:basedOn w:val="1013"/>
    <w:next w:val="1013"/>
    <w:uiPriority w:val="39"/>
    <w:unhideWhenUsed/>
    <w:pPr>
      <w:pBdr/>
      <w:spacing w:after="100"/>
      <w:ind w:left="1100"/>
    </w:pPr>
  </w:style>
  <w:style w:type="paragraph" w:styleId="1007">
    <w:name w:val="toc 7"/>
    <w:basedOn w:val="1013"/>
    <w:next w:val="1013"/>
    <w:uiPriority w:val="39"/>
    <w:unhideWhenUsed/>
    <w:pPr>
      <w:pBdr/>
      <w:spacing w:after="100"/>
      <w:ind w:left="1320"/>
    </w:pPr>
  </w:style>
  <w:style w:type="paragraph" w:styleId="1008">
    <w:name w:val="toc 8"/>
    <w:basedOn w:val="1013"/>
    <w:next w:val="1013"/>
    <w:uiPriority w:val="39"/>
    <w:unhideWhenUsed/>
    <w:pPr>
      <w:pBdr/>
      <w:spacing w:after="100"/>
      <w:ind w:left="1540"/>
    </w:pPr>
  </w:style>
  <w:style w:type="paragraph" w:styleId="1009">
    <w:name w:val="toc 9"/>
    <w:basedOn w:val="1013"/>
    <w:next w:val="1013"/>
    <w:uiPriority w:val="39"/>
    <w:unhideWhenUsed/>
    <w:pPr>
      <w:pBdr/>
      <w:spacing w:after="100"/>
      <w:ind w:left="1760"/>
    </w:pPr>
  </w:style>
  <w:style w:type="character" w:styleId="1010">
    <w:name w:val="Placeholder Text"/>
    <w:basedOn w:val="1018"/>
    <w:uiPriority w:val="99"/>
    <w:semiHidden/>
    <w:pPr>
      <w:pBdr/>
      <w:spacing/>
      <w:ind/>
    </w:pPr>
    <w:rPr>
      <w:color w:val="666666"/>
    </w:rPr>
  </w:style>
  <w:style w:type="paragraph" w:styleId="1011">
    <w:name w:val="TOC Heading"/>
    <w:uiPriority w:val="39"/>
    <w:unhideWhenUsed/>
    <w:pPr>
      <w:pBdr/>
      <w:spacing/>
      <w:ind/>
    </w:pPr>
  </w:style>
  <w:style w:type="paragraph" w:styleId="1012">
    <w:name w:val="table of figures"/>
    <w:basedOn w:val="1013"/>
    <w:next w:val="1013"/>
    <w:uiPriority w:val="99"/>
    <w:unhideWhenUsed/>
    <w:pPr>
      <w:pBdr/>
      <w:spacing w:after="0" w:afterAutospacing="0"/>
      <w:ind/>
    </w:pPr>
  </w:style>
  <w:style w:type="paragraph" w:styleId="1013" w:default="1">
    <w:name w:val="Normal"/>
    <w:qFormat/>
    <w:pPr>
      <w:pBdr/>
      <w:spacing w:after="0" w:line="240" w:lineRule="auto"/>
      <w:ind/>
    </w:pPr>
    <w:rPr>
      <w:rFonts w:ascii="Times New Roman" w:hAnsi="Times New Roman" w:eastAsia="Times New Roman" w:cs="Times New Roman"/>
      <w:sz w:val="24"/>
      <w:szCs w:val="24"/>
    </w:rPr>
  </w:style>
  <w:style w:type="paragraph" w:styleId="1014">
    <w:name w:val="Heading 1"/>
    <w:basedOn w:val="1013"/>
    <w:next w:val="1013"/>
    <w:link w:val="1021"/>
    <w:qFormat/>
    <w:pPr>
      <w:keepNext w:val="true"/>
      <w:pBdr/>
      <w:spacing w:after="120" w:before="120"/>
      <w:ind/>
      <w:jc w:val="center"/>
      <w:outlineLvl w:val="0"/>
    </w:pPr>
    <w:rPr>
      <w:b/>
      <w:bCs/>
      <w:sz w:val="27"/>
      <w:szCs w:val="27"/>
    </w:rPr>
  </w:style>
  <w:style w:type="paragraph" w:styleId="1015">
    <w:name w:val="Heading 2"/>
    <w:basedOn w:val="1013"/>
    <w:next w:val="1013"/>
    <w:link w:val="102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6">
    <w:name w:val="Heading 3"/>
    <w:basedOn w:val="1013"/>
    <w:next w:val="1013"/>
    <w:link w:val="1023"/>
    <w:qFormat/>
    <w:pPr>
      <w:keepNext w:val="true"/>
      <w:pBdr/>
      <w:spacing w:before="60"/>
      <w:ind/>
      <w:outlineLvl w:val="2"/>
    </w:pPr>
    <w:rPr>
      <w:sz w:val="28"/>
      <w:szCs w:val="28"/>
    </w:rPr>
  </w:style>
  <w:style w:type="paragraph" w:styleId="1017">
    <w:name w:val="Heading 4"/>
    <w:basedOn w:val="1013"/>
    <w:next w:val="1013"/>
    <w:link w:val="1024"/>
    <w:qFormat/>
    <w:pPr>
      <w:keepNext w:val="true"/>
      <w:pBdr/>
      <w:spacing/>
      <w:ind/>
      <w:jc w:val="center"/>
      <w:outlineLvl w:val="3"/>
    </w:pPr>
    <w:rPr>
      <w:b/>
      <w:bCs/>
    </w:rPr>
  </w:style>
  <w:style w:type="character" w:styleId="1018" w:default="1">
    <w:name w:val="Default Paragraph Font"/>
    <w:uiPriority w:val="1"/>
    <w:semiHidden/>
    <w:unhideWhenUsed/>
    <w:pPr>
      <w:pBdr/>
      <w:spacing/>
      <w:ind/>
    </w:pPr>
  </w:style>
  <w:style w:type="table" w:styleId="101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0" w:default="1">
    <w:name w:val="No List"/>
    <w:uiPriority w:val="99"/>
    <w:semiHidden/>
    <w:unhideWhenUsed/>
    <w:pPr>
      <w:pBdr/>
      <w:spacing/>
      <w:ind/>
    </w:pPr>
  </w:style>
  <w:style w:type="character" w:styleId="1021" w:customStyle="1">
    <w:name w:val="Heading 1 Char"/>
    <w:basedOn w:val="1018"/>
    <w:link w:val="1014"/>
    <w:pPr>
      <w:pBdr/>
      <w:spacing/>
      <w:ind/>
    </w:pPr>
    <w:rPr>
      <w:rFonts w:ascii="Times New Roman" w:hAnsi="Times New Roman" w:eastAsia="Times New Roman" w:cs="Times New Roman"/>
      <w:b/>
      <w:bCs/>
      <w:sz w:val="27"/>
      <w:szCs w:val="27"/>
    </w:rPr>
  </w:style>
  <w:style w:type="character" w:styleId="1022" w:customStyle="1">
    <w:name w:val="Heading 2 Char"/>
    <w:basedOn w:val="1018"/>
    <w:link w:val="1015"/>
    <w:uiPriority w:val="9"/>
    <w:pPr>
      <w:pBdr/>
      <w:spacing/>
      <w:ind/>
    </w:pPr>
    <w:rPr>
      <w:rFonts w:asciiTheme="majorHAnsi" w:hAnsiTheme="majorHAnsi" w:eastAsiaTheme="majorEastAsia" w:cstheme="majorBidi"/>
      <w:color w:val="365f91" w:themeColor="accent1" w:themeShade="BF"/>
      <w:sz w:val="26"/>
      <w:szCs w:val="26"/>
    </w:rPr>
  </w:style>
  <w:style w:type="character" w:styleId="1023" w:customStyle="1">
    <w:name w:val="Heading 3 Char"/>
    <w:basedOn w:val="1018"/>
    <w:link w:val="1016"/>
    <w:pPr>
      <w:pBdr/>
      <w:spacing/>
      <w:ind/>
    </w:pPr>
    <w:rPr>
      <w:rFonts w:ascii="Times New Roman" w:hAnsi="Times New Roman" w:eastAsia="Times New Roman" w:cs="Times New Roman"/>
      <w:sz w:val="28"/>
      <w:szCs w:val="28"/>
    </w:rPr>
  </w:style>
  <w:style w:type="character" w:styleId="1024" w:customStyle="1">
    <w:name w:val="Heading 4 Char"/>
    <w:basedOn w:val="1018"/>
    <w:link w:val="1017"/>
    <w:pPr>
      <w:pBdr/>
      <w:spacing/>
      <w:ind/>
    </w:pPr>
    <w:rPr>
      <w:rFonts w:ascii="Times New Roman" w:hAnsi="Times New Roman" w:eastAsia="Times New Roman" w:cs="Times New Roman"/>
      <w:b/>
      <w:bCs/>
      <w:sz w:val="24"/>
      <w:szCs w:val="24"/>
    </w:rPr>
  </w:style>
  <w:style w:type="character" w:styleId="1025">
    <w:name w:val="Hyperlink"/>
    <w:uiPriority w:val="99"/>
    <w:pPr>
      <w:pBdr/>
      <w:spacing/>
      <w:ind/>
    </w:pPr>
    <w:rPr>
      <w:color w:val="000000"/>
      <w:u w:val="single"/>
    </w:rPr>
  </w:style>
  <w:style w:type="character" w:styleId="1026">
    <w:name w:val="Strong"/>
    <w:uiPriority w:val="22"/>
    <w:qFormat/>
    <w:pPr>
      <w:pBdr/>
      <w:spacing/>
      <w:ind/>
    </w:pPr>
    <w:rPr>
      <w:b/>
      <w:bCs/>
    </w:rPr>
  </w:style>
  <w:style w:type="paragraph" w:styleId="1027">
    <w:name w:val="Balloon Text"/>
    <w:basedOn w:val="1013"/>
    <w:link w:val="1028"/>
    <w:uiPriority w:val="99"/>
    <w:semiHidden/>
    <w:unhideWhenUsed/>
    <w:pPr>
      <w:pBdr/>
      <w:spacing/>
      <w:ind/>
    </w:pPr>
    <w:rPr>
      <w:rFonts w:ascii="Tahoma" w:hAnsi="Tahoma" w:cs="Tahoma"/>
      <w:sz w:val="16"/>
      <w:szCs w:val="16"/>
    </w:rPr>
  </w:style>
  <w:style w:type="character" w:styleId="1028" w:customStyle="1">
    <w:name w:val="Balloon Text Char"/>
    <w:basedOn w:val="1018"/>
    <w:link w:val="1027"/>
    <w:uiPriority w:val="99"/>
    <w:semiHidden/>
    <w:pPr>
      <w:pBdr/>
      <w:spacing/>
      <w:ind/>
    </w:pPr>
    <w:rPr>
      <w:rFonts w:ascii="Tahoma" w:hAnsi="Tahoma" w:eastAsia="Times New Roman" w:cs="Tahoma"/>
      <w:sz w:val="16"/>
      <w:szCs w:val="16"/>
    </w:rPr>
  </w:style>
  <w:style w:type="paragraph" w:styleId="1029">
    <w:name w:val="Header"/>
    <w:basedOn w:val="1013"/>
    <w:link w:val="1030"/>
    <w:unhideWhenUsed/>
    <w:pPr>
      <w:pBdr/>
      <w:tabs>
        <w:tab w:val="center" w:leader="none" w:pos="4680"/>
        <w:tab w:val="right" w:leader="none" w:pos="9360"/>
      </w:tabs>
      <w:spacing/>
      <w:ind/>
    </w:pPr>
  </w:style>
  <w:style w:type="character" w:styleId="1030" w:customStyle="1">
    <w:name w:val="Header Char"/>
    <w:basedOn w:val="1018"/>
    <w:link w:val="1029"/>
    <w:pPr>
      <w:pBdr/>
      <w:spacing/>
      <w:ind/>
    </w:pPr>
    <w:rPr>
      <w:rFonts w:ascii="Times New Roman" w:hAnsi="Times New Roman" w:eastAsia="Times New Roman" w:cs="Times New Roman"/>
      <w:sz w:val="24"/>
      <w:szCs w:val="24"/>
    </w:rPr>
  </w:style>
  <w:style w:type="paragraph" w:styleId="1031">
    <w:name w:val="Footer"/>
    <w:basedOn w:val="1013"/>
    <w:link w:val="1032"/>
    <w:uiPriority w:val="99"/>
    <w:unhideWhenUsed/>
    <w:pPr>
      <w:pBdr/>
      <w:tabs>
        <w:tab w:val="center" w:leader="none" w:pos="4680"/>
        <w:tab w:val="right" w:leader="none" w:pos="9360"/>
      </w:tabs>
      <w:spacing/>
      <w:ind/>
    </w:pPr>
  </w:style>
  <w:style w:type="character" w:styleId="1032" w:customStyle="1">
    <w:name w:val="Footer Char"/>
    <w:basedOn w:val="1018"/>
    <w:link w:val="1031"/>
    <w:uiPriority w:val="99"/>
    <w:pPr>
      <w:pBdr/>
      <w:spacing/>
      <w:ind/>
    </w:pPr>
    <w:rPr>
      <w:rFonts w:ascii="Times New Roman" w:hAnsi="Times New Roman" w:eastAsia="Times New Roman" w:cs="Times New Roman"/>
      <w:sz w:val="24"/>
      <w:szCs w:val="24"/>
    </w:rPr>
  </w:style>
  <w:style w:type="character" w:styleId="1033" w:customStyle="1">
    <w:name w:val="normal-h1"/>
    <w:pPr>
      <w:pBdr/>
      <w:spacing/>
      <w:ind/>
    </w:pPr>
    <w:rPr>
      <w:rFonts w:hint="default" w:ascii=".VnTime" w:hAnsi=".VnTime"/>
      <w:color w:val="0000ff"/>
      <w:sz w:val="24"/>
      <w:szCs w:val="24"/>
    </w:rPr>
  </w:style>
  <w:style w:type="paragraph" w:styleId="1034" w:customStyle="1">
    <w:name w:val="normal-p"/>
    <w:basedOn w:val="1013"/>
    <w:pPr>
      <w:pBdr/>
      <w:spacing/>
      <w:ind/>
      <w:jc w:val="both"/>
    </w:pPr>
    <w:rPr>
      <w:sz w:val="20"/>
      <w:szCs w:val="20"/>
    </w:rPr>
  </w:style>
  <w:style w:type="paragraph" w:styleId="1035">
    <w:name w:val="List Paragraph"/>
    <w:basedOn w:val="1013"/>
    <w:link w:val="1122"/>
    <w:uiPriority w:val="34"/>
    <w:qFormat/>
    <w:pPr>
      <w:pBdr/>
      <w:spacing/>
      <w:ind w:left="720"/>
    </w:pPr>
  </w:style>
  <w:style w:type="paragraph" w:styleId="1036">
    <w:name w:val="Normal (Web)"/>
    <w:basedOn w:val="1013"/>
    <w:uiPriority w:val="99"/>
    <w:pPr>
      <w:pBdr/>
      <w:spacing w:after="100" w:afterAutospacing="1" w:before="100" w:beforeAutospacing="1"/>
      <w:ind/>
    </w:pPr>
  </w:style>
  <w:style w:type="paragraph" w:styleId="1037">
    <w:name w:val="Body Text"/>
    <w:basedOn w:val="1013"/>
    <w:link w:val="1038"/>
    <w:pPr>
      <w:pBdr/>
      <w:spacing w:after="120"/>
      <w:ind/>
      <w:jc w:val="both"/>
    </w:pPr>
  </w:style>
  <w:style w:type="character" w:styleId="1038" w:customStyle="1">
    <w:name w:val="Body Text Char"/>
    <w:basedOn w:val="1018"/>
    <w:link w:val="1037"/>
    <w:pPr>
      <w:pBdr/>
      <w:spacing/>
      <w:ind/>
    </w:pPr>
    <w:rPr>
      <w:rFonts w:ascii="Times New Roman" w:hAnsi="Times New Roman" w:eastAsia="Times New Roman" w:cs="Times New Roman"/>
      <w:sz w:val="24"/>
      <w:szCs w:val="24"/>
    </w:rPr>
  </w:style>
  <w:style w:type="table" w:styleId="1039">
    <w:name w:val="Table Grid"/>
    <w:basedOn w:val="101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1">
    <w:name w:val="annotation reference"/>
    <w:basedOn w:val="1018"/>
    <w:uiPriority w:val="99"/>
    <w:semiHidden/>
    <w:unhideWhenUsed/>
    <w:pPr>
      <w:pBdr/>
      <w:spacing/>
      <w:ind/>
    </w:pPr>
    <w:rPr>
      <w:sz w:val="16"/>
      <w:szCs w:val="16"/>
    </w:rPr>
  </w:style>
  <w:style w:type="paragraph" w:styleId="1042">
    <w:name w:val="annotation text"/>
    <w:basedOn w:val="1013"/>
    <w:link w:val="1043"/>
    <w:uiPriority w:val="99"/>
    <w:unhideWhenUsed/>
    <w:pPr>
      <w:pBdr/>
      <w:spacing/>
      <w:ind/>
    </w:pPr>
    <w:rPr>
      <w:sz w:val="20"/>
      <w:szCs w:val="20"/>
    </w:rPr>
  </w:style>
  <w:style w:type="character" w:styleId="1043" w:customStyle="1">
    <w:name w:val="Comment Text Char"/>
    <w:basedOn w:val="1018"/>
    <w:link w:val="1042"/>
    <w:uiPriority w:val="99"/>
    <w:pPr>
      <w:pBdr/>
      <w:spacing/>
      <w:ind/>
    </w:pPr>
    <w:rPr>
      <w:rFonts w:ascii="Times New Roman" w:hAnsi="Times New Roman" w:eastAsia="Times New Roman" w:cs="Times New Roman"/>
      <w:sz w:val="20"/>
      <w:szCs w:val="20"/>
    </w:rPr>
  </w:style>
  <w:style w:type="paragraph" w:styleId="1044">
    <w:name w:val="annotation subject"/>
    <w:basedOn w:val="1042"/>
    <w:next w:val="1042"/>
    <w:link w:val="1045"/>
    <w:uiPriority w:val="99"/>
    <w:semiHidden/>
    <w:unhideWhenUsed/>
    <w:pPr>
      <w:pBdr/>
      <w:spacing/>
      <w:ind/>
    </w:pPr>
    <w:rPr>
      <w:b/>
      <w:bCs/>
    </w:rPr>
  </w:style>
  <w:style w:type="character" w:styleId="1045" w:customStyle="1">
    <w:name w:val="Comment Subject Char"/>
    <w:basedOn w:val="1043"/>
    <w:link w:val="1044"/>
    <w:uiPriority w:val="99"/>
    <w:semiHidden/>
    <w:pPr>
      <w:pBdr/>
      <w:spacing/>
      <w:ind/>
    </w:pPr>
    <w:rPr>
      <w:rFonts w:ascii="Times New Roman" w:hAnsi="Times New Roman" w:eastAsia="Times New Roman" w:cs="Times New Roman"/>
      <w:b/>
      <w:bCs/>
      <w:sz w:val="20"/>
      <w:szCs w:val="20"/>
    </w:rPr>
  </w:style>
  <w:style w:type="paragraph" w:styleId="1046" w:customStyle="1">
    <w:name w:val="font5"/>
    <w:basedOn w:val="1013"/>
    <w:pPr>
      <w:pBdr/>
      <w:spacing w:after="100" w:afterAutospacing="1" w:before="100" w:beforeAutospacing="1"/>
      <w:ind/>
    </w:pPr>
    <w:rPr>
      <w:rFonts w:ascii="Tahoma" w:hAnsi="Tahoma" w:cs="Tahoma"/>
      <w:color w:val="000000"/>
      <w:sz w:val="18"/>
      <w:szCs w:val="18"/>
    </w:rPr>
  </w:style>
  <w:style w:type="paragraph" w:styleId="1047" w:customStyle="1">
    <w:name w:val="font6"/>
    <w:basedOn w:val="1013"/>
    <w:pPr>
      <w:pBdr/>
      <w:spacing w:after="100" w:afterAutospacing="1" w:before="100" w:beforeAutospacing="1"/>
      <w:ind/>
    </w:pPr>
    <w:rPr>
      <w:rFonts w:ascii="Tahoma" w:hAnsi="Tahoma" w:cs="Tahoma"/>
      <w:b/>
      <w:bCs/>
      <w:color w:val="000000"/>
      <w:sz w:val="18"/>
      <w:szCs w:val="18"/>
    </w:rPr>
  </w:style>
  <w:style w:type="paragraph" w:styleId="1048" w:customStyle="1">
    <w:name w:val="xl23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9" w:customStyle="1">
    <w:name w:val="xl234"/>
    <w:basedOn w:val="1013"/>
    <w:pPr>
      <w:pBdr/>
      <w:spacing w:after="100" w:afterAutospacing="1" w:before="100" w:beforeAutospacing="1"/>
      <w:ind/>
      <w:jc w:val="center"/>
    </w:pPr>
  </w:style>
  <w:style w:type="paragraph" w:styleId="1050" w:customStyle="1">
    <w:name w:val="xl235"/>
    <w:basedOn w:val="1013"/>
    <w:pPr>
      <w:pBdr/>
      <w:spacing w:after="100" w:afterAutospacing="1" w:before="100" w:beforeAutospacing="1"/>
      <w:ind/>
      <w:jc w:val="center"/>
    </w:pPr>
    <w:rPr>
      <w:b/>
      <w:bCs/>
    </w:rPr>
  </w:style>
  <w:style w:type="paragraph" w:styleId="1051" w:customStyle="1">
    <w:name w:val="xl236"/>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2" w:customStyle="1">
    <w:name w:val="xl23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38"/>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4" w:customStyle="1">
    <w:name w:val="xl23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5" w:customStyle="1">
    <w:name w:val="xl240"/>
    <w:basedOn w:val="1013"/>
    <w:pPr>
      <w:pBdr/>
      <w:spacing w:after="100" w:afterAutospacing="1" w:before="100" w:beforeAutospacing="1"/>
      <w:ind/>
    </w:pPr>
  </w:style>
  <w:style w:type="paragraph" w:styleId="1056" w:customStyle="1">
    <w:name w:val="xl241"/>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7" w:customStyle="1">
    <w:name w:val="xl242"/>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8" w:customStyle="1">
    <w:name w:val="xl243"/>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44"/>
    <w:basedOn w:val="1013"/>
    <w:pPr>
      <w:pBdr/>
      <w:spacing w:after="100" w:afterAutospacing="1" w:before="100" w:beforeAutospacing="1"/>
      <w:ind/>
    </w:pPr>
    <w:rPr>
      <w:b/>
      <w:bCs/>
    </w:rPr>
  </w:style>
  <w:style w:type="paragraph" w:styleId="1060" w:customStyle="1">
    <w:name w:val="xl245"/>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4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47"/>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3" w:customStyle="1">
    <w:name w:val="xl24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4" w:customStyle="1">
    <w:name w:val="xl24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5" w:customStyle="1">
    <w:name w:val="xl25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5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7" w:customStyle="1">
    <w:name w:val="xl25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3"/>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4"/>
    <w:basedOn w:val="101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0" w:customStyle="1">
    <w:name w:val="xl255"/>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1" w:customStyle="1">
    <w:name w:val="xl25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2" w:customStyle="1">
    <w:name w:val="xl25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58"/>
    <w:basedOn w:val="101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5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5" w:customStyle="1">
    <w:name w:val="xl260"/>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6" w:customStyle="1">
    <w:name w:val="xl261"/>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62"/>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3"/>
    <w:basedOn w:val="1013"/>
    <w:pPr>
      <w:pBdr/>
      <w:shd w:val="clear" w:color="000000" w:fill="ffffff"/>
      <w:spacing w:after="100" w:afterAutospacing="1" w:before="100" w:beforeAutospacing="1"/>
      <w:ind/>
    </w:pPr>
  </w:style>
  <w:style w:type="paragraph" w:styleId="1079" w:customStyle="1">
    <w:name w:val="xl264"/>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65"/>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1" w:customStyle="1">
    <w:name w:val="xl26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2" w:customStyle="1">
    <w:name w:val="xl26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3" w:customStyle="1">
    <w:name w:val="xl268"/>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4" w:customStyle="1">
    <w:name w:val="xl269"/>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5" w:customStyle="1">
    <w:name w:val="xl27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1"/>
    <w:basedOn w:val="101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7" w:customStyle="1">
    <w:name w:val="xl27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73"/>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9" w:customStyle="1">
    <w:name w:val="xl274"/>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75"/>
    <w:basedOn w:val="1013"/>
    <w:pPr>
      <w:pBdr/>
      <w:spacing w:after="100" w:afterAutospacing="1" w:before="100" w:beforeAutospacing="1"/>
      <w:ind/>
    </w:pPr>
  </w:style>
  <w:style w:type="paragraph" w:styleId="1091" w:customStyle="1">
    <w:name w:val="xl27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2" w:customStyle="1">
    <w:name w:val="xl277"/>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3" w:customStyle="1">
    <w:name w:val="xl27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7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5" w:customStyle="1">
    <w:name w:val="xl28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6" w:customStyle="1">
    <w:name w:val="xl28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7" w:customStyle="1">
    <w:name w:val="xl28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8" w:customStyle="1">
    <w:name w:val="xl28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4"/>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85"/>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1" w:customStyle="1">
    <w:name w:val="xl28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customStyle="1">
    <w:name w:val="xl287"/>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88"/>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89"/>
    <w:basedOn w:val="1013"/>
    <w:pPr>
      <w:pBdr>
        <w:left w:val="single" w:color="000000" w:sz="4" w:space="0"/>
        <w:right w:val="single" w:color="000000" w:sz="4" w:space="0"/>
      </w:pBdr>
      <w:spacing w:after="100" w:afterAutospacing="1" w:before="100" w:beforeAutospacing="1"/>
      <w:ind/>
    </w:pPr>
    <w:rPr>
      <w:b/>
      <w:bCs/>
    </w:rPr>
  </w:style>
  <w:style w:type="paragraph" w:styleId="1105" w:customStyle="1">
    <w:name w:val="xl29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6" w:customStyle="1">
    <w:name w:val="xl291"/>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7" w:customStyle="1">
    <w:name w:val="xl292"/>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8" w:customStyle="1">
    <w:name w:val="xl293"/>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94"/>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0">
    <w:name w:val="Title"/>
    <w:basedOn w:val="1013"/>
    <w:link w:val="1111"/>
    <w:qFormat/>
    <w:pPr>
      <w:pBdr/>
      <w:spacing/>
      <w:ind/>
      <w:jc w:val="center"/>
    </w:pPr>
    <w:rPr>
      <w:b/>
      <w:bCs/>
      <w:sz w:val="32"/>
      <w:szCs w:val="26"/>
    </w:rPr>
  </w:style>
  <w:style w:type="character" w:styleId="1111" w:customStyle="1">
    <w:name w:val="Title Char"/>
    <w:basedOn w:val="1018"/>
    <w:link w:val="1110"/>
    <w:pPr>
      <w:pBdr/>
      <w:spacing/>
      <w:ind/>
    </w:pPr>
    <w:rPr>
      <w:rFonts w:ascii="Times New Roman" w:hAnsi="Times New Roman" w:eastAsia="Times New Roman" w:cs="Times New Roman"/>
      <w:b/>
      <w:bCs/>
      <w:sz w:val="32"/>
      <w:szCs w:val="26"/>
    </w:rPr>
  </w:style>
  <w:style w:type="character" w:styleId="1112" w:customStyle="1">
    <w:name w:val="Unresolved Mention1"/>
    <w:basedOn w:val="1018"/>
    <w:uiPriority w:val="99"/>
    <w:semiHidden/>
    <w:unhideWhenUsed/>
    <w:pPr>
      <w:pBdr/>
      <w:spacing/>
      <w:ind/>
    </w:pPr>
    <w:rPr>
      <w:color w:val="605e5c"/>
      <w:shd w:val="clear" w:color="auto" w:fill="e1dfdd"/>
    </w:rPr>
  </w:style>
  <w:style w:type="character" w:styleId="1113" w:customStyle="1">
    <w:name w:val="Body text (3)_"/>
    <w:link w:val="1114"/>
    <w:pPr>
      <w:pBdr/>
      <w:spacing/>
      <w:ind/>
    </w:pPr>
    <w:rPr>
      <w:rFonts w:ascii="Times New Roman" w:hAnsi="Times New Roman" w:cs="Times New Roman"/>
      <w:i/>
      <w:iCs/>
      <w:spacing w:val="4"/>
      <w:shd w:val="clear" w:color="auto" w:fill="ffffff"/>
    </w:rPr>
  </w:style>
  <w:style w:type="paragraph" w:styleId="1114" w:customStyle="1">
    <w:name w:val="Body text (3)1"/>
    <w:basedOn w:val="1013"/>
    <w:link w:val="111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5" w:customStyle="1">
    <w:name w:val="t-j"/>
    <w:basedOn w:val="1013"/>
    <w:pPr>
      <w:pBdr/>
      <w:spacing w:after="100" w:afterAutospacing="1" w:before="100" w:beforeAutospacing="1"/>
      <w:ind/>
    </w:pPr>
  </w:style>
  <w:style w:type="character" w:styleId="1116" w:customStyle="1">
    <w:name w:val="Unresolved Mention2"/>
    <w:basedOn w:val="1018"/>
    <w:uiPriority w:val="99"/>
    <w:semiHidden/>
    <w:unhideWhenUsed/>
    <w:pPr>
      <w:pBdr/>
      <w:spacing/>
      <w:ind/>
    </w:pPr>
    <w:rPr>
      <w:color w:val="605e5c"/>
      <w:shd w:val="clear" w:color="auto" w:fill="e1dfdd"/>
    </w:rPr>
  </w:style>
  <w:style w:type="character" w:styleId="1117">
    <w:name w:val="FollowedHyperlink"/>
    <w:basedOn w:val="1018"/>
    <w:uiPriority w:val="99"/>
    <w:semiHidden/>
    <w:unhideWhenUsed/>
    <w:pPr>
      <w:pBdr/>
      <w:spacing/>
      <w:ind/>
    </w:pPr>
    <w:rPr>
      <w:color w:val="800080" w:themeColor="followedHyperlink"/>
      <w:u w:val="single"/>
    </w:rPr>
  </w:style>
  <w:style w:type="character" w:styleId="1118" w:customStyle="1">
    <w:name w:val="text"/>
    <w:basedOn w:val="1018"/>
    <w:pPr>
      <w:pBdr/>
      <w:spacing/>
      <w:ind/>
    </w:pPr>
  </w:style>
  <w:style w:type="character" w:styleId="1119" w:customStyle="1">
    <w:name w:val="card-send-time__sendtime"/>
    <w:basedOn w:val="1018"/>
    <w:pPr>
      <w:pBdr/>
      <w:spacing/>
      <w:ind/>
    </w:pPr>
  </w:style>
  <w:style w:type="character" w:styleId="1120" w:customStyle="1">
    <w:name w:val="Đề cập Chưa giải quyết1"/>
    <w:basedOn w:val="1018"/>
    <w:uiPriority w:val="99"/>
    <w:semiHidden/>
    <w:unhideWhenUsed/>
    <w:pPr>
      <w:pBdr/>
      <w:spacing/>
      <w:ind/>
    </w:pPr>
    <w:rPr>
      <w:color w:val="605e5c"/>
      <w:shd w:val="clear" w:color="auto" w:fill="e1dfdd"/>
    </w:rPr>
  </w:style>
  <w:style w:type="paragraph" w:styleId="1121" w:customStyle="1">
    <w:name w:val="nqtitle"/>
    <w:basedOn w:val="1013"/>
    <w:pPr>
      <w:pBdr/>
      <w:spacing w:after="100" w:afterAutospacing="1" w:before="100" w:beforeAutospacing="1"/>
      <w:ind/>
    </w:pPr>
    <w:rPr>
      <w:lang w:val="vi-VN" w:eastAsia="vi-VN"/>
    </w:rPr>
  </w:style>
  <w:style w:type="character" w:styleId="1122" w:customStyle="1">
    <w:name w:val="List Paragraph Char"/>
    <w:link w:val="1035"/>
    <w:uiPriority w:val="34"/>
    <w:qFormat/>
    <w:pPr>
      <w:pBdr/>
      <w:spacing/>
      <w:ind/>
    </w:pPr>
    <w:rPr>
      <w:rFonts w:ascii="Times New Roman" w:hAnsi="Times New Roman" w:eastAsia="Times New Roman" w:cs="Times New Roman"/>
      <w:sz w:val="24"/>
      <w:szCs w:val="24"/>
    </w:rPr>
  </w:style>
  <w:style w:type="character" w:styleId="1123" w:customStyle="1">
    <w:name w:val="Đề cập Chưa giải quyết2"/>
    <w:basedOn w:val="1018"/>
    <w:uiPriority w:val="99"/>
    <w:semiHidden/>
    <w:unhideWhenUsed/>
    <w:pPr>
      <w:pBdr/>
      <w:spacing/>
      <w:ind/>
    </w:pPr>
    <w:rPr>
      <w:color w:val="605e5c"/>
      <w:shd w:val="clear" w:color="auto" w:fill="e1dfdd"/>
    </w:rPr>
  </w:style>
  <w:style w:type="character" w:styleId="1124" w:customStyle="1">
    <w:name w:val="Unresolved Mention3"/>
    <w:basedOn w:val="1018"/>
    <w:uiPriority w:val="99"/>
    <w:semiHidden/>
    <w:unhideWhenUsed/>
    <w:pPr>
      <w:pBdr/>
      <w:spacing/>
      <w:ind/>
    </w:pPr>
    <w:rPr>
      <w:color w:val="605e5c"/>
      <w:shd w:val="clear" w:color="auto" w:fill="e1dfdd"/>
    </w:rPr>
  </w:style>
  <w:style w:type="character" w:styleId="1125" w:customStyle="1">
    <w:name w:val="copy"/>
    <w:basedOn w:val="1018"/>
    <w:pPr>
      <w:pBdr/>
      <w:spacing/>
      <w:ind/>
    </w:pPr>
  </w:style>
  <w:style w:type="paragraph" w:styleId="1126" w:customStyle="1">
    <w:name w:val="align-justify"/>
    <w:basedOn w:val="1013"/>
    <w:pPr>
      <w:pBdr/>
      <w:spacing w:after="100" w:afterAutospacing="1" w:before="100" w:beforeAutospacing="1"/>
      <w:ind/>
    </w:pPr>
  </w:style>
  <w:style w:type="character" w:styleId="1127" w:customStyle="1">
    <w:name w:val="btn"/>
    <w:basedOn w:val="1018"/>
    <w:pPr>
      <w:pBdr/>
      <w:spacing/>
      <w:ind/>
    </w:pPr>
  </w:style>
  <w:style w:type="character" w:styleId="1128" w:customStyle="1">
    <w:name w:val="hide_mobile"/>
    <w:basedOn w:val="1018"/>
    <w:pPr>
      <w:pBdr/>
      <w:spacing/>
      <w:ind/>
    </w:pPr>
  </w:style>
  <w:style w:type="character" w:styleId="1129">
    <w:name w:val="Emphasis"/>
    <w:basedOn w:val="1018"/>
    <w:uiPriority w:val="20"/>
    <w:qFormat/>
    <w:pPr>
      <w:pBdr/>
      <w:spacing/>
      <w:ind/>
    </w:pPr>
    <w:rPr>
      <w:i/>
      <w:iCs/>
    </w:rPr>
  </w:style>
  <w:style w:type="character" w:styleId="1130" w:customStyle="1">
    <w:name w:val="t1"/>
    <w:basedOn w:val="1018"/>
    <w:pPr>
      <w:pBdr/>
      <w:spacing/>
      <w:ind/>
    </w:pPr>
  </w:style>
  <w:style w:type="character" w:styleId="1131" w:customStyle="1">
    <w:name w:val="Unresolved Mention4"/>
    <w:basedOn w:val="1018"/>
    <w:uiPriority w:val="99"/>
    <w:semiHidden/>
    <w:unhideWhenUsed/>
    <w:pPr>
      <w:pBdr/>
      <w:spacing/>
      <w:ind/>
    </w:pPr>
    <w:rPr>
      <w:color w:val="605e5c"/>
      <w:shd w:val="clear" w:color="auto" w:fill="e1dfdd"/>
    </w:rPr>
  </w:style>
  <w:style w:type="character" w:styleId="1132">
    <w:name w:val="Unresolved Mention"/>
    <w:basedOn w:val="101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cp:lastModifiedBy>
  <cp:revision>515</cp:revision>
  <dcterms:created xsi:type="dcterms:W3CDTF">2025-09-15T02:01:00Z</dcterms:created>
  <dcterms:modified xsi:type="dcterms:W3CDTF">2026-04-20T05:00:42Z</dcterms:modified>
</cp:coreProperties>
</file>