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68929</wp:posOffset>
                </wp:positionV>
                <wp:extent cx="5467350" cy="41350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1350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bCs/>
                                <w14:ligatures w14:val="none"/>
                              </w:rPr>
                            </w:pPr>
                            <w:r>
                              <w:rPr>
                                <w:b/>
                                <w:bCs/>
                              </w:rPr>
                              <w:t xml:space="preserve">Số</w:t>
                            </w:r>
                            <w:r>
                              <w:rPr>
                                <w:b/>
                                <w:bCs/>
                              </w:rPr>
                              <w:t xml:space="preserve">: </w:t>
                            </w:r>
                            <w:r>
                              <w:rPr>
                                <w:b/>
                                <w:bCs/>
                              </w:rPr>
                              <w:t xml:space="preserve">275/2026/0434/VFI-CT.39.A</w:t>
                            </w:r>
                            <w:r>
                              <w:rPr>
                                <w:b/>
                                <w:bCs/>
                              </w:rPr>
                            </w:r>
                            <w:r>
                              <w:rPr>
                                <w:b/>
                                <w:bCs/>
                                <w14:ligatures w14:val="none"/>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SẢN XUẤT PHÂN BÓN PHƯỢNG HOÀNG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thuê trả tiền một lần và tài sản gắn liền với đất tại thửa đất số: 535, tờ bản đồ số 11 có địa chỉ: Khu công nghiệp Rạch Bắp, phường An Tây, thành phố Bến Cát, tỉnh Bình Dương (Nay là Phường Tây Nam, Thành phố Hồ Chí Minh) theo Giấ</w:t>
                            </w:r>
                            <w:r>
                              <w:rPr>
                                <w:color w:val="000000"/>
                              </w:rPr>
                              <w:t xml:space="preserve">y chứng nhận quyền sử dụng đất Quyền sở hữu nhà ở và tài sản khác gắn liền với đất  số: CB 049687, số vào sổ cấp GCN: CT13062 do Sở Tài nguyên và Môi trường tỉnh Bình Dương cấp ngày 19/01/2016; Chủ sử dụng đất là Công ty TNHH sản xuất phân bón Phượng Hoàng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5.43pt;mso-position-vertical:absolute;width:430.50pt;height:325.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bCs/>
                          <w14:ligatures w14:val="none"/>
                        </w:rPr>
                      </w:pPr>
                      <w:r>
                        <w:rPr>
                          <w:b/>
                          <w:bCs/>
                        </w:rPr>
                        <w:t xml:space="preserve">Số</w:t>
                      </w:r>
                      <w:r>
                        <w:rPr>
                          <w:b/>
                          <w:bCs/>
                        </w:rPr>
                        <w:t xml:space="preserve">: </w:t>
                      </w:r>
                      <w:r>
                        <w:rPr>
                          <w:b/>
                          <w:bCs/>
                        </w:rPr>
                        <w:t xml:space="preserve">275/2026/0434/VFI-CT.39.A</w:t>
                      </w:r>
                      <w:r>
                        <w:rPr>
                          <w:b/>
                          <w:bCs/>
                        </w:rPr>
                      </w:r>
                      <w:r>
                        <w:rPr>
                          <w:b/>
                          <w:bCs/>
                          <w14:ligatures w14:val="none"/>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SẢN XUẤT PHÂN BÓN PHƯỢNG HOÀNG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thuê trả tiền một lần và tài sản gắn liền với đất tại thửa đất số: 535, tờ bản đồ số 11 có địa chỉ: Khu công nghiệp Rạch Bắp, phường An Tây, thành phố Bến Cát, tỉnh Bình Dương (Nay là Phường Tây Nam, Thành phố Hồ Chí Minh) theo Giấ</w:t>
                      </w:r>
                      <w:r>
                        <w:rPr>
                          <w:color w:val="000000"/>
                        </w:rPr>
                        <w:t xml:space="preserve">y chứng nhận quyền sử dụng đất Quyền sở hữu nhà ở và tài sản khác gắn liền với đất  số: CB 049687, số vào sổ cấp GCN: CT13062 do Sở Tài nguyên và Môi trường tỉnh Bình Dương cấp ngày 19/01/2016; Chủ sử dụng đất là Công ty TNHH sản xuất phân bón Phượng Hoàng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28-30</w:t>
            </w:r>
            <w:r>
              <w:rPr>
                <w:b/>
                <w:bCs/>
              </w:rPr>
            </w:r>
            <w:r>
              <w:rPr>
                <w:b/>
                <w:bCs/>
              </w:rPr>
            </w:r>
          </w:p>
        </w:tc>
      </w:tr>
      <w:tr>
        <w:trPr/>
        <w:tc>
          <w:tcPr>
            <w:tcBorders/>
            <w:tcMar>
              <w:left w:w="108" w:type="dxa"/>
              <w:right w:w="108" w:type="dxa"/>
            </w:tcMar>
            <w:tcW w:w="7280" w:type="dxa"/>
            <w:vAlign w:val="center"/>
            <w:textDirection w:val="lrTb"/>
            <w:noWrap w:val="false"/>
          </w:tcPr>
          <w:p>
            <w:pPr>
              <w:pStyle w:val="104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31-36</w:t>
            </w:r>
            <w:r>
              <w:rPr>
                <w:b/>
                <w:bCs/>
              </w:rPr>
            </w:r>
            <w:r>
              <w:rPr>
                <w:b/>
                <w:bCs/>
              </w:rPr>
            </w:r>
          </w:p>
        </w:tc>
      </w:tr>
    </w:tbl>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3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45"/>
              <w:pBdr/>
              <w:spacing w:after="60"/>
              <w:ind/>
              <w:rPr>
                <w:color w:val="000000" w:themeColor="text1"/>
                <w:sz w:val="24"/>
                <w:szCs w:val="24"/>
              </w:rPr>
            </w:pPr>
            <w:r>
              <w:rPr>
                <w:rStyle w:val="1044"/>
                <w:rFonts w:ascii="Times New Roman" w:hAnsi="Times New Roman"/>
                <w:color w:val="000000" w:themeColor="text1"/>
                <w:lang w:val="pt-BR"/>
              </w:rPr>
              <w:t xml:space="preserve">Số</w:t>
            </w:r>
            <w:r>
              <w:rPr>
                <w:rStyle w:val="1044"/>
                <w:rFonts w:ascii="Times New Roman" w:hAnsi="Times New Roman"/>
                <w:color w:val="000000" w:themeColor="text1"/>
                <w:lang w:val="pt-BR"/>
              </w:rPr>
              <w:t xml:space="preserve">: </w:t>
            </w:r>
            <w:r>
              <w:rPr>
                <w:rStyle w:val="1044"/>
                <w:rFonts w:ascii="Times New Roman" w:hAnsi="Times New Roman"/>
                <w:color w:val="000000" w:themeColor="text1"/>
                <w:lang w:val="pt-BR"/>
              </w:rPr>
              <w:t xml:space="preserve">275/2026/0434/VFI-CT.39.A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45"/>
              <w:pBdr/>
              <w:spacing w:after="60"/>
              <w:ind w:right="-56"/>
              <w:jc w:val="right"/>
              <w:rPr>
                <w:color w:val="000000" w:themeColor="text1"/>
                <w:sz w:val="24"/>
                <w:szCs w:val="24"/>
                <w:lang w:val="vi-VN"/>
              </w:rPr>
            </w:pPr>
            <w:r>
              <w:rPr>
                <w:rStyle w:val="1044"/>
                <w:rFonts w:ascii="Times New Roman" w:hAnsi="Times New Roman"/>
                <w:i/>
                <w:color w:val="auto"/>
              </w:rPr>
              <w:t xml:space="preserve">TP. </w:t>
            </w:r>
            <w:r>
              <w:rPr>
                <w:rStyle w:val="1044"/>
                <w:rFonts w:ascii="Times New Roman" w:hAnsi="Times New Roman"/>
                <w:i/>
                <w:color w:val="auto"/>
              </w:rPr>
              <w:t xml:space="preserve">Hà</w:t>
            </w:r>
            <w:r>
              <w:rPr>
                <w:rStyle w:val="1044"/>
                <w:rFonts w:ascii="Times New Roman" w:hAnsi="Times New Roman"/>
                <w:i/>
                <w:color w:val="auto"/>
              </w:rPr>
              <w:t xml:space="preserve"> </w:t>
            </w:r>
            <w:r>
              <w:rPr>
                <w:rStyle w:val="1044"/>
                <w:rFonts w:ascii="Times New Roman" w:hAnsi="Times New Roman"/>
                <w:i/>
                <w:color w:val="auto"/>
              </w:rPr>
              <w:t xml:space="preserve">Nội</w:t>
            </w:r>
            <w:r>
              <w:rPr>
                <w:rStyle w:val="1044"/>
                <w:rFonts w:ascii="Times New Roman" w:hAnsi="Times New Roman"/>
                <w:i/>
                <w:color w:val="auto"/>
                <w:lang w:val="vi-VN"/>
              </w:rPr>
              <w:t xml:space="preserve">, </w:t>
            </w:r>
            <w:r>
              <w:rPr>
                <w:rStyle w:val="1044"/>
                <w:rFonts w:ascii="Times New Roman" w:hAnsi="Times New Roman"/>
                <w:i/>
                <w:color w:val="000000" w:themeColor="text1"/>
                <w:lang w:val="vi-VN"/>
              </w:rPr>
              <w:t xml:space="preserve">ngày 20 tháng 3 năm 2026</w:t>
            </w:r>
            <w:r>
              <w:rPr>
                <w:color w:val="000000" w:themeColor="text1"/>
                <w:sz w:val="24"/>
                <w:szCs w:val="24"/>
                <w:lang w:val="vi-VN"/>
              </w:rPr>
            </w:r>
            <w:r>
              <w:rPr>
                <w:color w:val="000000" w:themeColor="text1"/>
                <w:sz w:val="24"/>
                <w:szCs w:val="24"/>
                <w:lang w:val="vi-VN"/>
              </w:rPr>
            </w:r>
          </w:p>
        </w:tc>
      </w:tr>
    </w:tbl>
    <w:p>
      <w:pPr>
        <w:pStyle w:val="1045"/>
        <w:pBdr/>
        <w:spacing w:after="120" w:before="200" w:line="288" w:lineRule="auto"/>
        <w:ind/>
        <w:jc w:val="center"/>
        <w:rPr>
          <w:rStyle w:val="1044"/>
          <w:rFonts w:ascii="Times New Roman" w:hAnsi="Times New Roman"/>
          <w:b/>
          <w:bCs/>
          <w:color w:val="auto"/>
          <w:sz w:val="30"/>
          <w:szCs w:val="30"/>
          <w:lang w:val="vi-VN"/>
        </w:rPr>
      </w:pPr>
      <w:r>
        <w:rPr>
          <w:rStyle w:val="1044"/>
          <w:rFonts w:ascii="Times New Roman" w:hAnsi="Times New Roman"/>
          <w:b/>
          <w:bCs/>
          <w:color w:val="auto"/>
          <w:sz w:val="30"/>
          <w:szCs w:val="30"/>
          <w:lang w:val="vi-VN"/>
        </w:rPr>
        <w:t xml:space="preserve">CHỨNG THƯ THẨM ĐỊNH GIÁ</w:t>
      </w:r>
      <w:r>
        <w:rPr>
          <w:rStyle w:val="1044"/>
          <w:rFonts w:ascii="Times New Roman" w:hAnsi="Times New Roman"/>
          <w:b/>
          <w:bCs/>
          <w:color w:val="auto"/>
          <w:sz w:val="30"/>
          <w:szCs w:val="30"/>
          <w:lang w:val="vi-VN"/>
        </w:rPr>
      </w:r>
      <w:r>
        <w:rPr>
          <w:rStyle w:val="104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SẢN XUẤT PHÂN BÓN PHƯỢNG HOÀNG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275/2026/0399/VFI-HĐTĐ.39.A</w:t>
      </w:r>
      <w:r>
        <w:rPr>
          <w:spacing w:val="-4"/>
          <w:lang w:val="vi-VN"/>
        </w:rPr>
        <w:t xml:space="preserve"> ký ngày </w:t>
      </w:r>
      <w:r>
        <w:rPr>
          <w:color w:val="000000" w:themeColor="text1"/>
          <w:spacing w:val="-4"/>
        </w:rPr>
        <w:t xml:space="preserve">13 tháng 3 năm 2026</w:t>
      </w:r>
      <w:r>
        <w:rPr>
          <w:spacing w:val="-4"/>
          <w:lang w:val="vi-VN"/>
        </w:rPr>
        <w:t xml:space="preserve"> </w:t>
      </w:r>
      <w:r>
        <w:rPr>
          <w:spacing w:val="-4"/>
          <w:lang w:val="vi-VN"/>
        </w:rPr>
        <w:t xml:space="preserve">giữa Công ty TNHH Sản xuất Phân bón Phượng Hoàng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275/2026/0434/VFI-BC.39.A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b/>
                <w:color w:val="000000"/>
                <w:spacing w:val="-8"/>
                <w:sz w:val="24"/>
              </w:rPr>
              <w:t xml:space="preserve">CÔNG TY TNHH SẢN XUẤT PHÂN BÓN PHƯỢNG HOÀNG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3700 895 746</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Lô B7 - B8, đường D9, KCN Rạch Bắp, Phường Tây Nam, Thành Phố Hồ Chí Minh</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Đào Thị Ngọc Lan</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ayout w:type="fixed"/>
        <w:tblLook w:val="04A0" w:firstRow="1" w:lastRow="0" w:firstColumn="1" w:lastColumn="0" w:noHBand="0" w:noVBand="1"/>
      </w:tblPr>
      <w:tblGrid>
        <w:gridCol w:w="2046"/>
        <w:gridCol w:w="283"/>
        <w:gridCol w:w="7343"/>
      </w:tblGrid>
      <w:tr>
        <w:trPr>
          <w:trHeight w:val="20"/>
        </w:trPr>
        <w:tc>
          <w:tcPr>
            <w:tcBorders/>
            <w:tcW w:w="2046"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343"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43"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43"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thuê trả tiền một lần và tài sản gắn liền với đất tại thửa đất số: 535, tờ bản đồ số 11 có địa chỉ: Khu công nghiệp Rạch Bắp, phường An Tây, thành phố Bến Cát, tỉnh Bình Dương (Nay là Phường Tây Nam, Thành phố Hồ Chí Minh) theo Giấ</w:t>
      </w:r>
      <w:r>
        <w:rPr>
          <w:color w:val="000000" w:themeColor="text1"/>
        </w:rPr>
        <w:t xml:space="preserve">y chứng nhận quyền sử dụng đất Quyền sở hữu nhà ở và tài sản khác gắn liền với đất  số: CB 049687, số vào sổ cấp GCN: CT13062 do Sở Tài nguyên và Môi trường tỉnh Bình Dương cấp ngày 19/01/2016; Chủ sử dụng đất là Công ty TNHH sản xuất phân bón Phượng Hoàng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Style w:val="105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2881"/>
        <w:gridCol w:w="1217"/>
        <w:gridCol w:w="2600"/>
        <w:gridCol w:w="2033"/>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7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9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thuê trả tiền một lần và tài sản gắn liền với đất tại thửa đất số: 535, tờ bản đồ số 11 có địa chỉ: Khu công nghiệp Rạch Bắp, phường An Tây, thành phố Bến Cát, tỉnh Bình Dương (Nay là Phường Tây Nam, Thành phố Hồ Chí Minh) theo Giấy chứng</w:t>
            </w:r>
            <w:r>
              <w:rPr>
                <w:rFonts w:ascii="Times New Roman" w:hAnsi="Times New Roman" w:eastAsia="Times New Roman" w:cs="Times New Roman"/>
                <w:b/>
                <w:color w:val="000000"/>
                <w:sz w:val="24"/>
              </w:rPr>
              <w:t xml:space="preserve"> nhận quyền sử dụng đất Quyền sở hữu nhà ở và tài sản khác gắn liền với đất  số: CB 049687, số vào sổ cấp GCN: CT13062 do Sở Tài nguyên và Môi trường tỉnh Bình Dương cấp ngày 19/01/2016; Chủ sử dụng đất là Công ty TNHH sản xuất phân bón Phượng Hoàng</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50.045,0 </w:t>
            </w:r>
            <w:r/>
          </w:p>
        </w:tc>
        <w:tc>
          <w:tcPr>
            <w:shd w:val="clear" w:color="ffffff" w:fill="ffffff"/>
            <w:tcBorders>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4.000.000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200.180.000.000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bảo vệ </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28,0 </w:t>
            </w:r>
            <w:r/>
          </w:p>
        </w:tc>
        <w:tc>
          <w:tcPr>
            <w:shd w:val="clear" w:color="ffffff" w:fill="ffffff"/>
            <w:tcBorders>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85.839.197</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03</w:t>
            </w:r>
            <w:r/>
          </w:p>
        </w:tc>
        <w:tc>
          <w:tcPr>
            <w:shd w:val="clear" w:color="ffffff" w:fill="ffffff"/>
            <w:tcBorders>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điều hành</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240,0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797.078.256</w:t>
            </w:r>
            <w:r/>
          </w:p>
        </w:tc>
      </w:tr>
      <w:tr>
        <w:trPr>
          <w:trHeight w:val="30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04</w:t>
            </w:r>
            <w:r/>
          </w:p>
        </w:tc>
        <w:tc>
          <w:tcPr>
            <w:shd w:val="clear" w:color="ffffff" w:fill="ffffff"/>
            <w:tcBorders>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xưởng số 1</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7.517,3 </w:t>
            </w:r>
            <w:r/>
          </w:p>
        </w:tc>
        <w:tc>
          <w:tcPr>
            <w:shd w:val="clear" w:color="ffffff" w:fill="ffffff"/>
            <w:tcBorders>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19.463.417.295</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05</w:t>
            </w:r>
            <w:r/>
          </w:p>
        </w:tc>
        <w:tc>
          <w:tcPr>
            <w:shd w:val="clear" w:color="ffffff" w:fill="ffffff"/>
            <w:tcBorders>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Xưởng sản xuất 2</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1.824,0 </w:t>
            </w:r>
            <w:r/>
          </w:p>
        </w:tc>
        <w:tc>
          <w:tcPr>
            <w:shd w:val="clear" w:color="ffffff" w:fill="ffffff"/>
            <w:tcBorders>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4.722.609.600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3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203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225.248.944.348</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3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203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225.249.000.000</w:t>
            </w:r>
            <w:r/>
          </w:p>
        </w:tc>
      </w:tr>
      <w:tr>
        <w:trPr>
          <w:trHeight w:val="324"/>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trăm hai mươi lăm tỷ, hai trăm bốn mươi chín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3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45"/>
              <w:pBdr/>
              <w:spacing w:after="60"/>
              <w:ind/>
              <w:rPr>
                <w:color w:val="000000" w:themeColor="text1"/>
                <w:sz w:val="24"/>
                <w:szCs w:val="24"/>
              </w:rPr>
            </w:pPr>
            <w:r>
              <w:rPr>
                <w:rStyle w:val="1044"/>
                <w:rFonts w:ascii="Times New Roman" w:hAnsi="Times New Roman"/>
                <w:color w:val="000000" w:themeColor="text1"/>
                <w:lang w:val="pt-BR"/>
              </w:rPr>
              <w:t xml:space="preserve">Số</w:t>
            </w:r>
            <w:r>
              <w:rPr>
                <w:rStyle w:val="1044"/>
                <w:rFonts w:ascii="Times New Roman" w:hAnsi="Times New Roman"/>
                <w:color w:val="000000" w:themeColor="text1"/>
                <w:lang w:val="pt-BR"/>
              </w:rPr>
              <w:t xml:space="preserve">: </w:t>
            </w:r>
            <w:r>
              <w:rPr>
                <w:rStyle w:val="1044"/>
                <w:rFonts w:ascii="Times New Roman" w:hAnsi="Times New Roman"/>
                <w:color w:val="000000" w:themeColor="text1"/>
                <w:lang w:val="pt-BR"/>
              </w:rPr>
              <w:t xml:space="preserve">275/2026/0434/VFI-BC.39.A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45"/>
              <w:pBdr/>
              <w:spacing w:after="60"/>
              <w:ind w:right="-56"/>
              <w:jc w:val="right"/>
              <w:rPr>
                <w:color w:val="000000" w:themeColor="text1"/>
                <w:sz w:val="24"/>
                <w:szCs w:val="24"/>
                <w:lang w:val="vi-VN"/>
              </w:rPr>
            </w:pPr>
            <w:r>
              <w:rPr>
                <w:rStyle w:val="1044"/>
                <w:rFonts w:ascii="Times New Roman" w:hAnsi="Times New Roman"/>
                <w:i/>
                <w:color w:val="auto"/>
              </w:rPr>
              <w:t xml:space="preserve">TP. </w:t>
            </w:r>
            <w:r>
              <w:rPr>
                <w:rStyle w:val="1044"/>
                <w:rFonts w:ascii="Times New Roman" w:hAnsi="Times New Roman"/>
                <w:i/>
                <w:color w:val="auto"/>
              </w:rPr>
              <w:t xml:space="preserve">Hà</w:t>
            </w:r>
            <w:r>
              <w:rPr>
                <w:rStyle w:val="1044"/>
                <w:rFonts w:ascii="Times New Roman" w:hAnsi="Times New Roman"/>
                <w:i/>
                <w:color w:val="auto"/>
              </w:rPr>
              <w:t xml:space="preserve"> </w:t>
            </w:r>
            <w:r>
              <w:rPr>
                <w:rStyle w:val="1044"/>
                <w:rFonts w:ascii="Times New Roman" w:hAnsi="Times New Roman"/>
                <w:i/>
                <w:color w:val="auto"/>
              </w:rPr>
              <w:t xml:space="preserve">Nội</w:t>
            </w:r>
            <w:r>
              <w:rPr>
                <w:rStyle w:val="1044"/>
                <w:rFonts w:ascii="Times New Roman" w:hAnsi="Times New Roman"/>
                <w:i/>
                <w:color w:val="auto"/>
                <w:lang w:val="vi-VN"/>
              </w:rPr>
              <w:t xml:space="preserve">, </w:t>
            </w:r>
            <w:r>
              <w:rPr>
                <w:rStyle w:val="1044"/>
                <w:rFonts w:ascii="Times New Roman" w:hAnsi="Times New Roman"/>
                <w:i/>
                <w:color w:val="000000" w:themeColor="text1"/>
                <w:lang w:val="vi-VN"/>
              </w:rPr>
              <w:t xml:space="preserve">ngày 20 tháng 3 năm 2026</w:t>
            </w:r>
            <w:r>
              <w:rPr>
                <w:color w:val="000000" w:themeColor="text1"/>
                <w:sz w:val="24"/>
                <w:szCs w:val="24"/>
                <w:lang w:val="vi-VN"/>
              </w:rPr>
            </w:r>
            <w:r>
              <w:rPr>
                <w:color w:val="000000" w:themeColor="text1"/>
                <w:sz w:val="24"/>
                <w:szCs w:val="24"/>
                <w:lang w:val="vi-VN"/>
              </w:rPr>
            </w:r>
          </w:p>
        </w:tc>
      </w:tr>
    </w:tbl>
    <w:p>
      <w:pPr>
        <w:pStyle w:val="104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275/2026/0434/VFI-CT.39.A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CÔNG TY TNHH SẢN XUẤT PHÂN BÓN PHƯỢNG HOÀNG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3700 895 746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Lô B7 - B8, đường D9, KCN Rạch Bắp, Phường Tây Nam, Thành Phố Hồ Chí Minh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Đào Thị Ngọc Lan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thuê trả tiền một lần và tài sản gắn liền với đất tại thửa đất số: 535, tờ bản đồ số 11 có địa chỉ: Khu công nghiệp Rạch Bắp, phường An Tây, thành phố Bến Cát, tỉnh Bình Dương (Nay là Phường Tây Nam, Thành phố Hồ Chí Minh) theo Giấ</w:t>
            </w:r>
            <w:r>
              <w:rPr>
                <w:bCs/>
                <w:color w:val="000000" w:themeColor="text1"/>
                <w:lang w:val="pt-BR"/>
              </w:rPr>
              <w:t xml:space="preserve">y chứng nhận quyền sử dụng đất Quyền sở hữu nhà ở và tài sản khác gắn liền với đất  số: CB 049687, số vào sổ cấp GCN: CT13062 do Sở Tài nguyên và Môi trường tỉnh Bình Dương cấp ngày 19/01/2016; Chủ sử dụng đất là Công ty TNHH sản xuất phân bón Phượng Hoàng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công nghiệp Rạch Bắp, phường An Tây, thành phố Bến Cát, tỉnh Bình Dương (Nay là Phường Tây Nam,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(11.139194444444, 106.53555555556)</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4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4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46"/>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4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4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4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4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4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4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4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w:t>
      </w:r>
      <w:r>
        <w:rPr>
          <w:bCs/>
          <w:color w:val="000000" w:themeColor="text1"/>
          <w:lang w:val="pt-BR"/>
        </w:rPr>
        <w:t xml:space="preserve">y chứng nhận quyền sử dụng đất Quyền sở hữu nhà ở và tài sản khác gắn liền với đất  số: CB 049687, số vào sổ cấp GCN: CT13062 do Sở Tài nguyên và Môi trường tỉnh Bình Dương cấp ngày 19/01/2016; Chủ sử dụng đất là Công ty TNHH sản xuất phân bón Phượng Hoàng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4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275/2026/0399/VFI-HĐTĐ.39.A ngày 13/03/2026 giữa Công ty TNHH Sản xuất Phân bón Phượng Hoàng với Công ty Cổ phần Thẩm định và Đầu tư Tài chính Hoa Sen.</w:t>
      </w:r>
      <w:r>
        <w:rPr>
          <w:b/>
          <w:lang w:val="pt-BR"/>
        </w:rPr>
      </w:r>
      <w:r>
        <w:rPr>
          <w:b/>
          <w:lang w:val="pt-BR"/>
        </w:rPr>
      </w:r>
    </w:p>
    <w:p>
      <w:pPr>
        <w:pStyle w:val="104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Báo cáo nghiên cứu thị trường </w:t>
      </w:r>
      <w:hyperlink r:id="rId17" w:tooltip="https://dautubds.baodautu.vn/chuyen%20dong-thi-truong-c31/" w:history="1">
        <w:r>
          <w:rPr>
            <w:rStyle w:val="1036"/>
            <w:rFonts w:ascii="Times New Roman" w:hAnsi="Times New Roman" w:eastAsia="Times New Roman" w:cs="Times New Roman"/>
            <w:color w:val="000000"/>
            <w:sz w:val="24"/>
            <w:u w:val="none"/>
          </w:rPr>
          <w:t xml:space="preserve">bất động sản</w:t>
        </w:r>
      </w:hyperlink>
      <w:r>
        <w:rPr>
          <w:rFonts w:ascii="Times New Roman" w:hAnsi="Times New Roman" w:eastAsia="Times New Roman" w:cs="Times New Roman"/>
          <w:color w:val="000000"/>
          <w:sz w:val="24"/>
        </w:rPr>
        <w:t xml:space="preserve"> TP.HCM mới đây của CBRE Việt Nam cho thấy, loại hình kho xưởng xây sẵn duy trì tỷ lệ lấp đầy khả quan với sự dẫn dắt chính từ nhóm ngành logistics và e-commerce</w:t>
      </w:r>
      <w:r>
        <w:rPr>
          <w:rFonts w:ascii="Times New Roman" w:hAnsi="Times New Roman" w:eastAsia="Times New Roman" w:cs="Times New Roman"/>
          <w:color w:val="000000"/>
          <w:sz w:val="24"/>
          <w:highlight w:val="white"/>
        </w:rPr>
        <w:t xml:space="preserve">.</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Cụ thể, tổng diện tích hấp thụ trong 9 tháng đầu năm đạt hơn 400.000 m2, tăng 14% so với cùng kỳ năm ngoái. Riêng trong quý III/2025, hoạt động hấp thụ duy trì ở mức tốt với hơn 136.000 m² được ghi nhận. Nhu cầu thuê mạnh mẽ này chủ yếu đến từ các công ty </w:t>
      </w:r>
      <w:r>
        <w:rPr>
          <w:rFonts w:ascii="Times New Roman" w:hAnsi="Times New Roman" w:eastAsia="Times New Roman" w:cs="Times New Roman"/>
          <w:color w:val="000000"/>
          <w:sz w:val="24"/>
        </w:rPr>
        <w:t xml:space="preserve">logistics đang tìm kiếm giải pháp phân phối và lưu trữ hiệu quả.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Về nguồn cung, mặc dù thị trường đã có sự bổ sung đáng kể 161.000 m2 diện tích mới trong quý III/2025, tỷ lệ lấp đầy của toàn thị trường vẫn giữ mức ổn định 74%, không thay đổi so với quý trước, cho thấy sự cân bằng giữa nguồn cung mới và gia tăng nhu cầu </w:t>
      </w:r>
      <w:r>
        <w:rPr>
          <w:rFonts w:ascii="Times New Roman" w:hAnsi="Times New Roman" w:eastAsia="Times New Roman" w:cs="Times New Roman"/>
          <w:color w:val="000000"/>
          <w:sz w:val="24"/>
        </w:rPr>
        <w:t xml:space="preserve">thuê của thị trường. Giá chào thuê trung bình của kho đạt 5 USD/m2/tháng và xưởng đạt 5,2 USD/m2/tháng, không thay đổi nhiều so với quý trước. Về phía nguồn cung, thị trường dự kiến sẽ đón nhận hơn 600.000m2 nguồn cung kho và xưởng xây sẵn mới trong năm 20</w:t>
      </w:r>
      <w:r>
        <w:rPr>
          <w:rFonts w:ascii="Times New Roman" w:hAnsi="Times New Roman" w:eastAsia="Times New Roman" w:cs="Times New Roman"/>
          <w:color w:val="000000"/>
          <w:sz w:val="24"/>
        </w:rPr>
        <w:t xml:space="preserve">26. Với lượng nguồn cung tương đối dồi dào này, giá chào thuê kho và xưởng sẽ duy trì ổn định, dự đoán sẽ không có đợt tăng giá đột biến. Các chính sách ưu đãi thuê có thể sẽ giảm dần do bối cảnh </w:t>
      </w:r>
      <w:hyperlink r:id="rId18" w:tooltip="https://baodautu.vn/thoi-su-d1/" w:history="1">
        <w:r>
          <w:rPr>
            <w:rStyle w:val="1036"/>
            <w:rFonts w:ascii="Times New Roman" w:hAnsi="Times New Roman" w:eastAsia="Times New Roman" w:cs="Times New Roman"/>
            <w:color w:val="000000"/>
            <w:sz w:val="24"/>
            <w:u w:val="none"/>
          </w:rPr>
          <w:t xml:space="preserve">kinh tế</w:t>
        </w:r>
      </w:hyperlink>
      <w:r>
        <w:rPr>
          <w:rFonts w:ascii="Times New Roman" w:hAnsi="Times New Roman" w:eastAsia="Times New Roman" w:cs="Times New Roman"/>
          <w:color w:val="000000"/>
          <w:sz w:val="24"/>
        </w:rPr>
        <w:t xml:space="preserve"> trong nước và quốc tế dần đi vào ổn định.</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Song, ở chiều ngược lại, tình hình hoạt động chung có xu hướng chậm lại. Nguyên nhân chủ yếu đến từ tâm lý thận trọng của các nhà </w:t>
      </w:r>
      <w:hyperlink r:id="rId19" w:tooltip="https://baodautu.vn/" w:history="1">
        <w:r>
          <w:rPr>
            <w:rStyle w:val="1036"/>
            <w:rFonts w:ascii="Times New Roman" w:hAnsi="Times New Roman" w:eastAsia="Times New Roman" w:cs="Times New Roman"/>
            <w:color w:val="000000"/>
            <w:sz w:val="24"/>
            <w:u w:val="none"/>
          </w:rPr>
          <w:t xml:space="preserve">đầu tư</w:t>
        </w:r>
      </w:hyperlink>
      <w:r>
        <w:rPr>
          <w:rFonts w:ascii="Times New Roman" w:hAnsi="Times New Roman" w:eastAsia="Times New Roman" w:cs="Times New Roman"/>
          <w:color w:val="000000"/>
          <w:sz w:val="24"/>
        </w:rPr>
        <w:t xml:space="preserve"> và doanh nghiệp sản xuất trước những mối quan ngại về chính sách thuế quan và thương mại đang diễn ra giữa Hoa Kỳ và Việt Nam. Sự bất ổn này đã ảnh hưởng trực tiếp đến các quyết định đầu tư và mở rộng sản xuất.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Cụ thể, tổng diện tích đất công nghiệp hấp thụ đạt khoảng 80 ha, thấp hơn 70% so với diện tích hấp thụ được ghi nhận trong cùng kỳ năm 2024.</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Về phía nguồn cung, sau giai đoạn khan hiếm nguồn cung mới kéo dài từ cuối năm 2023, thị trường đất công nghiệp miền Nam đã bắt đầu đón nhận sự bổ sung đáng kể với khoảng 853 ha, tập trung chủ yếu từ các </w:t>
      </w:r>
      <w:hyperlink r:id="rId20" w:tooltip="https://baodautu.vn/dau-tu-d2/" w:history="1">
        <w:r>
          <w:rPr>
            <w:rStyle w:val="1036"/>
            <w:rFonts w:ascii="Times New Roman" w:hAnsi="Times New Roman" w:eastAsia="Times New Roman" w:cs="Times New Roman"/>
            <w:color w:val="000000"/>
            <w:sz w:val="24"/>
            <w:u w:val="none"/>
          </w:rPr>
          <w:t xml:space="preserve">dự án</w:t>
        </w:r>
      </w:hyperlink>
      <w:r>
        <w:rPr>
          <w:rFonts w:ascii="Times New Roman" w:hAnsi="Times New Roman" w:eastAsia="Times New Roman" w:cs="Times New Roman"/>
          <w:color w:val="000000"/>
          <w:sz w:val="24"/>
        </w:rPr>
        <w:t xml:space="preserve"> tại TP.HCM, Bình Dương (cũ) và Long An (cũ).</w:t>
      </w:r>
      <w:r/>
    </w:p>
    <w:p>
      <w:pPr>
        <w:pBdr>
          <w:top w:val="none" w:color="000000" w:sz="4" w:space="0"/>
          <w:left w:val="none" w:color="000000" w:sz="4" w:space="0"/>
          <w:bottom w:val="none" w:color="000000" w:sz="4" w:space="0"/>
          <w:right w:val="none" w:color="000000" w:sz="4" w:space="0"/>
        </w:pBdr>
        <w:tabs>
          <w:tab w:val="left" w:leader="none" w:pos="4762"/>
        </w:tabs>
        <w:spacing/>
        <w:ind w:right="0" w:firstLine="0" w:left="0"/>
        <w:rPr/>
      </w:pPr>
      <w:r>
        <w:rPr>
          <w:rFonts w:ascii="Times New Roman" w:hAnsi="Times New Roman" w:eastAsia="Times New Roman" w:cs="Times New Roman"/>
          <w:color w:val="000000"/>
          <w:sz w:val="24"/>
        </w:rPr>
        <w:t xml:space="preserve">Do phần lớn nguồn cung mới này nằm ở các vị trí xa trung tâm và không sở hữu lợi thế kết nối vượt trội, nên sự tăng giá chào thuê của toàn thị trường duy trì ở mức tăng nhẹ. Cụ thể, giá chào thuê trung bình toàn thị trường chỉ tăng khoảng 2% so với quý II/</w:t>
      </w:r>
      <w:r>
        <w:rPr>
          <w:rFonts w:ascii="Times New Roman" w:hAnsi="Times New Roman" w:eastAsia="Times New Roman" w:cs="Times New Roman"/>
          <w:color w:val="000000"/>
          <w:sz w:val="24"/>
        </w:rPr>
        <w:t xml:space="preserve">2025. Mức giá thuê trung bình đạt khoảng 183 USD/m²/kỳ hạn thuê còn lại.</w:t>
      </w:r>
      <w:r/>
    </w:p>
    <w:p>
      <w:pPr>
        <w:pBdr>
          <w:top w:val="none" w:color="000000" w:sz="4" w:space="0"/>
          <w:left w:val="none" w:color="000000" w:sz="4" w:space="0"/>
          <w:bottom w:val="none" w:color="000000" w:sz="4" w:space="0"/>
          <w:right w:val="none" w:color="000000" w:sz="4" w:space="0"/>
        </w:pBdr>
        <w:tabs>
          <w:tab w:val="left" w:leader="none" w:pos="3286"/>
        </w:tabs>
        <w:spacing/>
        <w:ind w:right="0" w:firstLine="0" w:left="0"/>
        <w:jc w:val="center"/>
        <w:rPr/>
      </w:pPr>
      <w:r>
        <w:rPr>
          <w:rFonts w:ascii="Times New Roman" w:hAnsi="Times New Roman" w:eastAsia="Times New Roman" w:cs="Times New Roman"/>
          <w:i/>
          <w:color w:val="000000"/>
          <w:sz w:val="24"/>
        </w:rPr>
        <w:t xml:space="preserve">(nguồn tham khảo: </w:t>
      </w:r>
      <w:hyperlink r:id="rId21" w:tooltip="https://baodautu.vn/kho-xuong-xay-san-la-diem-sang-cua-bat-dong-san-cong-nghiep-phia-nam-d414215.html)" w:history="1">
        <w:r>
          <w:rPr>
            <w:rStyle w:val="1036"/>
            <w:rFonts w:ascii="Times New Roman" w:hAnsi="Times New Roman" w:eastAsia="Times New Roman" w:cs="Times New Roman"/>
            <w:i/>
            <w:color w:val="000000"/>
            <w:sz w:val="24"/>
            <w:u w:val="none"/>
          </w:rPr>
          <w:t xml:space="preserve">https://baodautu.vn/kho-xuong-xay-san-la-diem-sang-cua-bat-dong-san-cong-nghiep-phia-nam-d414215.html)</w:t>
        </w:r>
      </w:hyperlink>
      <w:r>
        <w:rPr>
          <w:rFonts w:ascii="Times New Roman" w:hAnsi="Times New Roman" w:eastAsia="Times New Roman" w:cs="Times New Roman"/>
          <w:i/>
          <w:color w:val="000000"/>
          <w:sz w:val="24"/>
        </w:rPr>
        <w:tab/>
      </w:r>
      <w:r>
        <w:rPr>
          <w:rFonts w:ascii="Times New Roman" w:hAnsi="Times New Roman" w:eastAsia="Times New Roman" w:cs="Times New Roman"/>
          <w:sz w:val="24"/>
        </w:rPr>
      </w:r>
      <w:r/>
    </w:p>
    <w:p>
      <w:pPr>
        <w:pStyle w:val="104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thuê trả tiền một lần và tài sản gắn liền với đất tại thửa đất số: 535, tờ bản đồ số 11 có địa chỉ: Khu công nghiệp Rạch Bắp, phường An Tây, thành phố Bến Cát, tỉnh Bình Dương (Nay là Phường Tây Nam, Thành phố Hồ Chí Minh) theo Giấ</w:t>
            </w:r>
            <w:r>
              <w:rPr>
                <w:b/>
                <w:bCs/>
                <w:color w:val="000000"/>
              </w:rPr>
              <w:t xml:space="preserve">y chứng nhận quyền sử dụng đất Quyền sở hữu nhà ở và tài sản khác gắn liền với đất  số: CB 049687, số vào sổ cấp GCN: CT13062 do Sở Tài nguyên và Môi trường tỉnh Bình Dương cấp ngày 19/01/2016; Chủ sử dụng đất là Công ty TNHH sản xuất phân bón Phượng Hoàng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535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công nghiệp Rạch Bắp, xã An Tây, thị xã Bến Cát, tỉnh Bình Dương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50.045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khu công nghiệp</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Đến ngày 12/12/2055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Thuê đất trả tiền một lần của doanh nghiệp đầu tư hạ tầng khu công nghiệp</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nội bộ KCN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3 mặt đường, phố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Khu công nghiệp Rạch Bắp, phường An Tây, thành phố Bến Cát, tỉnh Bình Dương (Nay là Phường Tây Nam, Thành phố Hồ Chí Minh)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Hướng Đông Bắc: Tiếp giáp đường  Đ2 nhựa</w:t>
              <w:br/>
              <w:t xml:space="preserve">Hướng Đông Nam: Tiếp giáp đường  Đ9 nhựa</w:t>
              <w:br/>
              <w:t xml:space="preserve">Hướng Tây Bắc: Tiếp giáp với đường Đ7</w:t>
              <w:b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(11.139194444444, 106.53555555556)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99351" cy="296118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69996" name=""/>
                              <pic:cNvPicPr>
                                <a:picLocks noChangeAspect="1"/>
                              </pic:cNvPicPr>
                              <pic:nvPr/>
                            </pic:nvPicPr>
                            <pic:blipFill rotWithShape="1">
                              <a:blip r:embed="rId22"/>
                              <a:stretch/>
                            </pic:blipFill>
                            <pic:spPr bwMode="auto">
                              <a:xfrm flipH="0" flipV="0">
                                <a:off x="0" y="0"/>
                                <a:ext cx="5499351" cy="29611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3.02pt;height:233.16pt;mso-wrap-distance-left:0.00pt;mso-wrap-distance-top:0.00pt;mso-wrap-distance-right:0.00pt;mso-wrap-distance-bottom:0.00pt;z-index:1;" stroked="false">
                      <v:imagedata r:id="rId22"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50.045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239,46</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208,99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b/>
          <w:bCs/>
          <w:highlight w:val="none"/>
          <w:u w:val="none"/>
        </w:rPr>
      </w:pPr>
      <w:r>
        <w:rPr>
          <w:b/>
          <w:bCs/>
          <w:u w:val="none"/>
        </w:rPr>
      </w:r>
      <w:r>
        <w:rPr>
          <w:b/>
          <w:bCs/>
          <w:u w:val="none"/>
        </w:rPr>
        <w:t xml:space="preserve">Tài sản gắn liền với đất: </w:t>
      </w:r>
      <w:r>
        <w:rPr>
          <w:b/>
          <w:bCs/>
          <w:u w:val="none"/>
        </w:rPr>
      </w:r>
      <w:r>
        <w:rPr>
          <w:b/>
          <w:bCs/>
          <w:highlight w:val="none"/>
          <w:u w:val="none"/>
        </w:rPr>
      </w:r>
    </w:p>
    <w:tbl>
      <w:tblPr>
        <w:tblStyle w:val="105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8"/>
        <w:gridCol w:w="2328"/>
        <w:gridCol w:w="2050"/>
        <w:gridCol w:w="2447"/>
        <w:gridCol w:w="2348"/>
        <w:gridCol w:w="7234"/>
        <w:gridCol w:w="1337"/>
      </w:tblGrid>
      <w:tr>
        <w:trPr>
          <w:trHeight w:val="1248"/>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8" w:type="dxa"/>
            <w:vAlign w:val="bottom"/>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28" w:type="dxa"/>
            <w:vAlign w:val="bottom"/>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Hạng mục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50" w:type="dxa"/>
            <w:vAlign w:val="bottom"/>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Năm hoàn thành đưa vào sử dụng </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47" w:type="dxa"/>
            <w:vAlign w:val="bottom"/>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xây dựng (m2)</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48" w:type="dxa"/>
            <w:vAlign w:val="bottom"/>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sàn xây dựng (m2)</w:t>
            </w:r>
            <w:r/>
          </w:p>
        </w:tc>
        <w:tc>
          <w:tcPr>
            <w:tcBorders>
              <w:top w:val="single" w:color="000000" w:sz="5" w:space="0"/>
              <w:bottom w:val="single" w:color="000000" w:sz="5" w:space="0"/>
              <w:right w:val="single" w:color="000000" w:sz="5" w:space="0"/>
            </w:tcBorders>
            <w:tcMar>
              <w:left w:w="0" w:type="dxa"/>
              <w:top w:w="0" w:type="dxa"/>
              <w:right w:w="0" w:type="dxa"/>
              <w:bottom w:w="0" w:type="dxa"/>
            </w:tcMar>
            <w:tcW w:w="7234" w:type="dxa"/>
            <w:vAlign w:val="bottom"/>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Mô tả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1337" w:type="dxa"/>
            <w:vAlign w:val="bottom"/>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Đã/Chưa được chứng nhận trên GCN</w:t>
            </w: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65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5" w:space="0"/>
              <w:right w:val="single" w:color="000000" w:sz="5" w:space="0"/>
            </w:tcBorders>
            <w:tcMar>
              <w:left w:w="0" w:type="dxa"/>
              <w:top w:w="0" w:type="dxa"/>
              <w:right w:w="0" w:type="dxa"/>
              <w:bottom w:w="0" w:type="dxa"/>
            </w:tcMar>
            <w:tcW w:w="23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bảo vệ </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2012</w:t>
            </w:r>
            <w:r/>
          </w:p>
        </w:tc>
        <w:tc>
          <w:tcPr>
            <w:tcBorders>
              <w:bottom w:val="single" w:color="000000" w:sz="5" w:space="0"/>
              <w:right w:val="single" w:color="000000" w:sz="5" w:space="0"/>
            </w:tcBorders>
            <w:tcMar>
              <w:left w:w="0" w:type="dxa"/>
              <w:top w:w="0" w:type="dxa"/>
              <w:right w:w="0" w:type="dxa"/>
              <w:bottom w:w="0" w:type="dxa"/>
            </w:tcMar>
            <w:tcW w:w="244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w:t>
            </w:r>
            <w:r/>
          </w:p>
        </w:tc>
        <w:tc>
          <w:tcPr>
            <w:tcBorders>
              <w:bottom w:val="single" w:color="000000" w:sz="5" w:space="0"/>
              <w:right w:val="single" w:color="000000" w:sz="5" w:space="0"/>
            </w:tcBorders>
            <w:tcMar>
              <w:left w:w="0" w:type="dxa"/>
              <w:top w:w="0" w:type="dxa"/>
              <w:right w:w="0" w:type="dxa"/>
              <w:bottom w:w="0" w:type="dxa"/>
            </w:tcMar>
            <w:tcW w:w="23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w:t>
            </w:r>
            <w:r/>
          </w:p>
        </w:tc>
        <w:tc>
          <w:tcPr>
            <w:tcBorders>
              <w:bottom w:val="single" w:color="000000" w:sz="5" w:space="0"/>
              <w:right w:val="single" w:color="000000" w:sz="5" w:space="0"/>
            </w:tcBorders>
            <w:tcMar>
              <w:left w:w="0" w:type="dxa"/>
              <w:top w:w="0" w:type="dxa"/>
              <w:right w:w="0" w:type="dxa"/>
              <w:bottom w:w="0" w:type="dxa"/>
            </w:tcMar>
            <w:tcW w:w="7234"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Nhà 1 tầng, kết cấu tường gạch chịu lực, mái BTCT đổ tại chỗ</w:t>
              <w:br/>
              <w:t xml:space="preserve">+ Đang sử dụng bình thường</w:t>
            </w:r>
            <w:r/>
          </w:p>
        </w:tc>
        <w:tc>
          <w:tcPr>
            <w:tcBorders>
              <w:bottom w:val="single" w:color="000000" w:sz="5" w:space="0"/>
              <w:right w:val="single" w:color="000000" w:sz="5" w:space="0"/>
            </w:tcBorders>
            <w:tcMar>
              <w:left w:w="0" w:type="dxa"/>
              <w:top w:w="0" w:type="dxa"/>
              <w:right w:w="0" w:type="dxa"/>
              <w:bottom w:w="0" w:type="dxa"/>
            </w:tcMar>
            <w:tcW w:w="1337"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Đã được chứng nhận trên GCN</w:t>
            </w: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65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5" w:space="0"/>
              <w:right w:val="single" w:color="000000" w:sz="5" w:space="0"/>
            </w:tcBorders>
            <w:tcMar>
              <w:left w:w="0" w:type="dxa"/>
              <w:top w:w="0" w:type="dxa"/>
              <w:right w:w="0" w:type="dxa"/>
              <w:bottom w:w="0" w:type="dxa"/>
            </w:tcMar>
            <w:tcW w:w="23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điều hành</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2012</w:t>
            </w:r>
            <w:r/>
          </w:p>
        </w:tc>
        <w:tc>
          <w:tcPr>
            <w:tcBorders>
              <w:bottom w:val="single" w:color="000000" w:sz="5" w:space="0"/>
              <w:right w:val="single" w:color="000000" w:sz="5" w:space="0"/>
            </w:tcBorders>
            <w:tcMar>
              <w:left w:w="0" w:type="dxa"/>
              <w:top w:w="0" w:type="dxa"/>
              <w:right w:w="0" w:type="dxa"/>
              <w:bottom w:w="0" w:type="dxa"/>
            </w:tcMar>
            <w:tcW w:w="244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240</w:t>
            </w:r>
            <w:r/>
          </w:p>
        </w:tc>
        <w:tc>
          <w:tcPr>
            <w:tcBorders>
              <w:bottom w:val="single" w:color="000000" w:sz="5" w:space="0"/>
              <w:right w:val="single" w:color="000000" w:sz="5" w:space="0"/>
            </w:tcBorders>
            <w:tcMar>
              <w:left w:w="0" w:type="dxa"/>
              <w:top w:w="0" w:type="dxa"/>
              <w:right w:w="0" w:type="dxa"/>
              <w:bottom w:w="0" w:type="dxa"/>
            </w:tcMar>
            <w:tcW w:w="23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240</w:t>
            </w:r>
            <w:r/>
          </w:p>
        </w:tc>
        <w:tc>
          <w:tcPr>
            <w:tcBorders>
              <w:bottom w:val="single" w:color="000000" w:sz="5" w:space="0"/>
              <w:right w:val="single" w:color="000000" w:sz="5" w:space="0"/>
            </w:tcBorders>
            <w:tcMar>
              <w:left w:w="0" w:type="dxa"/>
              <w:top w:w="0" w:type="dxa"/>
              <w:right w:w="0" w:type="dxa"/>
              <w:bottom w:w="0" w:type="dxa"/>
            </w:tcMar>
            <w:tcW w:w="7234"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Nhà 1 tầng, căn hộ khép kín, kết cấu  tường gạch chịu lực, mái BTCT đổ tại chỗ</w:t>
              <w:br/>
              <w:t xml:space="preserve">+ Đang sử dụng bình thường</w:t>
            </w:r>
            <w:r/>
          </w:p>
        </w:tc>
        <w:tc>
          <w:tcPr>
            <w:tcBorders>
              <w:bottom w:val="single" w:color="000000" w:sz="5" w:space="0"/>
              <w:right w:val="single" w:color="000000" w:sz="5" w:space="0"/>
            </w:tcBorders>
            <w:tcMar>
              <w:left w:w="0" w:type="dxa"/>
              <w:top w:w="0" w:type="dxa"/>
              <w:right w:w="0" w:type="dxa"/>
              <w:bottom w:w="0" w:type="dxa"/>
            </w:tcMar>
            <w:tcW w:w="1337"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Đã được chứng nhận trên GCN</w:t>
            </w:r>
            <w:r/>
          </w:p>
        </w:tc>
      </w:tr>
      <w:tr>
        <w:trPr>
          <w:trHeight w:val="1248"/>
        </w:trPr>
        <w:tc>
          <w:tcPr>
            <w:tcBorders>
              <w:left w:val="single" w:color="000000" w:sz="5" w:space="0"/>
              <w:bottom w:val="single" w:color="000000" w:sz="5" w:space="0"/>
              <w:right w:val="single" w:color="000000" w:sz="5" w:space="0"/>
            </w:tcBorders>
            <w:tcMar>
              <w:left w:w="0" w:type="dxa"/>
              <w:top w:w="0" w:type="dxa"/>
              <w:right w:w="0" w:type="dxa"/>
              <w:bottom w:w="0" w:type="dxa"/>
            </w:tcMar>
            <w:tcW w:w="65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5" w:space="0"/>
              <w:right w:val="single" w:color="000000" w:sz="5" w:space="0"/>
            </w:tcBorders>
            <w:tcMar>
              <w:left w:w="0" w:type="dxa"/>
              <w:top w:w="0" w:type="dxa"/>
              <w:right w:w="0" w:type="dxa"/>
              <w:bottom w:w="0" w:type="dxa"/>
            </w:tcMar>
            <w:tcW w:w="23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xưởng số 1</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2012</w:t>
            </w:r>
            <w:r/>
          </w:p>
        </w:tc>
        <w:tc>
          <w:tcPr>
            <w:tcBorders>
              <w:bottom w:val="single" w:color="000000" w:sz="5" w:space="0"/>
              <w:right w:val="single" w:color="000000" w:sz="5" w:space="0"/>
            </w:tcBorders>
            <w:tcMar>
              <w:left w:w="0" w:type="dxa"/>
              <w:top w:w="0" w:type="dxa"/>
              <w:right w:w="0" w:type="dxa"/>
              <w:bottom w:w="0" w:type="dxa"/>
            </w:tcMar>
            <w:tcW w:w="244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7517,3</w:t>
            </w:r>
            <w:r/>
          </w:p>
        </w:tc>
        <w:tc>
          <w:tcPr>
            <w:tcBorders>
              <w:bottom w:val="single" w:color="000000" w:sz="5" w:space="0"/>
              <w:right w:val="single" w:color="000000" w:sz="5" w:space="0"/>
            </w:tcBorders>
            <w:tcMar>
              <w:left w:w="0" w:type="dxa"/>
              <w:top w:w="0" w:type="dxa"/>
              <w:right w:w="0" w:type="dxa"/>
              <w:bottom w:w="0" w:type="dxa"/>
            </w:tcMar>
            <w:tcW w:w="23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7517,3</w:t>
            </w:r>
            <w:r/>
          </w:p>
        </w:tc>
        <w:tc>
          <w:tcPr>
            <w:tcBorders>
              <w:bottom w:val="single" w:color="000000" w:sz="5" w:space="0"/>
              <w:right w:val="single" w:color="000000" w:sz="5" w:space="0"/>
            </w:tcBorders>
            <w:tcMar>
              <w:left w:w="0" w:type="dxa"/>
              <w:top w:w="0" w:type="dxa"/>
              <w:right w:w="0" w:type="dxa"/>
              <w:bottom w:w="0" w:type="dxa"/>
            </w:tcMar>
            <w:tcW w:w="7234"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Nhà xưởng khẩu độ khoảng 70m; chiều cao thông thủy khoảng 8m; kết cấu Cột kèo thép, tường bao che tôn, mái tôn.</w:t>
              <w:br/>
              <w:t xml:space="preserve">+ Đang sử dụng bình thường</w:t>
            </w:r>
            <w:r/>
          </w:p>
        </w:tc>
        <w:tc>
          <w:tcPr>
            <w:tcBorders>
              <w:bottom w:val="single" w:color="000000" w:sz="5" w:space="0"/>
              <w:right w:val="single" w:color="000000" w:sz="5" w:space="0"/>
            </w:tcBorders>
            <w:tcMar>
              <w:left w:w="0" w:type="dxa"/>
              <w:top w:w="0" w:type="dxa"/>
              <w:right w:w="0" w:type="dxa"/>
              <w:bottom w:w="0" w:type="dxa"/>
            </w:tcMar>
            <w:tcW w:w="1337"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Đã được chứng nhận trên GCN</w:t>
            </w:r>
            <w:r/>
          </w:p>
        </w:tc>
      </w:tr>
      <w:tr>
        <w:trPr>
          <w:trHeight w:val="948"/>
        </w:trPr>
        <w:tc>
          <w:tcPr>
            <w:tcBorders>
              <w:left w:val="single" w:color="000000" w:sz="5" w:space="0"/>
              <w:bottom w:val="single" w:color="000000" w:sz="5" w:space="0"/>
              <w:right w:val="single" w:color="000000" w:sz="5" w:space="0"/>
            </w:tcBorders>
            <w:tcMar>
              <w:left w:w="0" w:type="dxa"/>
              <w:top w:w="0" w:type="dxa"/>
              <w:right w:w="0" w:type="dxa"/>
              <w:bottom w:w="0" w:type="dxa"/>
            </w:tcMar>
            <w:tcW w:w="65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bottom w:val="single" w:color="000000" w:sz="5" w:space="0"/>
              <w:right w:val="single" w:color="000000" w:sz="5" w:space="0"/>
            </w:tcBorders>
            <w:tcMar>
              <w:left w:w="0" w:type="dxa"/>
              <w:top w:w="0" w:type="dxa"/>
              <w:right w:w="0" w:type="dxa"/>
              <w:bottom w:w="0" w:type="dxa"/>
            </w:tcMar>
            <w:tcW w:w="23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Xưởng sản xuất 2</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2012</w:t>
            </w:r>
            <w:r/>
          </w:p>
        </w:tc>
        <w:tc>
          <w:tcPr>
            <w:tcBorders>
              <w:bottom w:val="single" w:color="000000" w:sz="5" w:space="0"/>
              <w:right w:val="single" w:color="000000" w:sz="5" w:space="0"/>
            </w:tcBorders>
            <w:tcMar>
              <w:left w:w="0" w:type="dxa"/>
              <w:top w:w="0" w:type="dxa"/>
              <w:right w:w="0" w:type="dxa"/>
              <w:bottom w:w="0" w:type="dxa"/>
            </w:tcMar>
            <w:tcW w:w="244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1824</w:t>
            </w:r>
            <w:r/>
          </w:p>
        </w:tc>
        <w:tc>
          <w:tcPr>
            <w:tcBorders>
              <w:bottom w:val="single" w:color="000000" w:sz="5" w:space="0"/>
              <w:right w:val="single" w:color="000000" w:sz="5" w:space="0"/>
            </w:tcBorders>
            <w:tcMar>
              <w:left w:w="0" w:type="dxa"/>
              <w:top w:w="0" w:type="dxa"/>
              <w:right w:w="0" w:type="dxa"/>
              <w:bottom w:w="0" w:type="dxa"/>
            </w:tcMar>
            <w:tcW w:w="23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1824</w:t>
            </w:r>
            <w:r/>
          </w:p>
        </w:tc>
        <w:tc>
          <w:tcPr>
            <w:tcBorders>
              <w:bottom w:val="single" w:color="000000" w:sz="5" w:space="0"/>
              <w:right w:val="single" w:color="000000" w:sz="5" w:space="0"/>
            </w:tcBorders>
            <w:tcMar>
              <w:left w:w="0" w:type="dxa"/>
              <w:top w:w="0" w:type="dxa"/>
              <w:right w:w="0" w:type="dxa"/>
              <w:bottom w:w="0" w:type="dxa"/>
            </w:tcMar>
            <w:tcW w:w="7234"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Nhà xưởng khẩu độ khoảng 24m. Chiều cao thông thủy khoảng 8m; kết cấu Cột kèo thép, tường bao che tôn, mái tôn</w:t>
              <w:br/>
              <w:t xml:space="preserve">+ Đang sử dụng bình thường</w:t>
            </w:r>
            <w:r/>
          </w:p>
        </w:tc>
        <w:tc>
          <w:tcPr>
            <w:tcBorders>
              <w:bottom w:val="single" w:color="000000" w:sz="5" w:space="0"/>
              <w:right w:val="single" w:color="000000" w:sz="5" w:space="0"/>
            </w:tcBorders>
            <w:tcMar>
              <w:left w:w="0" w:type="dxa"/>
              <w:top w:w="0" w:type="dxa"/>
              <w:right w:w="0" w:type="dxa"/>
              <w:bottom w:w="0" w:type="dxa"/>
            </w:tcMar>
            <w:tcW w:w="1337"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Đã được chứng nhận trên GCN</w:t>
            </w:r>
            <w:r/>
          </w:p>
        </w:tc>
      </w:tr>
      <w:tr>
        <w:trPr>
          <w:trHeight w:val="1248"/>
        </w:trPr>
        <w:tc>
          <w:tcPr>
            <w:tcBorders>
              <w:left w:val="single" w:color="000000" w:sz="5" w:space="0"/>
              <w:bottom w:val="single" w:color="000000" w:sz="5" w:space="0"/>
              <w:right w:val="single" w:color="000000" w:sz="5" w:space="0"/>
            </w:tcBorders>
            <w:tcMar>
              <w:left w:w="0" w:type="dxa"/>
              <w:top w:w="0" w:type="dxa"/>
              <w:right w:w="0" w:type="dxa"/>
              <w:bottom w:w="0" w:type="dxa"/>
            </w:tcMar>
            <w:tcW w:w="65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5" w:space="0"/>
              <w:right w:val="single" w:color="000000" w:sz="5" w:space="0"/>
            </w:tcBorders>
            <w:tcMar>
              <w:left w:w="0" w:type="dxa"/>
              <w:top w:w="0" w:type="dxa"/>
              <w:right w:w="0" w:type="dxa"/>
              <w:bottom w:w="0" w:type="dxa"/>
            </w:tcMar>
            <w:tcW w:w="23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Ngoài ra còn hệ thông công trình phụ trợ: Nhà gửi xe, sân đường, tường rào, …..</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2012</w:t>
            </w:r>
            <w:r/>
          </w:p>
        </w:tc>
        <w:tc>
          <w:tcPr>
            <w:tcBorders>
              <w:bottom w:val="single" w:color="000000" w:sz="5" w:space="0"/>
              <w:right w:val="single" w:color="000000" w:sz="5" w:space="0"/>
            </w:tcBorders>
            <w:tcMar>
              <w:left w:w="0" w:type="dxa"/>
              <w:top w:w="0" w:type="dxa"/>
              <w:right w:w="0" w:type="dxa"/>
              <w:bottom w:w="0" w:type="dxa"/>
            </w:tcMar>
            <w:tcW w:w="244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23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7234"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1337"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Chưa được chứng nhận trên GCN</w:t>
            </w:r>
            <w:r/>
          </w:p>
        </w:tc>
      </w:tr>
    </w:tbl>
    <w:p>
      <w:pPr>
        <w:pBdr/>
        <w:spacing w:line="235" w:lineRule="auto"/>
        <w:ind w:left="0"/>
        <w:jc w:val="both"/>
        <w:rPr>
          <w:b/>
          <w:bCs/>
          <w:u w:val="none"/>
        </w:rPr>
      </w:pPr>
      <w:r>
        <w:rPr>
          <w:b/>
          <w:bCs/>
          <w:highlight w:val="none"/>
          <w:u w:val="none"/>
        </w:rPr>
      </w:r>
      <w:r>
        <w:rPr>
          <w:b/>
          <w:bCs/>
          <w:highlight w:val="none"/>
          <w:u w:val="none"/>
        </w:rPr>
      </w:r>
      <w:r>
        <w:rPr>
          <w:b/>
          <w:bCs/>
          <w:u w:val="non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5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công nghiệp Rạch Bắp, xã An Tây, thị xã Bến Cát, tỉnh Bình Dương</w:t>
            </w:r>
            <w:r/>
          </w:p>
        </w:tc>
        <w:tc>
          <w:tcPr>
            <w:tcBorders/>
            <w:tcW w:w="1605" w:type="dxa"/>
            <w:vAlign w:val="center"/>
            <w:textDirection w:val="lrTb"/>
            <w:noWrap w:val="false"/>
          </w:tcPr>
          <w:p>
            <w:pPr>
              <w:pBdr/>
              <w:spacing/>
              <w:ind/>
              <w:jc w:val="center"/>
              <w:rPr/>
            </w:pPr>
            <w:r>
              <w:t xml:space="preserve">Khu công nghiệp Rạch Bắp, xã An Tây, thị xã Bến Cát, tỉnh Bình Dương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Khu công nghiệp Rạch Bắp, phường An Tây, thành phố Bến Cát, tỉnh Bình Dương (Nay là Phường Tây Nam, Thành phố Hồ Chí Minh)</w:t>
            </w:r>
            <w:r/>
          </w:p>
        </w:tc>
        <w:tc>
          <w:tcPr>
            <w:tcBorders/>
            <w:tcW w:w="16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Khu công nghiệp Rạch Bắp, phường An Tây, thành phố Bến Cát, tỉnh Bình Dương (Nay là Phường Tây Nam, Thành phố Hồ Chí Minh)</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khu công nghiệp</w:t>
            </w:r>
            <w:r/>
          </w:p>
        </w:tc>
        <w:tc>
          <w:tcPr>
            <w:tcBorders/>
            <w:tcW w:w="1605" w:type="dxa"/>
            <w:vAlign w:val="center"/>
            <w:textDirection w:val="lrTb"/>
            <w:noWrap w:val="false"/>
          </w:tcPr>
          <w:p>
            <w:pPr>
              <w:pBdr/>
              <w:spacing/>
              <w:ind/>
              <w:jc w:val="center"/>
              <w:rPr/>
            </w:pPr>
            <w:r>
              <w:t xml:space="preserve">Đất khu công nghiệp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Có thời hạn</w:t>
            </w:r>
            <w:r/>
          </w:p>
        </w:tc>
        <w:tc>
          <w:tcPr>
            <w:tcBorders/>
            <w:tcW w:w="1605" w:type="dxa"/>
            <w:vAlign w:val="center"/>
            <w:textDirection w:val="lrTb"/>
            <w:noWrap w:val="false"/>
          </w:tcPr>
          <w:p>
            <w:pPr>
              <w:pBdr/>
              <w:spacing/>
              <w:ind/>
              <w:jc w:val="center"/>
              <w:rPr/>
            </w:pPr>
            <w:r>
              <w:t xml:space="preserve">Có thời hạn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50045</w:t>
            </w:r>
            <w:r/>
          </w:p>
        </w:tc>
        <w:tc>
          <w:tcPr>
            <w:tcBorders/>
            <w:tcW w:w="1605" w:type="dxa"/>
            <w:vAlign w:val="center"/>
            <w:textDirection w:val="lrTb"/>
            <w:noWrap w:val="false"/>
          </w:tcPr>
          <w:p>
            <w:pPr>
              <w:pBdr/>
              <w:spacing/>
              <w:ind/>
              <w:jc w:val="center"/>
              <w:rPr/>
            </w:pPr>
            <w:r>
              <w:t xml:space="preserve">50045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Height w:val="256"/>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239.46</w:t>
            </w:r>
            <w:r/>
          </w:p>
        </w:tc>
        <w:tc>
          <w:tcPr>
            <w:tcBorders/>
            <w:tcW w:w="1605" w:type="dxa"/>
            <w:vAlign w:val="center"/>
            <w:textDirection w:val="lrTb"/>
            <w:noWrap w:val="false"/>
          </w:tcPr>
          <w:p>
            <w:pPr>
              <w:pBdr/>
              <w:spacing/>
              <w:ind/>
              <w:jc w:val="center"/>
              <w:rPr/>
            </w:pPr>
            <w:r>
              <w:t xml:space="preserve">239.46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208.99 ✔</w:t>
            </w:r>
            <w:r/>
          </w:p>
        </w:tc>
        <w:tc>
          <w:tcPr>
            <w:tcBorders/>
            <w:tcW w:w="1605" w:type="dxa"/>
            <w:vAlign w:val="center"/>
            <w:textDirection w:val="lrTb"/>
            <w:noWrap w:val="false"/>
          </w:tcPr>
          <w:p>
            <w:pPr>
              <w:pBdr/>
              <w:spacing/>
              <w:ind/>
              <w:jc w:val="center"/>
              <w:rPr/>
            </w:pPr>
            <w:r>
              <w:t xml:space="preserve">208.99</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3 mặt đường, phố</w:t>
            </w:r>
            <w:r/>
          </w:p>
        </w:tc>
        <w:tc>
          <w:tcPr>
            <w:tcBorders/>
            <w:tcW w:w="1605" w:type="dxa"/>
            <w:vAlign w:val="center"/>
            <w:textDirection w:val="lrTb"/>
            <w:noWrap w:val="false"/>
          </w:tcPr>
          <w:p>
            <w:pPr>
              <w:pBdr/>
              <w:spacing/>
              <w:ind/>
              <w:jc w:val="center"/>
              <w:rPr/>
            </w:pPr>
            <w:r>
              <w:t xml:space="preserve">Tiếp giáp 3 mặt đường, phố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Bdr/>
        <w:tabs>
          <w:tab w:val="left" w:leader="none" w:pos="993"/>
        </w:tabs>
        <w:spacing w:after="120" w:before="120" w:line="264" w:lineRule="auto"/>
        <w:ind w:firstLine="0" w:left="360"/>
        <w:jc w:val="both"/>
        <w:rPr/>
      </w:pPr>
      <w:r>
        <w:rPr>
          <w:lang w:val="pt-BR"/>
        </w:rPr>
      </w:r>
      <w:r>
        <w:t xml:space="preserve">Công ty Cổ phần Thẩm định và Đầu tư Tài chính Hoa Sen thẩm định giá trị thị trường của tài sản căn cứ vào những giả định quan trọng sau đây: </w:t>
      </w:r>
      <w:r>
        <w:rPr>
          <w:spacing w:val="-2"/>
          <w:lang w:val="pt-BR"/>
        </w:rPr>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t xml:space="preserve"> </w:t>
      </w: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Báo cáo thẩm định giá này dựa vào các giả định đặc biệt tối quan trọng. Những giả định này bao gồm các chỉ tiêu cụ thể của khách hàng để sử dụng những thông số nhất định được trình bày và được nhấn mạnh trong báo cáo thẩm định giá. Công ty Cổ phần Thẩm địn</w:t>
      </w:r>
      <w:r>
        <w:rPr>
          <w:rFonts w:ascii="Times New Roman" w:hAnsi="Times New Roman" w:eastAsia="Times New Roman" w:cs="Times New Roman"/>
          <w:color w:val="000000"/>
          <w:sz w:val="24"/>
        </w:rPr>
        <w:t xml:space="preserve">h và Đầu tư Tài chính Hoa Sen lưu ý rằng những chỉ tiêu này có thể phản ánh hoặc không phản ánh kỳ vọng thị trường hiện tại cho những dữ liệu đặc biệt chưa rõ ràng.</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w:t>
      </w:r>
      <w:r>
        <w:rPr>
          <w:rFonts w:ascii="Times New Roman" w:hAnsi="Times New Roman" w:eastAsia="Times New Roman" w:cs="Times New Roman"/>
          <w:color w:val="000000"/>
          <w:sz w:val="24"/>
        </w:rPr>
        <w:t xml:space="preserve">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rFonts w:ascii="Times New Roman" w:hAnsi="Times New Roman" w:eastAsia="Times New Roman" w:cs="Times New Roman"/>
          <w:sz w:val="24"/>
        </w:rPr>
      </w:r>
      <w:r/>
    </w:p>
    <w:p>
      <w:pPr>
        <w:pStyle w:val="1046"/>
        <w:numPr>
          <w:ilvl w:val="0"/>
          <w:numId w:val="3"/>
        </w:numPr>
        <w:pBdr/>
        <w:tabs>
          <w:tab w:val="left" w:leader="none" w:pos="993"/>
        </w:tabs>
        <w:spacing w:after="120" w:before="120" w:line="264" w:lineRule="auto"/>
        <w:ind/>
        <w:jc w:val="both"/>
        <w:rPr/>
      </w:pPr>
      <w:r>
        <w:t xml:space="preserve">Đối với phần Công trình xây dựng chưa được ghi nhận trên Giấy chứng nhận quyền sử dụng đất quyền sở hữu nhà ở và tài sản khác gắn liền với đất số: </w:t>
      </w:r>
      <w:r>
        <w:t xml:space="preserve">CB 049687</w:t>
      </w:r>
      <w:r>
        <w:t xml:space="preserve">, chúng tôi tham khảo thông tin khách hàng cung cấp và khảo sát thực tế tài sản th</w:t>
      </w:r>
      <w:r>
        <w:t xml:space="preserve">ẩm định dưới sự hướng dẫn của khách hàng. Tổ thẩm định ước tính giá trị công trình xây dựng theo hiện trạng thực tế với giả định thông số đo đạc được là chính xác. </w:t>
      </w:r>
      <w:r>
        <w:rPr>
          <w:spacing w:val="-2"/>
          <w:lang w:val="pt-BR"/>
        </w:rPr>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w:t>
      </w:r>
      <w:r>
        <w:rPr>
          <w:rFonts w:ascii="Times New Roman" w:hAnsi="Times New Roman" w:eastAsia="Times New Roman" w:cs="Times New Roman"/>
          <w:color w:val="000000"/>
          <w:sz w:val="24"/>
        </w:rPr>
        <w:t xml:space="preserve">ôi xem xét lại báo cáo định giá và tiến hành thẩm định giá theo các điều kiện phát sinh mới. </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Giá trị tài sản thẩm định được xác định trong điều kiện công ty hoạt động với đầy đủ các hệ thống xử lý nước thải, khí thải, phòng cháy chữa cháy….phù hợp với điều kiện khu vực. Sau ngày phát hành chứng thư nếu vì bất kỳ lý do gì dẫn đến nhà máy dừng h</w:t>
      </w:r>
      <w:r>
        <w:rPr>
          <w:rFonts w:ascii="Times New Roman" w:hAnsi="Times New Roman" w:eastAsia="Times New Roman" w:cs="Times New Roman"/>
          <w:color w:val="000000"/>
          <w:sz w:val="24"/>
        </w:rPr>
        <w:t xml:space="preserve">oạt động sẽ nằm ngoài phạm vi, trách nhiệm của Công ty Cổ phần Thẩm định và Đầu tư Tài chính Hoa Sen.</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rFonts w:ascii="Times New Roman" w:hAnsi="Times New Roman" w:eastAsia="Times New Roman" w:cs="Times New Roman"/>
          <w:sz w:val="24"/>
        </w:rPr>
      </w: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4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4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4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4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4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4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công nghiệp Rạch Bắp, phường An Tây, thành phố Bến Cát, tỉnh Bình Dương (Nay là Phường Tây Nam, Thành phố Hồ Chí Minh)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Dự án Mỹ Phước 3, Xã Thới Hòa, Thị xã Bến Cát, Tỉnh Bình Dương (Nay là Phường Thới Hòa, Thành phố Hồ Chí Minh)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KCN Việt Hương, Xã An Điền, Thị xã Bến Cát, Tỉnh Bình Dương (Nay là phường Tây Nam, Thành phố Hồ Chí Minh)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Dự án Mỹ Phước 3, Xã Thới Hòa, Thị xã Bến Cát, Tỉnh Bình Dương (Nay là Phường Thới Hòa, Thành phố Hồ Chí Minh)</w:t>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https://batdongsan.com.vn/ban-kho-nha-xuong-xa-an-tay/can-ban-trong-kcn-viet-huong-ii-ben-cat-binh-duong-pr42363936?gidzl=2xmEJUFBuW09f0fDuDRX00Uk0KFtthe0IwvKIgNMlWSQf51AfuEz14hpKaZrWB9MIATV7Z7UGTbwuSxl3W</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https://batdongsan.com.vn/ban-kho-nha-xuong-phuong-my-phuoc/can-ban-dau-tu-9000m2-trong-kcn-ben-cat-binh-duong-pr43920419?gidzl=BICBHoNSn5OlEmz79i77MI0x3KSmmvLOR3jOJcBBaLyzCLnEO9wIN6rcNamodPqERp9J6Z4-oVec9zd9M0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0909 437 832</w:t>
            </w:r>
            <w:r>
              <w:rPr>
                <w:sz w:val="22"/>
                <w:szCs w:val="22"/>
              </w:rPr>
              <w:t xml:space="preserve"> </w:t>
            </w:r>
            <w:r>
              <w:rPr>
                <w:sz w:val="22"/>
                <w:szCs w:val="22"/>
              </w:rPr>
              <w:br/>
              <w:t xml:space="preserve">(</w:t>
            </w:r>
            <w:r>
              <w:rPr>
                <w:sz w:val="22"/>
                <w:szCs w:val="22"/>
              </w:rPr>
              <w:t xml:space="preserve">Tấn Lộc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0939510208</w:t>
            </w:r>
            <w:r>
              <w:rPr>
                <w:sz w:val="22"/>
                <w:szCs w:val="22"/>
              </w:rPr>
              <w:br/>
            </w:r>
            <w:r>
              <w:rPr>
                <w:sz w:val="22"/>
                <w:szCs w:val="22"/>
              </w:rPr>
              <w:t xml:space="preserve">(</w:t>
            </w:r>
            <w:r>
              <w:rPr>
                <w:sz w:val="22"/>
                <w:szCs w:val="22"/>
              </w:rPr>
              <w:t xml:space="preserve">Kim Lân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0847615678</w:t>
            </w:r>
            <w:r>
              <w:rPr>
                <w:sz w:val="22"/>
                <w:szCs w:val="22"/>
              </w:rPr>
              <w:br/>
            </w:r>
            <w:r>
              <w:rPr>
                <w:sz w:val="22"/>
                <w:szCs w:val="22"/>
              </w:rPr>
              <w:t xml:space="preserve">(</w:t>
            </w:r>
            <w:r>
              <w:rPr>
                <w:sz w:val="22"/>
                <w:szCs w:val="22"/>
              </w:rPr>
              <w:t xml:space="preserve">Minh Tuấn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trả tiền một lần -Đất khu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Đất trả tiền một lần -Đất khu công nghiệp</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Đất trả tiền một lần -Đất khu công nghiệp</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Đất trả tiền một lần -Đất khu công nghiệp</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thời hạn (Đến ngày 12/12/2055)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29/01/2058)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28/09/2053)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20/06/2056)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công nghiệp Rạch Bắp, phường An Tây, thành phố Bến Cát, tỉnh Bình Dương (Nay là Phường Tây Nam, Thành phố Hồ Chí Minh)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Dự án Mỹ Phước 3, Xã Thới Hòa, Thị xã Bến Cát, Tỉnh Bình Dương (Nay là Phường Thới Hòa, Thành phố Hồ Chí Minh)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KCN Việt Hương, Xã An Điền, Thị xã Bến Cát, Tỉnh Bình Dương (Nay là phường Tây Nam, Thành phố Hồ Chí Minh)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Dự án Mỹ Phước 3, Xã Thới Hòa, Thị xã Bến Cát, Tỉnh Bình Dương (Nay là Phường Thới Hòa, Thành phố Hồ Chí Minh)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công nghiệp,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công nghiệp, cụm công nghiệp</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công nghiệp, cụm công nghiệp</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công nghiệp, cụm công nghiệp</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22.118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239,46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208,99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3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101.875.508.000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91.687.957.200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75.650.000.000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25.530.958.247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25.501.257.000</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91.690.000.000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38.219.041.753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50.148.743.000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4.145.492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3.821.904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4.179.062</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40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highlight w:val="white"/>
              </w:rPr>
            </w:pPr>
            <w:r>
              <w:rPr>
                <w:highlight w:val="white"/>
              </w:rPr>
            </w:r>
            <w:r>
              <w:rPr>
                <w:color w:val="000000" w:themeColor="text1"/>
                <w:sz w:val="22"/>
                <w:szCs w:val="22"/>
                <w:highlight w:val="white"/>
              </w:rPr>
              <w:t xml:space="preserve">Hình dáng thửa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45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b w:val="0"/>
                <w:bCs w:val="0"/>
                <w:highlight w:val="white"/>
              </w:rPr>
            </w:pPr>
            <w:r>
              <w:rPr>
                <w:rFonts w:ascii="Times New Roman" w:hAnsi="Times New Roman" w:eastAsia="Times New Roman" w:cs="Times New Roman"/>
                <w:b w:val="0"/>
                <w:bCs w:val="0"/>
                <w:color w:val="000000"/>
                <w:sz w:val="22"/>
                <w:highlight w:val="white"/>
              </w:rPr>
              <w:t xml:space="preserve">Điều kiện cơ sở hạ tầng kỹ thuật</w:t>
            </w:r>
            <w:r>
              <w:rPr>
                <w:b w:val="0"/>
                <w:bCs w:val="0"/>
                <w:highlight w:val="white"/>
              </w:rPr>
            </w:r>
            <w:r>
              <w:rPr>
                <w:b w:val="0"/>
                <w:bCs w:val="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bl>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color w:val="000000"/>
          <w:sz w:val="24"/>
        </w:rPr>
        <w:t xml:space="preserve">(*) Xác định giá trị công trình xây dựng trên đất của TSSS 2:</w:t>
      </w: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rFonts w:ascii="Times New Roman" w:hAnsi="Times New Roman" w:eastAsia="Times New Roman" w:cs="Times New Roman"/>
          <w:b/>
          <w:bCs/>
          <w:i/>
          <w:color w:val="000000"/>
          <w:sz w:val="24"/>
          <w:szCs w:val="24"/>
          <w:highlight w:val="none"/>
        </w:rPr>
      </w:pPr>
      <w:r>
        <w:rPr>
          <w:rFonts w:ascii="Times New Roman" w:hAnsi="Times New Roman" w:eastAsia="Times New Roman" w:cs="Times New Roman"/>
          <w:b/>
          <w:i/>
          <w:color w:val="000000"/>
          <w:sz w:val="24"/>
        </w:rPr>
        <w:t xml:space="preserve">a. Nhà xưởng 1: Diện tích xây dựng khoảng 2.880m2; nhà xưởng 2: Diện tích xây dựng khoảng 3.240m2</w:t>
      </w:r>
      <w:r>
        <w:rPr>
          <w:rFonts w:ascii="Times New Roman" w:hAnsi="Times New Roman" w:eastAsia="Times New Roman" w:cs="Times New Roman"/>
          <w:sz w:val="24"/>
        </w:rPr>
      </w:r>
      <w:r>
        <w:rPr>
          <w:rFonts w:ascii="Times New Roman" w:hAnsi="Times New Roman" w:eastAsia="Times New Roman" w:cs="Times New Roman"/>
          <w:b/>
          <w:bCs/>
          <w:i/>
          <w:color w:val="000000"/>
          <w:sz w:val="24"/>
          <w:szCs w:val="24"/>
          <w:highlight w:val="none"/>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Xác định Đơn giá xây mới: </w:t>
      </w: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bCs/>
          <w:i/>
          <w:color w:val="000000"/>
          <w:spacing w:val="3"/>
          <w:szCs w:val="24"/>
          <w:highlight w:val="white"/>
          <w14:ligatures w14:val="none"/>
        </w:rPr>
      </w:pPr>
      <w:r>
        <w:rPr>
          <w:rFonts w:ascii="Times New Roman" w:hAnsi="Times New Roman" w:eastAsia="Times New Roman" w:cs="Times New Roman"/>
          <w:i/>
          <w:color w:val="000000"/>
          <w:spacing w:val="3"/>
          <w:sz w:val="24"/>
          <w:highlight w:val="white"/>
        </w:rPr>
        <w:t xml:space="preserve">“Suất vốn đầu tư xây dựng cô</w:t>
      </w:r>
      <w:r>
        <w:rPr>
          <w:rFonts w:ascii="Times New Roman" w:hAnsi="Times New Roman" w:eastAsia="Times New Roman" w:cs="Times New Roman"/>
          <w:i/>
          <w:iCs/>
          <w:color w:val="000000"/>
          <w:spacing w:val="3"/>
          <w:sz w:val="24"/>
          <w:szCs w:val="24"/>
          <w:highlight w:val="white"/>
        </w:rPr>
        <w:t xml:space="preserve">ng trình </w:t>
      </w:r>
      <w:r>
        <w:rPr>
          <w:rFonts w:ascii="Times New Roman" w:hAnsi="Times New Roman" w:eastAsia="Times New Roman" w:cs="Times New Roman"/>
          <w:i/>
          <w:iCs/>
          <w:color w:val="000000"/>
          <w:spacing w:val="3"/>
          <w:sz w:val="24"/>
          <w:szCs w:val="24"/>
          <w:highlight w:val="white"/>
        </w:rPr>
        <w:t xml:space="preserve">Nhà 1 tầng khẩu độ 30m, cao 7,5m, không có có cầu trục</w:t>
      </w:r>
      <w:r>
        <w:rPr>
          <w:rFonts w:ascii="Times New Roman" w:hAnsi="Times New Roman" w:eastAsia="Times New Roman" w:cs="Times New Roman"/>
          <w:i/>
          <w:iCs/>
          <w:color w:val="000000"/>
          <w:spacing w:val="3"/>
          <w:sz w:val="24"/>
          <w:szCs w:val="24"/>
          <w:highlight w:val="white"/>
        </w:rPr>
        <w:t xml:space="preserve"> </w:t>
      </w:r>
      <w:r>
        <w:rPr>
          <w:rFonts w:ascii="Times New Roman" w:hAnsi="Times New Roman" w:eastAsia="Times New Roman" w:cs="Times New Roman"/>
          <w:i/>
          <w:iCs/>
          <w:color w:val="000000"/>
          <w:spacing w:val="3"/>
          <w:sz w:val="24"/>
          <w:szCs w:val="24"/>
          <w:highlight w:val="white"/>
        </w:rPr>
        <w:t xml:space="preserve">Cột kèo thép, tường gạch, mái tôn</w:t>
      </w:r>
      <w:r>
        <w:rPr>
          <w:rFonts w:ascii="Times New Roman" w:hAnsi="Times New Roman" w:eastAsia="Times New Roman" w:cs="Times New Roman"/>
          <w:i/>
          <w:iCs/>
          <w:color w:val="000000"/>
          <w:spacing w:val="3"/>
          <w:sz w:val="24"/>
          <w:szCs w:val="24"/>
          <w:highlight w:val="white"/>
        </w:rPr>
        <w:t xml:space="preserve"> có đơn giá đã bao gồm VAT là </w:t>
      </w:r>
      <w:r>
        <w:rPr>
          <w:rFonts w:ascii="Times New Roman" w:hAnsi="Times New Roman" w:eastAsia="Times New Roman" w:cs="Times New Roman"/>
          <w:i/>
          <w:iCs/>
          <w:color w:val="000000"/>
          <w:spacing w:val="3"/>
          <w:sz w:val="24"/>
          <w:szCs w:val="24"/>
          <w:highlight w:val="white"/>
        </w:rPr>
        <w:t xml:space="preserve">5.068.000</w:t>
      </w:r>
      <w:r>
        <w:rPr>
          <w:rFonts w:ascii="Times New Roman" w:hAnsi="Times New Roman" w:eastAsia="Times New Roman" w:cs="Times New Roman"/>
          <w:i/>
          <w:iCs/>
          <w:color w:val="000000"/>
          <w:spacing w:val="3"/>
          <w:sz w:val="24"/>
          <w:szCs w:val="24"/>
          <w:highlight w:val="white"/>
        </w:rPr>
        <w:t xml:space="preserve">đồng/m².</w:t>
      </w:r>
      <w:r>
        <w:rPr>
          <w:rFonts w:ascii="Times New Roman" w:hAnsi="Times New Roman" w:eastAsia="Times New Roman" w:cs="Times New Roman"/>
          <w:i/>
          <w:iCs/>
          <w:color w:val="000000"/>
          <w:spacing w:val="3"/>
          <w:sz w:val="24"/>
          <w:szCs w:val="24"/>
          <w:highlight w:val="white"/>
        </w:rPr>
      </w:r>
      <w:r>
        <w:rPr>
          <w:rFonts w:ascii="Times New Roman" w:hAnsi="Times New Roman" w:eastAsia="Times New Roman" w:cs="Times New Roman"/>
          <w:bCs/>
          <w:i/>
          <w:color w:val="000000"/>
          <w:spacing w:val="3"/>
          <w:szCs w:val="24"/>
          <w:highlight w:val="white"/>
          <w14:ligatures w14:val="none"/>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pPr>
      <w:r>
        <w:rPr>
          <w:rFonts w:ascii="Times New Roman" w:hAnsi="Times New Roman" w:eastAsia="Times New Roman" w:cs="Times New Roman"/>
          <w:i/>
          <w:color w:val="000000"/>
          <w:sz w:val="24"/>
          <w:highlight w:val="white"/>
        </w:rPr>
        <w:t xml:space="preserve">Hệ số điều chỉnh vùng cho Suất vốn đầu tư: Bình Dương thuộc vùng 5 có hệ số điều chỉnh là 1,025.”</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(1+ Thuế suất thuế GTGT) = (5.068.000 x 1,025)/ 1,1 = </w:t>
      </w:r>
      <w:r>
        <w:rPr>
          <w:rFonts w:ascii="Times New Roman" w:hAnsi="Times New Roman" w:eastAsia="Times New Roman" w:cs="Times New Roman"/>
          <w:i/>
          <w:color w:val="000000"/>
          <w:spacing w:val="3"/>
          <w:sz w:val="24"/>
          <w:highlight w:val="white"/>
        </w:rPr>
        <w:t xml:space="preserve">4.722.455</w:t>
      </w:r>
      <w:r>
        <w:rPr>
          <w:rFonts w:ascii="Times New Roman" w:hAnsi="Times New Roman" w:eastAsia="Times New Roman" w:cs="Times New Roman"/>
          <w:i/>
          <w:color w:val="000000"/>
          <w:spacing w:val="3"/>
          <w:sz w:val="24"/>
          <w:highlight w:val="white"/>
        </w:rPr>
        <w:t xml:space="preserve"> đồng/m².</w:t>
      </w:r>
      <w:r>
        <w:rPr>
          <w:rFonts w:ascii="Times New Roman" w:hAnsi="Times New Roman" w:eastAsia="Times New Roman" w:cs="Times New Roman"/>
          <w:sz w:val="24"/>
        </w:rPr>
      </w:r>
    </w:p>
    <w:p>
      <w:pPr>
        <w:numPr>
          <w:ilvl w:val="0"/>
          <w:numId w:val="45"/>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i/>
          <w:iCs/>
          <w:color w:val="000000"/>
          <w:sz w:val="24"/>
        </w:rPr>
        <w:t xml:space="preserve">Xác định Tỷ lệ hao mòn của tài sản</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 Tổ thẩm định xác định Tỷ lệ CLCL của tài sản là: 13%.</w:t>
      </w:r>
      <w:r/>
    </w:p>
    <w:p>
      <w:pPr>
        <w:numPr>
          <w:ilvl w:val="0"/>
          <w:numId w:val="45"/>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bCs/>
          <w:i/>
        </w:rPr>
      </w:pPr>
      <w:r>
        <w:rPr>
          <w:rFonts w:ascii="Times New Roman" w:hAnsi="Times New Roman" w:eastAsia="Times New Roman" w:cs="Times New Roman"/>
          <w:b/>
          <w:i/>
          <w:iCs/>
          <w:color w:val="000000"/>
          <w:sz w:val="24"/>
        </w:rPr>
        <w:t xml:space="preserve">Theo đó, Giá trị công trình nhà xưởng sản xuất là:</w:t>
      </w:r>
      <w:r>
        <w:rPr>
          <w:i/>
          <w:iCs/>
        </w:rPr>
      </w:r>
      <w:r>
        <w:rPr>
          <w:bCs/>
          <w:i/>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(2.880+3.240) 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w:t>
      </w:r>
      <w:r>
        <w:rPr>
          <w:rFonts w:ascii="Times New Roman" w:hAnsi="Times New Roman" w:eastAsia="Times New Roman" w:cs="Times New Roman"/>
          <w:i/>
          <w:color w:val="000000"/>
          <w:spacing w:val="3"/>
          <w:sz w:val="24"/>
          <w:highlight w:val="white"/>
        </w:rPr>
        <w:t xml:space="preserve">4.722.455</w:t>
      </w:r>
      <w:r>
        <w:rPr>
          <w:rFonts w:ascii="Times New Roman" w:hAnsi="Times New Roman" w:eastAsia="Times New Roman" w:cs="Times New Roman"/>
          <w:color w:val="000000"/>
          <w:spacing w:val="3"/>
          <w:sz w:val="24"/>
          <w:highlight w:val="white"/>
        </w:rPr>
        <w:t xml:space="preserve"> đồng/m² x (100%-13%) =</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25.144.239.402</w:t>
      </w:r>
      <w:r>
        <w:rPr>
          <w:rFonts w:ascii="Times New Roman" w:hAnsi="Times New Roman" w:eastAsia="Times New Roman" w:cs="Times New Roman"/>
          <w:color w:val="000000"/>
          <w:sz w:val="24"/>
        </w:rPr>
        <w:t xml:space="preserve"> đồng</w:t>
      </w: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rFonts w:ascii="Times New Roman" w:hAnsi="Times New Roman" w:eastAsia="Times New Roman" w:cs="Times New Roman"/>
          <w:b/>
          <w:bCs/>
          <w:i/>
          <w:color w:val="000000"/>
          <w:sz w:val="24"/>
          <w:szCs w:val="24"/>
          <w:highlight w:val="none"/>
        </w:rPr>
      </w:pPr>
      <w:r>
        <w:rPr>
          <w:rFonts w:ascii="Times New Roman" w:hAnsi="Times New Roman" w:eastAsia="Times New Roman" w:cs="Times New Roman"/>
          <w:b/>
          <w:i/>
          <w:color w:val="000000"/>
          <w:sz w:val="24"/>
          <w:highlight w:val="none"/>
        </w:rPr>
        <w:t xml:space="preserve">b) Nhà bảo vệ: diện tích xây dựng khoảng 20m2; nhà xe diện tích xây dựng khoảng 70m2</w:t>
      </w:r>
      <w:r>
        <w:rPr>
          <w:rFonts w:ascii="Times New Roman" w:hAnsi="Times New Roman" w:eastAsia="Times New Roman" w:cs="Times New Roman"/>
          <w:sz w:val="24"/>
          <w:szCs w:val="24"/>
        </w:rPr>
      </w:r>
      <w:r>
        <w:rPr>
          <w:rFonts w:ascii="Times New Roman" w:hAnsi="Times New Roman" w:eastAsia="Times New Roman" w:cs="Times New Roman"/>
          <w:b/>
          <w:bCs/>
          <w:i/>
          <w:color w:val="000000"/>
          <w:sz w:val="24"/>
          <w:szCs w:val="24"/>
          <w:highlight w:val="none"/>
        </w:rP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Xác định Đơn giá xây mới: </w:t>
      </w: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bCs/>
          <w:i/>
          <w:color w:val="000000"/>
          <w:spacing w:val="3"/>
          <w:sz w:val="24"/>
          <w:szCs w:val="24"/>
          <w:highlight w:val="white"/>
          <w14:ligatures w14:val="none"/>
        </w:rPr>
      </w:pPr>
      <w:r>
        <w:rPr>
          <w:rFonts w:ascii="Times New Roman" w:hAnsi="Times New Roman" w:eastAsia="Times New Roman" w:cs="Times New Roman"/>
          <w:i/>
          <w:color w:val="000000"/>
          <w:spacing w:val="3"/>
          <w:sz w:val="24"/>
          <w:highlight w:val="white"/>
        </w:rPr>
        <w:t xml:space="preserve">“Suất vốn đầu tư xây dựng cô</w:t>
      </w:r>
      <w:r>
        <w:rPr>
          <w:rFonts w:ascii="Times New Roman" w:hAnsi="Times New Roman" w:eastAsia="Times New Roman" w:cs="Times New Roman"/>
          <w:i/>
          <w:iCs/>
          <w:color w:val="000000"/>
          <w:spacing w:val="3"/>
          <w:sz w:val="24"/>
          <w:szCs w:val="24"/>
          <w:highlight w:val="white"/>
        </w:rPr>
        <w:t xml:space="preserve">ng trình </w:t>
      </w:r>
      <w:r>
        <w:rPr>
          <w:rFonts w:ascii="Arial" w:hAnsi="Arial" w:eastAsia="Arial" w:cs="Arial"/>
          <w:color w:val="000000"/>
          <w:sz w:val="20"/>
          <w:highlight w:val="white"/>
        </w:rPr>
        <w:t xml:space="preserve">Nhà 1 tầng, căn hộ khép kín, kết cấu tường gạch chịu lực, mái tôn</w:t>
      </w:r>
      <w:r>
        <w:rPr>
          <w:rFonts w:ascii="Times New Roman" w:hAnsi="Times New Roman" w:eastAsia="Times New Roman" w:cs="Times New Roman"/>
          <w:i/>
          <w:iCs/>
          <w:color w:val="000000"/>
          <w:spacing w:val="3"/>
          <w:sz w:val="24"/>
          <w:szCs w:val="24"/>
          <w:highlight w:val="white"/>
        </w:rPr>
        <w:t xml:space="preserve"> có đơn giá đã bao gồm VAT là </w:t>
      </w:r>
      <w:r>
        <w:rPr>
          <w:rFonts w:ascii="Times New Roman" w:hAnsi="Times New Roman" w:eastAsia="Times New Roman" w:cs="Times New Roman"/>
          <w:i/>
          <w:iCs/>
          <w:color w:val="000000"/>
          <w:spacing w:val="3"/>
          <w:sz w:val="24"/>
          <w:szCs w:val="24"/>
          <w:highlight w:val="white"/>
        </w:rPr>
        <w:t xml:space="preserve">5.184.000</w:t>
      </w:r>
      <w:r>
        <w:rPr>
          <w:rFonts w:ascii="Times New Roman" w:hAnsi="Times New Roman" w:eastAsia="Times New Roman" w:cs="Times New Roman"/>
          <w:i/>
          <w:iCs/>
          <w:color w:val="000000"/>
          <w:spacing w:val="3"/>
          <w:sz w:val="24"/>
          <w:szCs w:val="24"/>
          <w:highlight w:val="white"/>
        </w:rPr>
        <w:t xml:space="preserve">đồng/m².</w:t>
      </w:r>
      <w:r>
        <w:rPr>
          <w:rFonts w:ascii="Times New Roman" w:hAnsi="Times New Roman" w:eastAsia="Times New Roman" w:cs="Times New Roman"/>
          <w:bCs/>
          <w:i/>
          <w:color w:val="000000"/>
          <w:spacing w:val="3"/>
          <w:sz w:val="24"/>
          <w:szCs w:val="24"/>
          <w:highlight w:val="white"/>
          <w14:ligatures w14:val="none"/>
        </w:rPr>
      </w:r>
      <w:r>
        <w:rPr>
          <w:rFonts w:ascii="Times New Roman" w:hAnsi="Times New Roman" w:eastAsia="Times New Roman" w:cs="Times New Roman"/>
          <w:bCs/>
          <w:i/>
          <w:color w:val="000000"/>
          <w:spacing w:val="3"/>
          <w:sz w:val="24"/>
          <w:szCs w:val="24"/>
          <w:highlight w:val="white"/>
          <w14:ligatures w14:val="none"/>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i/>
          <w:color w:val="000000"/>
          <w:sz w:val="24"/>
          <w:highlight w:val="white"/>
        </w:rPr>
        <w:t xml:space="preserve">Hệ số điều chỉnh vùng cho Suất vốn đầu tư: Bình Dương thuộc vùng 5 có hệ số điều chỉnh là 1,048.”</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(1+ Thuế suất thuế GTGT) =(5.184.000 x 1,048)/1,1= </w:t>
      </w:r>
      <w:r>
        <w:rPr>
          <w:rFonts w:ascii="Times New Roman" w:hAnsi="Times New Roman" w:eastAsia="Times New Roman" w:cs="Times New Roman"/>
          <w:i/>
          <w:color w:val="000000"/>
          <w:spacing w:val="3"/>
          <w:sz w:val="24"/>
          <w:highlight w:val="white"/>
        </w:rPr>
        <w:t xml:space="preserve">4.938.938</w:t>
      </w:r>
      <w:r>
        <w:rPr>
          <w:rFonts w:ascii="Times New Roman" w:hAnsi="Times New Roman" w:eastAsia="Times New Roman" w:cs="Times New Roman"/>
          <w:i/>
          <w:color w:val="000000"/>
          <w:spacing w:val="3"/>
          <w:sz w:val="24"/>
          <w:highlight w:val="white"/>
        </w:rPr>
        <w:t xml:space="preserve"> đồng/m².</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b/>
          <w:i/>
          <w:iCs/>
          <w:color w:val="000000"/>
          <w:sz w:val="24"/>
        </w:rPr>
        <w:t xml:space="preserve">Xác định Tỷ lệ hao mòn của tài sản</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 Tổ thẩm định xác định Tỷ lệ CLCL của tài sản là: 13%.</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rFonts w:ascii="Times New Roman" w:hAnsi="Times New Roman" w:eastAsia="Times New Roman" w:cs="Times New Roman"/>
          <w:bCs/>
          <w:i/>
          <w:sz w:val="24"/>
        </w:rPr>
      </w:pPr>
      <w:r>
        <w:rPr>
          <w:rFonts w:ascii="Times New Roman" w:hAnsi="Times New Roman" w:eastAsia="Times New Roman" w:cs="Times New Roman"/>
          <w:b/>
          <w:i/>
          <w:iCs/>
          <w:color w:val="000000"/>
          <w:sz w:val="24"/>
        </w:rPr>
        <w:t xml:space="preserve">Theo đó, Giá trị công trình nhà xe và nhà bảo vệ là:</w:t>
      </w:r>
      <w:r>
        <w:rPr>
          <w:rFonts w:ascii="Times New Roman" w:hAnsi="Times New Roman" w:eastAsia="Times New Roman" w:cs="Times New Roman"/>
          <w:bCs/>
          <w:i/>
          <w:sz w:val="24"/>
        </w:rPr>
      </w:r>
      <w:r>
        <w:rPr>
          <w:rFonts w:ascii="Times New Roman" w:hAnsi="Times New Roman" w:eastAsia="Times New Roman" w:cs="Times New Roman"/>
          <w:bCs/>
          <w:i/>
          <w:sz w:val="24"/>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(20+70) 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w:t>
      </w:r>
      <w:r>
        <w:rPr>
          <w:rFonts w:ascii="Times New Roman" w:hAnsi="Times New Roman" w:eastAsia="Times New Roman" w:cs="Times New Roman"/>
          <w:i/>
          <w:color w:val="000000"/>
          <w:spacing w:val="3"/>
          <w:sz w:val="24"/>
          <w:highlight w:val="white"/>
        </w:rPr>
        <w:t xml:space="preserve">4.938.938</w:t>
      </w:r>
      <w:r>
        <w:rPr>
          <w:rFonts w:ascii="Times New Roman" w:hAnsi="Times New Roman" w:eastAsia="Times New Roman" w:cs="Times New Roman"/>
          <w:color w:val="000000"/>
          <w:spacing w:val="3"/>
          <w:sz w:val="24"/>
          <w:highlight w:val="white"/>
        </w:rPr>
        <w:t xml:space="preserve"> đồng/m² x (100%-13%) =</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386.718.845</w:t>
      </w:r>
      <w:r>
        <w:rPr>
          <w:rFonts w:ascii="Times New Roman" w:hAnsi="Times New Roman" w:eastAsia="Times New Roman" w:cs="Times New Roman"/>
          <w:color w:val="000000"/>
          <w:sz w:val="24"/>
        </w:rPr>
        <w:t xml:space="preserve"> đồng</w:t>
      </w:r>
      <w:r>
        <w:rPr>
          <w:rFonts w:ascii="Times New Roman" w:hAnsi="Times New Roman" w:eastAsia="Times New Roman" w:cs="Times New Roman"/>
          <w:sz w:val="24"/>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sz w:val="24"/>
          <w:szCs w:val="24"/>
        </w:rPr>
      </w:pPr>
      <w:r>
        <w:rPr>
          <w:rFonts w:ascii="Times New Roman" w:hAnsi="Times New Roman" w:eastAsia="Times New Roman" w:cs="Times New Roman"/>
          <w:b/>
          <w:bCs/>
          <w:i/>
          <w:iCs/>
          <w:color w:val="000000"/>
          <w:sz w:val="24"/>
          <w:highlight w:val="none"/>
        </w:rPr>
        <w:t xml:space="preserve">Tổng giá trị CTXD là:</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rPr>
        <w:t xml:space="preserve">25.144.239.402</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rPr>
        <w:t xml:space="preserve">386.718.845</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highlight w:val="none"/>
        </w:rPr>
        <w:t xml:space="preserve">25.530.958.247</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rPr>
        <w:t xml:space="preserve"> đồng</w:t>
      </w: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rFonts w:ascii="Times New Roman" w:hAnsi="Times New Roman" w:eastAsia="Times New Roman" w:cs="Times New Roman"/>
          <w:b/>
          <w:bCs/>
          <w:i/>
          <w:color w:val="000000"/>
          <w:sz w:val="24"/>
          <w:szCs w:val="24"/>
          <w:highlight w:val="none"/>
        </w:rPr>
      </w:pPr>
      <w:r>
        <w:rPr>
          <w:rFonts w:ascii="Times New Roman" w:hAnsi="Times New Roman" w:eastAsia="Times New Roman" w:cs="Times New Roman"/>
          <w:b/>
          <w:i/>
          <w:color w:val="000000"/>
          <w:sz w:val="24"/>
          <w:highlight w:val="none"/>
        </w:rPr>
      </w:r>
      <w:r>
        <w:rPr>
          <w:rFonts w:ascii="Times New Roman" w:hAnsi="Times New Roman" w:eastAsia="Times New Roman" w:cs="Times New Roman"/>
          <w:b/>
          <w:i/>
          <w:color w:val="000000"/>
          <w:sz w:val="24"/>
          <w:highlight w:val="none"/>
        </w:rPr>
        <w:t xml:space="preserve">(**) </w:t>
      </w:r>
      <w:r>
        <w:rPr>
          <w:rFonts w:ascii="Times New Roman" w:hAnsi="Times New Roman" w:eastAsia="Times New Roman" w:cs="Times New Roman"/>
          <w:b/>
          <w:color w:val="000000"/>
          <w:sz w:val="24"/>
        </w:rPr>
        <w:t xml:space="preserve">Xác định giá trị công trình xây dựng trên đất của TSSS 3:</w:t>
      </w:r>
      <w:r>
        <w:rPr>
          <w:rFonts w:ascii="Times New Roman" w:hAnsi="Times New Roman" w:eastAsia="Times New Roman" w:cs="Times New Roman"/>
          <w:b/>
          <w:i/>
          <w:color w:val="000000"/>
          <w:sz w:val="24"/>
          <w:highlight w:val="none"/>
        </w:rPr>
        <w:t xml:space="preserve"> Nhà xưởng: diện tích xây dựng khoảng 9000m2</w:t>
      </w:r>
      <w:r>
        <w:rPr>
          <w:rFonts w:ascii="Times New Roman" w:hAnsi="Times New Roman" w:eastAsia="Times New Roman" w:cs="Times New Roman"/>
          <w:sz w:val="24"/>
          <w:szCs w:val="24"/>
        </w:rPr>
      </w:r>
      <w:r>
        <w:rPr>
          <w:rFonts w:ascii="Times New Roman" w:hAnsi="Times New Roman" w:eastAsia="Times New Roman" w:cs="Times New Roman"/>
          <w:b/>
          <w:bCs/>
          <w:i/>
          <w:color w:val="000000"/>
          <w:sz w:val="24"/>
          <w:szCs w:val="24"/>
          <w:highlight w:val="none"/>
        </w:rPr>
      </w:r>
    </w:p>
    <w:p>
      <w:pPr>
        <w:numPr>
          <w:ilvl w:val="0"/>
          <w:numId w:val="48"/>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Xác định Đơn giá xây mới: </w:t>
      </w: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bCs/>
          <w:i/>
          <w:color w:val="000000"/>
          <w:spacing w:val="3"/>
          <w:sz w:val="24"/>
          <w:szCs w:val="24"/>
          <w:highlight w:val="white"/>
          <w14:ligatures w14:val="none"/>
        </w:rPr>
      </w:pPr>
      <w:r>
        <w:rPr>
          <w:rFonts w:ascii="Times New Roman" w:hAnsi="Times New Roman" w:eastAsia="Times New Roman" w:cs="Times New Roman"/>
          <w:i/>
          <w:color w:val="000000"/>
          <w:spacing w:val="3"/>
          <w:sz w:val="24"/>
          <w:highlight w:val="white"/>
        </w:rPr>
        <w:t xml:space="preserve">“Suất vốn đầu tư xây dựng cô</w:t>
      </w:r>
      <w:r>
        <w:rPr>
          <w:rFonts w:ascii="Times New Roman" w:hAnsi="Times New Roman" w:eastAsia="Times New Roman" w:cs="Times New Roman"/>
          <w:i/>
          <w:iCs/>
          <w:color w:val="000000"/>
          <w:spacing w:val="3"/>
          <w:sz w:val="24"/>
          <w:szCs w:val="24"/>
          <w:highlight w:val="white"/>
        </w:rPr>
        <w:t xml:space="preserve">ng trình </w:t>
      </w:r>
      <w:r>
        <w:rPr>
          <w:rFonts w:ascii="Times New Roman" w:hAnsi="Times New Roman" w:eastAsia="Times New Roman" w:cs="Times New Roman"/>
          <w:i/>
          <w:iCs/>
          <w:color w:val="000000"/>
          <w:spacing w:val="3"/>
          <w:sz w:val="24"/>
          <w:szCs w:val="24"/>
          <w:highlight w:val="white"/>
        </w:rPr>
        <w:t xml:space="preserve">Nhà 1 tầng khẩu độ 30m, cao 7,5m, không có có cầu trục</w:t>
      </w:r>
      <w:r>
        <w:rPr>
          <w:rFonts w:ascii="Times New Roman" w:hAnsi="Times New Roman" w:eastAsia="Times New Roman" w:cs="Times New Roman"/>
          <w:i/>
          <w:iCs/>
          <w:color w:val="000000"/>
          <w:spacing w:val="3"/>
          <w:sz w:val="24"/>
          <w:szCs w:val="24"/>
          <w:highlight w:val="white"/>
        </w:rPr>
        <w:t xml:space="preserve"> </w:t>
      </w:r>
      <w:r>
        <w:rPr>
          <w:rFonts w:ascii="Times New Roman" w:hAnsi="Times New Roman" w:eastAsia="Times New Roman" w:cs="Times New Roman"/>
          <w:i/>
          <w:iCs/>
          <w:color w:val="000000"/>
          <w:spacing w:val="3"/>
          <w:sz w:val="24"/>
          <w:szCs w:val="24"/>
          <w:highlight w:val="white"/>
        </w:rPr>
        <w:t xml:space="preserve">Cột kèo thép, tường gạch, mái tôn</w:t>
      </w:r>
      <w:r>
        <w:rPr>
          <w:rFonts w:ascii="Times New Roman" w:hAnsi="Times New Roman" w:eastAsia="Times New Roman" w:cs="Times New Roman"/>
          <w:i/>
          <w:iCs/>
          <w:color w:val="000000"/>
          <w:spacing w:val="3"/>
          <w:sz w:val="24"/>
          <w:szCs w:val="24"/>
          <w:highlight w:val="white"/>
        </w:rPr>
        <w:t xml:space="preserve"> có đơn giá đã bao gồm VAT là </w:t>
      </w:r>
      <w:r>
        <w:rPr>
          <w:rFonts w:ascii="Times New Roman" w:hAnsi="Times New Roman" w:eastAsia="Times New Roman" w:cs="Times New Roman"/>
          <w:i/>
          <w:iCs/>
          <w:color w:val="000000"/>
          <w:spacing w:val="3"/>
          <w:sz w:val="24"/>
          <w:szCs w:val="24"/>
          <w:highlight w:val="white"/>
        </w:rPr>
        <w:t xml:space="preserve">5.068.000</w:t>
      </w:r>
      <w:r>
        <w:rPr>
          <w:rFonts w:ascii="Times New Roman" w:hAnsi="Times New Roman" w:eastAsia="Times New Roman" w:cs="Times New Roman"/>
          <w:i/>
          <w:iCs/>
          <w:color w:val="000000"/>
          <w:spacing w:val="3"/>
          <w:sz w:val="24"/>
          <w:szCs w:val="24"/>
          <w:highlight w:val="white"/>
        </w:rPr>
        <w:t xml:space="preserve">đồng/m².</w:t>
      </w:r>
      <w:r>
        <w:rPr>
          <w:rFonts w:ascii="Times New Roman" w:hAnsi="Times New Roman" w:eastAsia="Times New Roman" w:cs="Times New Roman"/>
          <w:bCs/>
          <w:i/>
          <w:color w:val="000000"/>
          <w:spacing w:val="3"/>
          <w:sz w:val="24"/>
          <w:szCs w:val="24"/>
          <w:highlight w:val="white"/>
          <w14:ligatures w14:val="none"/>
        </w:rPr>
      </w:r>
      <w:r>
        <w:rPr>
          <w:rFonts w:ascii="Times New Roman" w:hAnsi="Times New Roman" w:eastAsia="Times New Roman" w:cs="Times New Roman"/>
          <w:bCs/>
          <w:i/>
          <w:color w:val="000000"/>
          <w:spacing w:val="3"/>
          <w:sz w:val="24"/>
          <w:szCs w:val="24"/>
          <w:highlight w:val="white"/>
          <w14:ligatures w14:val="none"/>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i/>
          <w:color w:val="000000"/>
          <w:sz w:val="24"/>
          <w:highlight w:val="white"/>
        </w:rPr>
        <w:t xml:space="preserve">Hệ số điều chỉnh vùng cho Suất vốn đầu tư: Bình Dương thuộc vùng 5 có hệ số điều chỉnh là 1,025.”</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(1+ Thuế suất thuế GTGT) = (5.068.000 x 1,025)/ 1,1 = </w:t>
      </w:r>
      <w:r>
        <w:rPr>
          <w:rFonts w:ascii="Times New Roman" w:hAnsi="Times New Roman" w:eastAsia="Times New Roman" w:cs="Times New Roman"/>
          <w:i/>
          <w:color w:val="000000"/>
          <w:spacing w:val="3"/>
          <w:sz w:val="24"/>
          <w:highlight w:val="white"/>
        </w:rPr>
        <w:t xml:space="preserve">4.722.455</w:t>
      </w:r>
      <w:r>
        <w:rPr>
          <w:rFonts w:ascii="Times New Roman" w:hAnsi="Times New Roman" w:eastAsia="Times New Roman" w:cs="Times New Roman"/>
          <w:i/>
          <w:color w:val="000000"/>
          <w:spacing w:val="3"/>
          <w:sz w:val="24"/>
          <w:highlight w:val="white"/>
        </w:rPr>
        <w:t xml:space="preserve"> đồng/m².</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b/>
          <w:i/>
          <w:iCs/>
          <w:color w:val="000000"/>
          <w:sz w:val="24"/>
        </w:rPr>
        <w:t xml:space="preserve">Xác định Tỷ lệ hao mòn của tài sản</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 Tổ thẩm định xác định Tỷ lệ CLCL của tài sản là: 40%.</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rFonts w:ascii="Times New Roman" w:hAnsi="Times New Roman" w:eastAsia="Times New Roman" w:cs="Times New Roman"/>
          <w:bCs/>
          <w:i/>
          <w:sz w:val="24"/>
        </w:rPr>
      </w:pPr>
      <w:r>
        <w:rPr>
          <w:rFonts w:ascii="Times New Roman" w:hAnsi="Times New Roman" w:eastAsia="Times New Roman" w:cs="Times New Roman"/>
          <w:b/>
          <w:i/>
          <w:iCs/>
          <w:color w:val="000000"/>
          <w:sz w:val="24"/>
        </w:rPr>
        <w:t xml:space="preserve">Theo đó, Giá trị công trình nhà xưởng sản xuất là:</w:t>
      </w:r>
      <w:r>
        <w:rPr>
          <w:rFonts w:ascii="Times New Roman" w:hAnsi="Times New Roman" w:eastAsia="Times New Roman" w:cs="Times New Roman"/>
          <w:bCs/>
          <w:i/>
          <w:sz w:val="24"/>
        </w:rPr>
      </w:r>
      <w:r>
        <w:rPr>
          <w:rFonts w:ascii="Times New Roman" w:hAnsi="Times New Roman" w:eastAsia="Times New Roman" w:cs="Times New Roman"/>
          <w:bCs/>
          <w:i/>
          <w:sz w:val="24"/>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9.000 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w:t>
      </w:r>
      <w:r>
        <w:rPr>
          <w:rFonts w:ascii="Times New Roman" w:hAnsi="Times New Roman" w:eastAsia="Times New Roman" w:cs="Times New Roman"/>
          <w:i/>
          <w:color w:val="000000"/>
          <w:spacing w:val="3"/>
          <w:sz w:val="24"/>
          <w:highlight w:val="white"/>
        </w:rPr>
        <w:t xml:space="preserve">4.722.455</w:t>
      </w:r>
      <w:r>
        <w:rPr>
          <w:rFonts w:ascii="Times New Roman" w:hAnsi="Times New Roman" w:eastAsia="Times New Roman" w:cs="Times New Roman"/>
          <w:color w:val="000000"/>
          <w:spacing w:val="3"/>
          <w:sz w:val="24"/>
          <w:highlight w:val="white"/>
        </w:rPr>
        <w:t xml:space="preserve"> đồng/m² x (100%-13%) =</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25.501.257.000</w:t>
      </w:r>
      <w:r>
        <w:rPr>
          <w:rFonts w:ascii="Times New Roman" w:hAnsi="Times New Roman" w:eastAsia="Times New Roman" w:cs="Times New Roman"/>
          <w:color w:val="000000"/>
          <w:sz w:val="24"/>
        </w:rPr>
        <w:t xml:space="preserve"> đồng</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b/>
          <w:i/>
          <w:color w:val="000000"/>
          <w:sz w:val="24"/>
          <w:highlight w:val="none"/>
        </w:rPr>
      </w:r>
      <w:r>
        <w:rPr>
          <w:rFonts w:ascii="Times New Roman" w:hAnsi="Times New Roman" w:eastAsia="Times New Roman" w:cs="Times New Roman"/>
          <w:b/>
          <w:i/>
          <w:color w:val="000000"/>
          <w:sz w:val="24"/>
          <w:highlight w:val="none"/>
        </w:rPr>
      </w:r>
      <w:r>
        <w:rPr>
          <w:rFonts w:ascii="Times New Roman" w:hAnsi="Times New Roman" w:eastAsia="Times New Roman" w:cs="Times New Roman"/>
          <w:sz w:val="24"/>
          <w:szCs w:val="24"/>
        </w:rPr>
      </w:r>
    </w:p>
    <w:p>
      <w:pPr>
        <w:pBdr/>
        <w:tabs>
          <w:tab w:val="left" w:leader="none" w:pos="90"/>
          <w:tab w:val="left" w:leader="none" w:pos="180"/>
        </w:tabs>
        <w:spacing w:after="120" w:before="120" w:line="264" w:lineRule="auto"/>
        <w:ind/>
        <w:jc w:val="both"/>
        <w:rPr>
          <w:b/>
          <w:bCs/>
          <w:lang w:val="de-DE"/>
        </w:rPr>
      </w:pPr>
      <w:r>
        <w:rPr>
          <w:highlight w:val="none"/>
          <w:lang w:val="de-DE" w:bidi="de-DE"/>
        </w:rPr>
      </w:r>
      <w:r>
        <w:rPr>
          <w:highlight w:val="none"/>
          <w:lang w:val="de-DE"/>
        </w:rPr>
      </w:r>
      <w:r>
        <w:rPr>
          <w:b/>
          <w:bCs/>
          <w:lang w:val="de-DE"/>
        </w:rPr>
      </w:r>
    </w:p>
    <w:p>
      <w:pPr>
        <w:pBdr/>
        <w:tabs>
          <w:tab w:val="left" w:leader="none" w:pos="90"/>
          <w:tab w:val="left" w:leader="none" w:pos="180"/>
        </w:tabs>
        <w:spacing w:after="120" w:before="120" w:line="264" w:lineRule="auto"/>
        <w:ind/>
        <w:jc w:val="both"/>
        <w:rPr>
          <w:highlight w:val="none"/>
          <w:lang w:val="it-IT"/>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4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5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75"/>
        <w:gridCol w:w="917"/>
        <w:gridCol w:w="2213"/>
        <w:gridCol w:w="2221"/>
        <w:gridCol w:w="2221"/>
        <w:gridCol w:w="2222"/>
      </w:tblGrid>
      <w:tr>
        <w:trPr>
          <w:trHeight w:val="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91.690.000.000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63.750.000.000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75.650.000.000</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4.145.492</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3.821.904</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4.179.062</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4.145.492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3.821.904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4.179.062 </w:t>
            </w: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trả tiền một lần- Đất khu công nghiệp</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ind/>
              <w:jc w:val="center"/>
              <w:rPr/>
            </w:pPr>
            <w:r>
              <w:rPr>
                <w:rFonts w:ascii="Times New Roman" w:hAnsi="Times New Roman" w:eastAsia="Times New Roman" w:cs="Times New Roman"/>
                <w:b/>
                <w:color w:val="000000"/>
                <w:sz w:val="22"/>
              </w:rPr>
              <w:t xml:space="preserve">Đất trả tiền một lần- Đất khu công nghiệp</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ind/>
              <w:jc w:val="center"/>
              <w:rPr/>
            </w:pPr>
            <w:r>
              <w:rPr>
                <w:rFonts w:ascii="Times New Roman" w:hAnsi="Times New Roman" w:eastAsia="Times New Roman" w:cs="Times New Roman"/>
                <w:b/>
                <w:color w:val="000000"/>
                <w:sz w:val="22"/>
              </w:rPr>
              <w:t xml:space="preserve">Đất trả tiền một lần- Đất khu công nghiệp</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ind/>
              <w:jc w:val="center"/>
              <w:rPr/>
            </w:pPr>
            <w:r>
              <w:rPr>
                <w:rFonts w:ascii="Times New Roman" w:hAnsi="Times New Roman" w:eastAsia="Times New Roman" w:cs="Times New Roman"/>
                <w:b/>
                <w:color w:val="000000"/>
                <w:sz w:val="22"/>
              </w:rPr>
              <w:t xml:space="preserve">Đất trả tiền một lần- Đất khu công nghiệp</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4.145.492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3.821.904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4.179.062 </w:t>
            </w: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Đến ngày 12/12/2055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Đến ngày 29/01/2058</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Đến ngày29/9/2053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Đến tháng 6/2056</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-414.549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191.095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-208.953 </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3.730.943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4.012.999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3.970.109 </w:t>
            </w: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Khu công nghiệp Rạch Bắp, phường An Tây, thành phố Bến Cát, tỉnh Bình Dương (Nay là Phường Tây Nam, Thành phố Hồ Chí Minh)</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Dự án Mỹ Phước 3, Xã Thới Hòa, Thị xã Bến Cát, Tỉnh Bình Dương (Nay là Phường Thới Hòa, Thành phố Hồ Chí Minh)</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KCN Việt Hương, Xã An Điền, Thị xã Bến Cát, Tỉnh Bình Dương (Nay là phường Tây Nam, Thành phố Hồ Chí Minh)</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Dự án Mỹ Phước 3, Xã Thới Hòa, Thị xã Bến Cát, Tỉnh Bình Dương (Nay là Phường Thới Hòa, Thành phố Hồ Chí Minh)</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3.730.943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4.012.999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3.970.109 </w:t>
            </w: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có vỉa hè</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3.730.943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4.012.999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3.970.109 </w:t>
            </w: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207.275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191.095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208.953 </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3.938.218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4.204.095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4.179.062 </w:t>
            </w: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50.045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22.118</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12.000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-298.475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-401.300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-397.011 </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3.639.742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3.802.795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3.782.051 </w:t>
            </w: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239,46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91,89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97,22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100,00</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186.547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200.650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198.505 </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3.826.289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4.003.445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3.980.556 </w:t>
            </w:r>
            <w:r>
              <w:rPr>
                <w:color w:val="000000" w:themeColor="text1"/>
              </w:rPr>
            </w:r>
            <w:r>
              <w:rPr>
                <w:color w:val="000000" w:themeColor="text1"/>
              </w:rP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208,99</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240,70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102,86</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120,00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-120.390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-119.103 </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3.826.289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3.883.055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3.861.453 </w:t>
            </w: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3.826.289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3.883.055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3.861.453 </w:t>
            </w: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186.547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200.650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198.505 </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4.012.837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4.083.705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4.059.959 </w:t>
            </w:r>
            <w:r/>
          </w:p>
        </w:tc>
      </w:tr>
      <w:tr>
        <w:trPr>
          <w:trHeight w:val="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4.012.837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4.083.705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4.059.959 </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4.012.837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4.083.705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4.059.959 </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4.052.167 </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0,8%</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5" w:space="0"/>
              <w:right w:val="single" w:color="000000" w:sz="5" w:space="0"/>
            </w:tcBorders>
            <w:tcMar>
              <w:left w:w="0" w:type="dxa"/>
              <w:top w:w="0" w:type="dxa"/>
              <w:right w:w="0" w:type="dxa"/>
              <w:bottom w:w="0" w:type="dxa"/>
            </w:tcMar>
            <w:tcW w:w="891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eastAsia="Times New Roman" w:cs="Times New Roman"/>
                <w:b/>
                <w:color w:val="000000"/>
                <w:sz w:val="22"/>
              </w:rPr>
              <w:t xml:space="preserve"> </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1.293.394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1.305.180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1.331.031 </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- 10%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- 10%</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5" w:space="0"/>
              <w:right w:val="single" w:color="000000" w:sz="5" w:space="0"/>
            </w:tcBorders>
            <w:tcMar>
              <w:left w:w="0" w:type="dxa"/>
              <w:top w:w="0" w:type="dxa"/>
              <w:right w:w="0" w:type="dxa"/>
              <w:bottom w:w="0" w:type="dxa"/>
            </w:tcMar>
            <w:tcW w:w="9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132.656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261.800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119.103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-1,0</w:t>
      </w:r>
      <w:r>
        <w:t xml:space="preserve">% </w:t>
      </w:r>
      <w:r>
        <w:t xml:space="preserve">đến</w:t>
      </w:r>
      <w:r>
        <w:t xml:space="preserve"> </w:t>
      </w:r>
      <w:r>
        <w:t xml:space="preserve">0,8%,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Style w:val="105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13"/>
        <w:gridCol w:w="2220"/>
        <w:gridCol w:w="2226"/>
        <w:gridCol w:w="2223"/>
        <w:gridCol w:w="2226"/>
      </w:tblGrid>
      <w:tr>
        <w:trPr>
          <w:trHeight w:val="93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4.012.837</w:t>
            </w:r>
            <w:r/>
          </w:p>
        </w:tc>
        <w:tc>
          <w:tcPr>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1.337.478</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4.083.705</w:t>
            </w:r>
            <w:r/>
          </w:p>
        </w:tc>
        <w:tc>
          <w:tcPr>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1.361.099</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4.059.959</w:t>
            </w:r>
            <w:r/>
          </w:p>
        </w:tc>
        <w:tc>
          <w:tcPr>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33,34%</w:t>
            </w:r>
            <w:r/>
          </w:p>
        </w:tc>
        <w:tc>
          <w:tcPr>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1.353.590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4.052.167</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4.000.000</w:t>
            </w: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4.000.000</w:t>
      </w:r>
      <w:r>
        <w:rPr>
          <w:b/>
          <w:bCs/>
          <w:color w:val="000000" w:themeColor="text1"/>
        </w:rPr>
        <w:t xml:space="preserve"> </w:t>
      </w:r>
      <w:r>
        <w:rPr>
          <w:b/>
          <w:bCs/>
        </w:rPr>
        <w:t xml:space="preserve">đồng</w:t>
      </w:r>
      <w:r>
        <w:rPr>
          <w:b/>
          <w:bCs/>
        </w:rPr>
        <w:t xml:space="preserve">/m².</w:t>
      </w:r>
      <w:r>
        <w:rPr>
          <w:b/>
          <w:bCs/>
        </w:rPr>
      </w:r>
      <w:r>
        <w:rPr>
          <w:b/>
          <w:bCs/>
        </w:rPr>
      </w:r>
    </w:p>
    <w:p>
      <w:pPr>
        <w:pStyle w:val="104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Bdr/>
        <w:spacing w:after="120" w:before="120" w:line="276" w:lineRule="auto"/>
        <w:ind w:firstLine="0" w:left="357"/>
        <w:jc w:val="both"/>
        <w:rPr/>
      </w:pPr>
      <w:r>
        <w:rPr>
          <w:b/>
          <w:bCs/>
          <w:highlight w:val="none"/>
        </w:rPr>
      </w:r>
      <w:r>
        <w:t xml:space="preserve">Trên cơ sở tham khảo và phân tích tài sản, Thẩm định viên lựa chọn phương pháp chi phí thay thế để tính giá trị công trình xây dựng như sau: </w:t>
      </w:r>
      <w:r>
        <w:rPr>
          <w:b/>
          <w:bCs/>
        </w:rPr>
      </w:r>
      <w:r/>
    </w:p>
    <w:p>
      <w:pPr>
        <w:pBdr/>
        <w:spacing w:after="120" w:before="120" w:line="276" w:lineRule="auto"/>
        <w:ind w:firstLine="0" w:left="357"/>
        <w:jc w:val="both"/>
        <w:rPr>
          <w:b/>
          <w:bCs/>
        </w:rPr>
      </w:pPr>
      <w:r>
        <w:rPr>
          <w:b/>
          <w:bCs/>
        </w:rPr>
        <w:t xml:space="preserve">Giá trị tài sản = Chi phí thay thế - Tổng giá trị hao mòn </w:t>
      </w:r>
      <w:r>
        <w:rPr>
          <w:b/>
          <w:bCs/>
        </w:rPr>
      </w:r>
      <w:r>
        <w:rPr>
          <w:b/>
          <w:bCs/>
        </w:rPr>
      </w:r>
    </w:p>
    <w:p>
      <w:pPr>
        <w:pBdr/>
        <w:spacing w:after="120" w:before="120" w:line="276" w:lineRule="auto"/>
        <w:ind w:firstLine="0" w:left="357"/>
        <w:jc w:val="both"/>
        <w:rPr>
          <w:b/>
          <w:bCs/>
        </w:rPr>
      </w:pPr>
      <w:r>
        <w:rPr>
          <w:b/>
          <w:bCs/>
        </w:rPr>
        <w:t xml:space="preserve">                      =  Chi phí thay thế x (1- tỷ lệ hao mòn)</w:t>
      </w:r>
      <w:r>
        <w:rPr>
          <w:b/>
          <w:bCs/>
        </w:rPr>
      </w:r>
      <w:r>
        <w:rPr>
          <w:b/>
          <w:bCs/>
        </w:rPr>
      </w:r>
    </w:p>
    <w:p>
      <w:pPr>
        <w:pStyle w:val="1046"/>
        <w:pBdr/>
        <w:spacing w:after="120" w:before="120" w:line="276" w:lineRule="auto"/>
        <w:ind w:left="357"/>
        <w:jc w:val="both"/>
        <w:rPr>
          <w:b/>
          <w:bCs/>
          <w:i/>
        </w:rPr>
      </w:pPr>
      <w:r>
        <w:rPr>
          <w:b/>
          <w:lang w:val="pt-BR"/>
        </w:rPr>
      </w:r>
      <w:r>
        <w:t xml:space="preserve">❖ </w:t>
      </w:r>
      <w:r>
        <w:rPr>
          <w:b/>
          <w:bCs/>
          <w:i/>
          <w:iCs/>
        </w:rPr>
        <w:t xml:space="preserve">Xác định Chi phí thay thế của CTXD: </w:t>
      </w:r>
      <w:r>
        <w:rPr>
          <w:b/>
          <w:bCs/>
          <w:i/>
          <w:iCs/>
          <w:highlight w:val="none"/>
          <w:lang w:val="pt-BR"/>
        </w:rPr>
      </w:r>
      <w:r>
        <w:rPr>
          <w:b/>
          <w:bCs/>
          <w:i/>
        </w:rPr>
      </w:r>
    </w:p>
    <w:p>
      <w:pPr>
        <w:pStyle w:val="1046"/>
        <w:pBdr/>
        <w:spacing w:after="120" w:before="120" w:line="276" w:lineRule="auto"/>
        <w:ind w:left="357"/>
        <w:jc w:val="both"/>
        <w:rPr>
          <w:b/>
          <w:bCs/>
          <w:highlight w:val="none"/>
          <w:lang w:val="pt-BR"/>
        </w:rPr>
      </w:pPr>
      <w:r>
        <w:t xml:space="preserve">Qua tham khảo thị trường về đơn giá xây dựng mới đối với công trình xây dựng, cân nhắc và xem xét với mức độ hoàn thiện của công trình xây dựng hiện có, Tổ thẩm định nhận thấy đơn giá vận dụng theo Quyết định số 409/QĐ-B</w:t>
      </w:r>
      <w:r>
        <w:t xml:space="preserve">XD ngày 11/4/2025 của Bộ Xây dựng về việc Công bố suất vốn đầu tư xây dựng công trình khá phù hợp với thị trường. Cụ thể như sau:</w:t>
      </w:r>
      <w:r>
        <w:rPr>
          <w:b/>
          <w:lang w:val="pt-BR"/>
        </w:rPr>
      </w:r>
      <w:r>
        <w:rPr>
          <w:b/>
          <w:bCs/>
          <w:highlight w:val="none"/>
          <w:lang w:val="pt-BR"/>
        </w:rPr>
      </w:r>
    </w:p>
    <w:tbl>
      <w:tblPr>
        <w:tblStyle w:val="105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395"/>
        <w:gridCol w:w="767"/>
        <w:gridCol w:w="850"/>
        <w:gridCol w:w="992"/>
        <w:gridCol w:w="1276"/>
        <w:gridCol w:w="1559"/>
        <w:gridCol w:w="1276"/>
        <w:gridCol w:w="2410"/>
      </w:tblGrid>
      <w:tr>
        <w:trPr>
          <w:trHeight w:val="0"/>
        </w:trPr>
        <w:tc>
          <w:tcPr>
            <w:tcBorders>
              <w:top w:val="single" w:color="000000" w:sz="5" w:space="0"/>
              <w:left w:val="single" w:color="000000" w:sz="5" w:space="0"/>
              <w:right w:val="single" w:color="000000" w:sz="5" w:space="0"/>
            </w:tcBorders>
            <w:tcMar>
              <w:left w:w="0" w:type="dxa"/>
              <w:top w:w="0" w:type="dxa"/>
              <w:right w:w="0" w:type="dxa"/>
              <w:bottom w:w="0" w:type="dxa"/>
            </w:tcMar>
            <w:tcW w:w="395" w:type="dxa"/>
            <w:vAlign w:val="bottom"/>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STT</w:t>
            </w:r>
            <w:r/>
          </w:p>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top w:val="single" w:color="000000" w:sz="5" w:space="0"/>
              <w:right w:val="single" w:color="000000" w:sz="5" w:space="0"/>
            </w:tcBorders>
            <w:tcMar>
              <w:left w:w="0" w:type="dxa"/>
              <w:top w:w="0" w:type="dxa"/>
              <w:right w:w="0" w:type="dxa"/>
              <w:bottom w:w="0" w:type="dxa"/>
            </w:tcMar>
            <w:tcW w:w="767" w:type="dxa"/>
            <w:vAlign w:val="bottom"/>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Hạng mục tài sản</w:t>
            </w:r>
            <w:r/>
          </w:p>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top w:val="single" w:color="000000" w:sz="5" w:space="0"/>
              <w:right w:val="single" w:color="000000" w:sz="5" w:space="0"/>
            </w:tcBorders>
            <w:tcMar>
              <w:left w:w="0" w:type="dxa"/>
              <w:top w:w="0" w:type="dxa"/>
              <w:right w:w="0" w:type="dxa"/>
              <w:bottom w:w="0" w:type="dxa"/>
            </w:tcMar>
            <w:tcW w:w="850" w:type="dxa"/>
            <w:vAlign w:val="bottom"/>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xây dựng (m2)</w:t>
            </w:r>
            <w:r/>
          </w:p>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top w:val="single" w:color="000000" w:sz="5" w:space="0"/>
              <w:right w:val="single" w:color="000000" w:sz="5" w:space="0"/>
            </w:tcBorders>
            <w:tcMar>
              <w:left w:w="0" w:type="dxa"/>
              <w:top w:w="0" w:type="dxa"/>
              <w:right w:w="0" w:type="dxa"/>
              <w:bottom w:w="0" w:type="dxa"/>
            </w:tcMar>
            <w:tcW w:w="992" w:type="dxa"/>
            <w:vAlign w:val="bottom"/>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sàn xây dựng (m2)</w:t>
            </w:r>
            <w:r/>
          </w:p>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top w:val="single" w:color="000000" w:sz="5" w:space="0"/>
              <w:bottom w:val="single" w:color="000000" w:sz="5" w:space="0"/>
              <w:right w:val="single" w:color="000000" w:sz="5" w:space="0"/>
            </w:tcBorders>
            <w:tcMar>
              <w:left w:w="0" w:type="dxa"/>
              <w:top w:w="0" w:type="dxa"/>
              <w:right w:w="0" w:type="dxa"/>
              <w:bottom w:w="0" w:type="dxa"/>
            </w:tcMar>
            <w:tcW w:w="1276" w:type="dxa"/>
            <w:vAlign w:val="bottom"/>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xây mới chưa bao gồm VAT (đồng/m2)</w:t>
            </w:r>
            <w:r/>
          </w:p>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top w:val="single" w:color="000000" w:sz="5" w:space="0"/>
              <w:right w:val="single" w:color="000000" w:sz="5" w:space="0"/>
            </w:tcBorders>
            <w:tcMar>
              <w:left w:w="0" w:type="dxa"/>
              <w:top w:w="0" w:type="dxa"/>
              <w:right w:w="0" w:type="dxa"/>
              <w:bottom w:w="0" w:type="dxa"/>
            </w:tcMar>
            <w:tcW w:w="1559" w:type="dxa"/>
            <w:vAlign w:val="bottom"/>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Chi phí thay thế (Đồng)</w:t>
            </w:r>
            <w:r/>
          </w:p>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2"/>
            <w:tcBorders>
              <w:top w:val="single" w:color="000000" w:sz="5" w:space="0"/>
              <w:bottom w:val="single" w:color="000000" w:sz="5" w:space="0"/>
              <w:right w:val="single" w:color="000000" w:sz="5" w:space="0"/>
            </w:tcBorders>
            <w:tcMar>
              <w:left w:w="0" w:type="dxa"/>
              <w:top w:w="0" w:type="dxa"/>
              <w:right w:w="0" w:type="dxa"/>
              <w:bottom w:w="0" w:type="dxa"/>
            </w:tcMar>
            <w:tcW w:w="3686"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Tham chiếu</w:t>
            </w:r>
            <w:r/>
          </w:p>
          <w:p>
            <w:pPr>
              <w:pBdr/>
              <w:spacing w:after="0" w:before="0" w:line="240" w:lineRule="auto"/>
              <w:ind/>
              <w:jc w:val="center"/>
              <w:rPr/>
            </w:pPr>
            <w:r>
              <w:rPr>
                <w:rFonts w:ascii="Times New Roman" w:hAnsi="Times New Roman" w:eastAsia="Times New Roman" w:cs="Times New Roman"/>
                <w:b/>
                <w:color w:val="000000"/>
                <w:sz w:val="24"/>
              </w:rPr>
              <w:t xml:space="preserve">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395" w:type="dxa"/>
            <w:vAlign w:val="bottom"/>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767" w:type="dxa"/>
            <w:vAlign w:val="bottom"/>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850" w:type="dxa"/>
            <w:vAlign w:val="bottom"/>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992" w:type="dxa"/>
            <w:vAlign w:val="bottom"/>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276" w:type="dxa"/>
            <w:vAlign w:val="bottom"/>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559" w:type="dxa"/>
            <w:vAlign w:val="bottom"/>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276"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Quyết định</w:t>
            </w:r>
            <w:r/>
          </w:p>
        </w:tc>
        <w:tc>
          <w:tcPr>
            <w:tcBorders>
              <w:bottom w:val="single" w:color="000000" w:sz="5" w:space="0"/>
              <w:right w:val="single" w:color="000000" w:sz="5" w:space="0"/>
            </w:tcBorders>
            <w:tcMar>
              <w:left w:w="0" w:type="dxa"/>
              <w:top w:w="0" w:type="dxa"/>
              <w:right w:w="0" w:type="dxa"/>
              <w:bottom w:w="0" w:type="dxa"/>
            </w:tcMar>
            <w:tcW w:w="2410"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Loại công trình</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5" w:space="0"/>
              <w:right w:val="single" w:color="000000" w:sz="5" w:space="0"/>
            </w:tcBorders>
            <w:tcMar>
              <w:left w:w="0" w:type="dxa"/>
              <w:top w:w="0" w:type="dxa"/>
              <w:right w:w="0" w:type="dxa"/>
              <w:bottom w:w="0" w:type="dxa"/>
            </w:tcMar>
            <w:tcW w:w="76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bảo vệ </w:t>
            </w:r>
            <w:r/>
          </w:p>
        </w:tc>
        <w:tc>
          <w:tcPr>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28</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28</w:t>
            </w:r>
            <w:r/>
          </w:p>
        </w:tc>
        <w:tc>
          <w:tcPr>
            <w:tcBorders>
              <w:bottom w:val="single" w:color="000000" w:sz="5" w:space="0"/>
              <w:right w:val="single" w:color="000000" w:sz="5" w:space="0"/>
            </w:tcBorders>
            <w:tcMar>
              <w:left w:w="0" w:type="dxa"/>
              <w:top w:w="0" w:type="dxa"/>
              <w:right w:w="0" w:type="dxa"/>
              <w:bottom w:w="0" w:type="dxa"/>
            </w:tcMar>
            <w:tcW w:w="1276"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5.109.476 </w:t>
            </w:r>
            <w:r/>
          </w:p>
        </w:tc>
        <w:tc>
          <w:tcPr>
            <w:tcBorders>
              <w:bottom w:val="single" w:color="000000" w:sz="5" w:space="0"/>
              <w:right w:val="single" w:color="000000" w:sz="5" w:space="0"/>
            </w:tcBorders>
            <w:tcMar>
              <w:left w:w="0" w:type="dxa"/>
              <w:top w:w="0" w:type="dxa"/>
              <w:right w:w="0" w:type="dxa"/>
              <w:bottom w:w="0" w:type="dxa"/>
            </w:tcMar>
            <w:tcW w:w="1559"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143.065.328 </w:t>
            </w:r>
            <w:r/>
          </w:p>
        </w:tc>
        <w:tc>
          <w:tcPr>
            <w:tcBorders>
              <w:bottom w:val="single" w:color="000000" w:sz="5" w:space="0"/>
              <w:right w:val="single" w:color="000000" w:sz="5" w:space="0"/>
            </w:tcBorders>
            <w:tcMar>
              <w:left w:w="0" w:type="dxa"/>
              <w:top w:w="0" w:type="dxa"/>
              <w:right w:w="0" w:type="dxa"/>
              <w:bottom w:w="0" w:type="dxa"/>
            </w:tcMar>
            <w:tcW w:w="1276"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QĐ 409/QĐBXD</w:t>
            </w:r>
            <w:r/>
          </w:p>
        </w:tc>
        <w:tc>
          <w:tcPr>
            <w:tcBorders>
              <w:bottom w:val="single" w:color="000000" w:sz="5" w:space="0"/>
              <w:right w:val="single" w:color="000000" w:sz="5" w:space="0"/>
            </w:tcBorders>
            <w:tcMar>
              <w:left w:w="0" w:type="dxa"/>
              <w:top w:w="0" w:type="dxa"/>
              <w:right w:w="0" w:type="dxa"/>
              <w:bottom w:w="0" w:type="dxa"/>
            </w:tcMar>
            <w:tcW w:w="2410"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11120.02 Nhà 1 tầng, căn hộ khép kín, kết cấu tường gạch chịu lực, mái BTCT đổ tại chỗ</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5" w:space="0"/>
              <w:right w:val="single" w:color="000000" w:sz="5" w:space="0"/>
            </w:tcBorders>
            <w:tcMar>
              <w:left w:w="0" w:type="dxa"/>
              <w:top w:w="0" w:type="dxa"/>
              <w:right w:w="0" w:type="dxa"/>
              <w:bottom w:w="0" w:type="dxa"/>
            </w:tcMar>
            <w:tcW w:w="76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điều hành</w:t>
            </w:r>
            <w:r/>
          </w:p>
        </w:tc>
        <w:tc>
          <w:tcPr>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240</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240</w:t>
            </w:r>
            <w:r/>
          </w:p>
        </w:tc>
        <w:tc>
          <w:tcPr>
            <w:tcBorders>
              <w:bottom w:val="single" w:color="000000" w:sz="5" w:space="0"/>
              <w:right w:val="single" w:color="000000" w:sz="5" w:space="0"/>
            </w:tcBorders>
            <w:tcMar>
              <w:left w:w="0" w:type="dxa"/>
              <w:top w:w="0" w:type="dxa"/>
              <w:right w:w="0" w:type="dxa"/>
              <w:bottom w:w="0" w:type="dxa"/>
            </w:tcMar>
            <w:tcW w:w="1276"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5.109.476 </w:t>
            </w:r>
            <w:r/>
          </w:p>
        </w:tc>
        <w:tc>
          <w:tcPr>
            <w:tcBorders>
              <w:bottom w:val="single" w:color="000000" w:sz="5" w:space="0"/>
              <w:right w:val="single" w:color="000000" w:sz="5" w:space="0"/>
            </w:tcBorders>
            <w:tcMar>
              <w:left w:w="0" w:type="dxa"/>
              <w:top w:w="0" w:type="dxa"/>
              <w:right w:w="0" w:type="dxa"/>
              <w:bottom w:w="0" w:type="dxa"/>
            </w:tcMar>
            <w:tcW w:w="1559"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1.226.274.240 </w:t>
            </w:r>
            <w:r/>
          </w:p>
        </w:tc>
        <w:tc>
          <w:tcPr>
            <w:tcBorders>
              <w:bottom w:val="single" w:color="000000" w:sz="5" w:space="0"/>
              <w:right w:val="single" w:color="000000" w:sz="5" w:space="0"/>
            </w:tcBorders>
            <w:tcMar>
              <w:left w:w="0" w:type="dxa"/>
              <w:top w:w="0" w:type="dxa"/>
              <w:right w:w="0" w:type="dxa"/>
              <w:bottom w:w="0" w:type="dxa"/>
            </w:tcMar>
            <w:tcW w:w="1276"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QĐ 409/QĐBXD</w:t>
            </w:r>
            <w:r/>
          </w:p>
        </w:tc>
        <w:tc>
          <w:tcPr>
            <w:tcBorders>
              <w:bottom w:val="single" w:color="000000" w:sz="5" w:space="0"/>
              <w:right w:val="single" w:color="000000" w:sz="5" w:space="0"/>
            </w:tcBorders>
            <w:tcMar>
              <w:left w:w="0" w:type="dxa"/>
              <w:top w:w="0" w:type="dxa"/>
              <w:right w:w="0" w:type="dxa"/>
              <w:bottom w:w="0" w:type="dxa"/>
            </w:tcMar>
            <w:tcW w:w="2410"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11120.02 Nhà 1 tầng, căn hộ khép kín, kết cấu tường gạch chịu lực, mái BTCT đổ tại chỗ</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5" w:space="0"/>
              <w:right w:val="single" w:color="000000" w:sz="5" w:space="0"/>
            </w:tcBorders>
            <w:tcMar>
              <w:left w:w="0" w:type="dxa"/>
              <w:top w:w="0" w:type="dxa"/>
              <w:right w:w="0" w:type="dxa"/>
              <w:bottom w:w="0" w:type="dxa"/>
            </w:tcMar>
            <w:tcW w:w="76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xưởng số 1</w:t>
            </w:r>
            <w:r/>
          </w:p>
        </w:tc>
        <w:tc>
          <w:tcPr>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7517,3</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7517,3</w:t>
            </w:r>
            <w:r/>
          </w:p>
        </w:tc>
        <w:tc>
          <w:tcPr>
            <w:tcBorders>
              <w:bottom w:val="single" w:color="000000" w:sz="5" w:space="0"/>
              <w:right w:val="single" w:color="000000" w:sz="5" w:space="0"/>
            </w:tcBorders>
            <w:tcMar>
              <w:left w:w="0" w:type="dxa"/>
              <w:top w:w="0" w:type="dxa"/>
              <w:right w:w="0" w:type="dxa"/>
              <w:bottom w:w="0" w:type="dxa"/>
            </w:tcMar>
            <w:tcW w:w="1276"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4.315.250 </w:t>
            </w:r>
            <w:r/>
          </w:p>
        </w:tc>
        <w:tc>
          <w:tcPr>
            <w:tcBorders>
              <w:bottom w:val="single" w:color="000000" w:sz="5" w:space="0"/>
              <w:right w:val="single" w:color="000000" w:sz="5" w:space="0"/>
            </w:tcBorders>
            <w:tcMar>
              <w:left w:w="0" w:type="dxa"/>
              <w:top w:w="0" w:type="dxa"/>
              <w:right w:w="0" w:type="dxa"/>
              <w:bottom w:w="0" w:type="dxa"/>
            </w:tcMar>
            <w:tcW w:w="1559" w:type="dxa"/>
            <w:vAlign w:val="bottom"/>
            <w:textDirection w:val="lrTb"/>
            <w:noWrap/>
          </w:tcPr>
          <w:p>
            <w:pPr>
              <w:pBdr/>
              <w:spacing w:after="0" w:before="0" w:line="240" w:lineRule="auto"/>
              <w:ind w:right="-142" w:firstLine="0" w:left="0"/>
              <w:rPr/>
            </w:pPr>
            <w:r>
              <w:rPr>
                <w:rFonts w:ascii="Times New Roman" w:hAnsi="Times New Roman" w:eastAsia="Times New Roman" w:cs="Times New Roman"/>
                <w:color w:val="000000"/>
                <w:sz w:val="24"/>
              </w:rPr>
              <w:t xml:space="preserve"> 32.439.028.825 </w:t>
            </w:r>
            <w:r/>
          </w:p>
        </w:tc>
        <w:tc>
          <w:tcPr>
            <w:tcBorders>
              <w:bottom w:val="single" w:color="000000" w:sz="5" w:space="0"/>
              <w:right w:val="single" w:color="000000" w:sz="5" w:space="0"/>
            </w:tcBorders>
            <w:tcMar>
              <w:left w:w="0" w:type="dxa"/>
              <w:top w:w="0" w:type="dxa"/>
              <w:right w:w="0" w:type="dxa"/>
              <w:bottom w:w="0" w:type="dxa"/>
            </w:tcMar>
            <w:tcW w:w="1276"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QĐ 409/QĐBXD</w:t>
            </w:r>
            <w:r/>
          </w:p>
        </w:tc>
        <w:tc>
          <w:tcPr>
            <w:tcBorders>
              <w:bottom w:val="single" w:color="000000" w:sz="5" w:space="0"/>
              <w:right w:val="single" w:color="000000" w:sz="5" w:space="0"/>
            </w:tcBorders>
            <w:tcMar>
              <w:left w:w="0" w:type="dxa"/>
              <w:top w:w="0" w:type="dxa"/>
              <w:right w:w="0" w:type="dxa"/>
              <w:bottom w:w="0" w:type="dxa"/>
            </w:tcMar>
            <w:tcW w:w="2410" w:type="dxa"/>
            <w:vAlign w:val="bottom"/>
            <w:textDirection w:val="lrTb"/>
            <w:noWrap w:val="false"/>
          </w:tcPr>
          <w:p>
            <w:pPr>
              <w:pBdr/>
              <w:spacing w:after="0" w:before="0" w:line="240" w:lineRule="auto"/>
              <w:ind/>
              <w:rPr/>
            </w:pPr>
            <w:r>
              <w:br/>
            </w:r>
            <w:r>
              <w:rPr>
                <w:rFonts w:ascii="Times New Roman" w:hAnsi="Times New Roman" w:eastAsia="Times New Roman" w:cs="Times New Roman"/>
                <w:color w:val="000000"/>
                <w:sz w:val="24"/>
              </w:rPr>
              <w:t xml:space="preserve">Nhà 1 tầng khẩu độ 15m, cao ≤ 9m, không có cầu trục</w:t>
              <w:br/>
              <w:t xml:space="preserve">12610.10 Cột kèo thép, tường bao che tôn, mái tôn</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bottom w:val="single" w:color="000000" w:sz="5" w:space="0"/>
              <w:right w:val="single" w:color="000000" w:sz="5" w:space="0"/>
            </w:tcBorders>
            <w:tcMar>
              <w:left w:w="0" w:type="dxa"/>
              <w:top w:w="0" w:type="dxa"/>
              <w:right w:w="0" w:type="dxa"/>
              <w:bottom w:w="0" w:type="dxa"/>
            </w:tcMar>
            <w:tcW w:w="76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Xưởng sản xuất 2</w:t>
            </w:r>
            <w:r/>
          </w:p>
        </w:tc>
        <w:tc>
          <w:tcPr>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1824</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1824</w:t>
            </w:r>
            <w:r/>
          </w:p>
        </w:tc>
        <w:tc>
          <w:tcPr>
            <w:tcBorders>
              <w:bottom w:val="single" w:color="000000" w:sz="5" w:space="0"/>
              <w:right w:val="single" w:color="000000" w:sz="5" w:space="0"/>
            </w:tcBorders>
            <w:tcMar>
              <w:left w:w="0" w:type="dxa"/>
              <w:top w:w="0" w:type="dxa"/>
              <w:right w:w="0" w:type="dxa"/>
              <w:bottom w:w="0" w:type="dxa"/>
            </w:tcMar>
            <w:tcW w:w="1276"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4.315.250 </w:t>
            </w:r>
            <w:r/>
          </w:p>
        </w:tc>
        <w:tc>
          <w:tcPr>
            <w:tcBorders>
              <w:bottom w:val="single" w:color="000000" w:sz="5" w:space="0"/>
              <w:right w:val="single" w:color="000000" w:sz="5" w:space="0"/>
            </w:tcBorders>
            <w:tcMar>
              <w:left w:w="0" w:type="dxa"/>
              <w:top w:w="0" w:type="dxa"/>
              <w:right w:w="0" w:type="dxa"/>
              <w:bottom w:w="0" w:type="dxa"/>
            </w:tcMar>
            <w:tcW w:w="1559"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7.871.016.000 </w:t>
            </w:r>
            <w:r/>
          </w:p>
        </w:tc>
        <w:tc>
          <w:tcPr>
            <w:tcBorders>
              <w:bottom w:val="single" w:color="000000" w:sz="5" w:space="0"/>
              <w:right w:val="single" w:color="000000" w:sz="5" w:space="0"/>
            </w:tcBorders>
            <w:tcMar>
              <w:left w:w="0" w:type="dxa"/>
              <w:top w:w="0" w:type="dxa"/>
              <w:right w:w="0" w:type="dxa"/>
              <w:bottom w:w="0" w:type="dxa"/>
            </w:tcMar>
            <w:tcW w:w="1276"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QĐ 409/QĐBXD</w:t>
            </w:r>
            <w:r/>
          </w:p>
        </w:tc>
        <w:tc>
          <w:tcPr>
            <w:tcBorders>
              <w:bottom w:val="single" w:color="000000" w:sz="5" w:space="0"/>
              <w:right w:val="single" w:color="000000" w:sz="5" w:space="0"/>
            </w:tcBorders>
            <w:tcMar>
              <w:left w:w="0" w:type="dxa"/>
              <w:top w:w="0" w:type="dxa"/>
              <w:right w:w="0" w:type="dxa"/>
              <w:bottom w:w="0" w:type="dxa"/>
            </w:tcMar>
            <w:tcW w:w="2410" w:type="dxa"/>
            <w:vAlign w:val="bottom"/>
            <w:textDirection w:val="lrTb"/>
            <w:noWrap w:val="false"/>
          </w:tcPr>
          <w:p>
            <w:pPr>
              <w:pBdr/>
              <w:spacing w:after="0" w:before="0" w:line="240" w:lineRule="auto"/>
              <w:ind/>
              <w:rPr/>
            </w:pPr>
            <w:r>
              <w:br/>
            </w:r>
            <w:r>
              <w:rPr>
                <w:rFonts w:ascii="Times New Roman" w:hAnsi="Times New Roman" w:eastAsia="Times New Roman" w:cs="Times New Roman"/>
                <w:color w:val="000000"/>
                <w:sz w:val="24"/>
              </w:rPr>
              <w:t xml:space="preserve">Nhà 1 tầng khẩu độ 15m, cao ≤ 9m, không có cầu trục</w:t>
              <w:br/>
              <w:t xml:space="preserve">12610.10 Cột kèo thép, tường bao che tôn, mái tôn</w:t>
            </w:r>
            <w:r/>
          </w:p>
        </w:tc>
      </w:tr>
    </w:tbl>
    <w:p>
      <w:pPr>
        <w:pStyle w:val="1046"/>
        <w:pBdr/>
        <w:spacing w:after="120" w:before="120" w:line="276" w:lineRule="auto"/>
        <w:ind w:left="357"/>
        <w:jc w:val="both"/>
        <w:rPr>
          <w:highlight w:val="none"/>
        </w:rPr>
      </w:pPr>
      <w:r>
        <w:rPr>
          <w:b/>
          <w:highlight w:val="none"/>
          <w:lang w:val="pt-BR" w:bidi="pt-BR"/>
        </w:rPr>
      </w:r>
      <w:r>
        <w:t xml:space="preserve">❖ </w:t>
      </w:r>
      <w:r>
        <w:rPr>
          <w:b/>
          <w:bCs/>
        </w:rPr>
        <w:t xml:space="preserve">Xác định Tỷ lệ hao mòn của CTXD</w:t>
      </w:r>
      <w:r>
        <w:t xml:space="preserve">: Qua khảo sát hiện trạng, Tổ thẩm định lựa chọn phương pháp tổng cộng để ước tính Tỷ lệ hao mòn của các công trình xây dựng, cụ thể như sau:</w:t>
      </w:r>
      <w:r>
        <w:rPr>
          <w:b/>
          <w:bCs/>
          <w:lang w:val="pt-BR"/>
        </w:rPr>
      </w:r>
      <w:r>
        <w:rPr>
          <w:highlight w:val="none"/>
        </w:rPr>
      </w:r>
    </w:p>
    <w:p>
      <w:pPr>
        <w:pStyle w:val="1046"/>
        <w:pBdr/>
        <w:spacing w:after="120" w:before="120" w:line="276" w:lineRule="auto"/>
        <w:ind w:left="357"/>
        <w:jc w:val="both"/>
        <w:rPr>
          <w:b/>
          <w:bCs/>
          <w:i/>
        </w:rPr>
      </w:pPr>
      <w:r>
        <w:rPr>
          <w:highlight w:val="none"/>
          <w:lang w:val="pt-BR" w:bidi="pt-BR"/>
        </w:rPr>
      </w:r>
      <w:r>
        <w:t xml:space="preserve">➢ </w:t>
      </w:r>
      <w:r>
        <w:rPr>
          <w:b/>
          <w:bCs/>
          <w:i/>
          <w:iCs/>
        </w:rPr>
        <w:t xml:space="preserve">Xác định tỷ lệ hao mòn theo phương pháp tổng cộng: </w:t>
      </w:r>
      <w:r>
        <w:rPr>
          <w:b/>
          <w:bCs/>
          <w:i/>
          <w:iCs/>
          <w:lang w:val="pt-BR"/>
        </w:rPr>
      </w:r>
      <w:r>
        <w:rPr>
          <w:b/>
          <w:bCs/>
          <w:i/>
        </w:rPr>
      </w:r>
    </w:p>
    <w:p>
      <w:pPr>
        <w:pStyle w:val="1046"/>
        <w:pBdr/>
        <w:spacing w:after="120" w:before="120" w:line="276" w:lineRule="auto"/>
        <w:ind w:left="357"/>
        <w:jc w:val="both"/>
        <w:rPr>
          <w:highlight w:val="none"/>
        </w:rPr>
      </w:pPr>
      <w:r>
        <w:t xml:space="preserve">Qua khảo sát hiện trạng, dựa vào đặc điểm tài sản và tham khảo ý kiến các chuyên giá về xây dựng, Tổ thẩm định đánh giá chất lượng còn lại của công trình xây dựng theo Văn bản số 1326/BXD-QLN do Bộ Xây d</w:t>
      </w:r>
      <w:r>
        <w:t xml:space="preserve">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w:t>
      </w:r>
      <w:r>
        <w:t xml:space="preserve">hì kết cấu chính gồm: móng, khung, cột, tường, nền, sàn, kết cấu đỡ mái và mái) tạo nên nhà đó và tỷ lệ giá trị của các kết cấu chính đó so với tổng giá trị của nhà hoặc vật kiến trúc. </w:t>
      </w:r>
      <w:r>
        <w:rPr>
          <w:b/>
          <w:bCs/>
          <w:lang w:val="pt-BR"/>
        </w:rPr>
      </w:r>
      <w:r>
        <w:rPr>
          <w:highlight w:val="none"/>
        </w:rPr>
      </w:r>
    </w:p>
    <w:p>
      <w:pPr>
        <w:pStyle w:val="1046"/>
        <w:pBdr/>
        <w:spacing w:after="120" w:before="120" w:line="276" w:lineRule="auto"/>
        <w:ind w:left="357"/>
        <w:jc w:val="both"/>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48375" cy="140977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11262" name=""/>
                        <pic:cNvPicPr>
                          <a:picLocks noChangeAspect="1"/>
                        </pic:cNvPicPr>
                        <pic:nvPr/>
                      </pic:nvPicPr>
                      <pic:blipFill rotWithShape="1">
                        <a:blip r:embed="rId23"/>
                        <a:stretch/>
                      </pic:blipFill>
                      <pic:spPr bwMode="auto">
                        <a:xfrm>
                          <a:off x="0" y="0"/>
                          <a:ext cx="6048374" cy="14097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111.01pt;mso-wrap-distance-left:0.00pt;mso-wrap-distance-top:0.00pt;mso-wrap-distance-right:0.00pt;mso-wrap-distance-bottom:0.00pt;z-index:1;" stroked="false">
                <v:imagedata r:id="rId23" o:title=""/>
                <o:lock v:ext="edit" rotation="t"/>
              </v:shape>
            </w:pict>
          </mc:Fallback>
        </mc:AlternateContent>
      </w:r>
      <w:r>
        <w:rPr>
          <w:b/>
          <w:bCs/>
          <w:lang w:val="pt-BR"/>
        </w:rPr>
      </w:r>
      <w:r>
        <w:rPr>
          <w:highlight w:val="none"/>
          <w:lang w:val="pt-BR" w:bidi="pt-BR"/>
        </w:rPr>
      </w:r>
    </w:p>
    <w:tbl>
      <w:tblPr>
        <w:tblStyle w:val="105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74"/>
        <w:gridCol w:w="1805"/>
        <w:gridCol w:w="1134"/>
        <w:gridCol w:w="1276"/>
        <w:gridCol w:w="992"/>
        <w:gridCol w:w="709"/>
        <w:gridCol w:w="992"/>
        <w:gridCol w:w="709"/>
        <w:gridCol w:w="1135"/>
      </w:tblGrid>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gridSpan w:val="7"/>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46"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Phương pháp tổng cộng</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bottom"/>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STT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bottom"/>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Hạng mục tài sản</w:t>
            </w:r>
            <w:r/>
          </w:p>
        </w:tc>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811"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Kết cấu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w:t>
              <w:br/>
              <w:t xml:space="preserve">hao</w:t>
              <w:br/>
              <w:t xml:space="preserve">mòn</w:t>
              <w:br/>
              <w:t xml:space="preserve">(%)</w:t>
            </w:r>
            <w:r/>
          </w:p>
        </w:tc>
      </w:tr>
      <w:tr>
        <w:trPr>
          <w:trHeight w:val="1572"/>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left w:val="single" w:color="000000" w:sz="4" w:space="0"/>
              <w:bottom w:val="single" w:color="000000" w:sz="5" w:space="0"/>
              <w:right w:val="single" w:color="000000" w:sz="5" w:space="0"/>
            </w:tcBorders>
            <w:tcMar>
              <w:left w:w="0" w:type="dxa"/>
              <w:top w:w="0" w:type="dxa"/>
              <w:right w:w="0" w:type="dxa"/>
              <w:bottom w:w="0" w:type="dxa"/>
            </w:tcMar>
            <w:tcW w:w="1134" w:type="dxa"/>
            <w:vAlign w:val="bottom"/>
            <w:textDirection w:val="lrTb"/>
            <w:noWrap/>
          </w:tcPr>
          <w:p>
            <w:pPr>
              <w:pBdr/>
              <w:spacing w:after="0" w:before="0" w:line="240" w:lineRule="auto"/>
              <w:ind/>
              <w:rPr/>
            </w:pPr>
            <w:r>
              <w:rPr>
                <w:rFonts w:ascii="Times New Roman" w:hAnsi="Times New Roman" w:eastAsia="Times New Roman" w:cs="Times New Roman"/>
                <w:b/>
                <w:i/>
                <w:color w:val="000000"/>
                <w:sz w:val="24"/>
              </w:rPr>
              <w:t xml:space="preserve">Móng</w:t>
            </w:r>
            <w:r/>
          </w:p>
        </w:tc>
        <w:tc>
          <w:tcPr>
            <w:tcBorders>
              <w:bottom w:val="single" w:color="000000" w:sz="5" w:space="0"/>
              <w:right w:val="single" w:color="000000" w:sz="5" w:space="0"/>
            </w:tcBorders>
            <w:tcMar>
              <w:left w:w="0" w:type="dxa"/>
              <w:top w:w="0" w:type="dxa"/>
              <w:right w:w="0" w:type="dxa"/>
              <w:bottom w:w="0" w:type="dxa"/>
            </w:tcMar>
            <w:tcW w:w="1276" w:type="dxa"/>
            <w:vAlign w:val="bottom"/>
            <w:textDirection w:val="lrTb"/>
            <w:noWrap/>
          </w:tcPr>
          <w:p>
            <w:pPr>
              <w:pBdr/>
              <w:spacing w:after="0" w:before="0" w:line="240" w:lineRule="auto"/>
              <w:ind/>
              <w:rPr/>
            </w:pPr>
            <w:r>
              <w:rPr>
                <w:rFonts w:ascii="Times New Roman" w:hAnsi="Times New Roman" w:eastAsia="Times New Roman" w:cs="Times New Roman"/>
                <w:b/>
                <w:i/>
                <w:color w:val="000000"/>
                <w:sz w:val="24"/>
              </w:rPr>
              <w:t xml:space="preserve">Khung cột</w:t>
            </w:r>
            <w:r/>
          </w:p>
        </w:tc>
        <w:tc>
          <w:tcPr>
            <w:tcBorders>
              <w:bottom w:val="single" w:color="000000" w:sz="5" w:space="0"/>
              <w:right w:val="single" w:color="000000" w:sz="5" w:space="0"/>
            </w:tcBorders>
            <w:tcMar>
              <w:left w:w="0" w:type="dxa"/>
              <w:top w:w="0" w:type="dxa"/>
              <w:right w:w="0" w:type="dxa"/>
              <w:bottom w:w="0" w:type="dxa"/>
            </w:tcMar>
            <w:tcW w:w="992" w:type="dxa"/>
            <w:vAlign w:val="bottom"/>
            <w:textDirection w:val="lrTb"/>
            <w:noWrap/>
          </w:tcPr>
          <w:p>
            <w:pPr>
              <w:pBdr/>
              <w:spacing w:after="0" w:before="0" w:line="240" w:lineRule="auto"/>
              <w:ind/>
              <w:rPr/>
            </w:pPr>
            <w:r>
              <w:rPr>
                <w:rFonts w:ascii="Times New Roman" w:hAnsi="Times New Roman" w:eastAsia="Times New Roman" w:cs="Times New Roman"/>
                <w:b/>
                <w:i/>
                <w:color w:val="000000"/>
                <w:sz w:val="24"/>
              </w:rPr>
              <w:t xml:space="preserve">Tường</w:t>
            </w:r>
            <w:r/>
          </w:p>
        </w:tc>
        <w:tc>
          <w:tcPr>
            <w:tcBorders>
              <w:bottom w:val="single" w:color="000000" w:sz="5" w:space="0"/>
              <w:right w:val="single" w:color="000000" w:sz="5" w:space="0"/>
            </w:tcBorders>
            <w:tcMar>
              <w:left w:w="0" w:type="dxa"/>
              <w:top w:w="0" w:type="dxa"/>
              <w:right w:w="0" w:type="dxa"/>
              <w:bottom w:w="0" w:type="dxa"/>
            </w:tcMar>
            <w:tcW w:w="709" w:type="dxa"/>
            <w:vAlign w:val="bottom"/>
            <w:textDirection w:val="lrTb"/>
            <w:noWrap/>
          </w:tcPr>
          <w:p>
            <w:pPr>
              <w:pBdr/>
              <w:spacing w:after="0" w:before="0" w:line="240" w:lineRule="auto"/>
              <w:ind/>
              <w:rPr/>
            </w:pPr>
            <w:r>
              <w:rPr>
                <w:rFonts w:ascii="Times New Roman" w:hAnsi="Times New Roman" w:eastAsia="Times New Roman" w:cs="Times New Roman"/>
                <w:b/>
                <w:i/>
                <w:color w:val="000000"/>
                <w:sz w:val="24"/>
              </w:rPr>
              <w:t xml:space="preserve">Nền, sàn</w:t>
            </w:r>
            <w:r/>
          </w:p>
        </w:tc>
        <w:tc>
          <w:tcPr>
            <w:tcBorders>
              <w:bottom w:val="single" w:color="000000" w:sz="5" w:space="0"/>
              <w:right w:val="single" w:color="000000" w:sz="5" w:space="0"/>
            </w:tcBorders>
            <w:tcMar>
              <w:left w:w="0" w:type="dxa"/>
              <w:top w:w="0" w:type="dxa"/>
              <w:right w:w="0" w:type="dxa"/>
              <w:bottom w:w="0" w:type="dxa"/>
            </w:tcMar>
            <w:tcW w:w="992" w:type="dxa"/>
            <w:vAlign w:val="bottom"/>
            <w:textDirection w:val="lrTb"/>
            <w:noWrap/>
          </w:tcPr>
          <w:p>
            <w:pPr>
              <w:pBdr/>
              <w:spacing w:after="0" w:before="0" w:line="240" w:lineRule="auto"/>
              <w:ind/>
              <w:rPr/>
            </w:pPr>
            <w:r>
              <w:rPr>
                <w:rFonts w:ascii="Times New Roman" w:hAnsi="Times New Roman" w:eastAsia="Times New Roman" w:cs="Times New Roman"/>
                <w:b/>
                <w:i/>
                <w:color w:val="000000"/>
                <w:sz w:val="24"/>
              </w:rPr>
              <w:t xml:space="preserve">Đỡ mái</w:t>
            </w:r>
            <w:r/>
          </w:p>
        </w:tc>
        <w:tc>
          <w:tcPr>
            <w:tcBorders>
              <w:bottom w:val="single" w:color="000000" w:sz="5"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rPr/>
            </w:pPr>
            <w:r>
              <w:rPr>
                <w:rFonts w:ascii="Times New Roman" w:hAnsi="Times New Roman" w:eastAsia="Times New Roman" w:cs="Times New Roman"/>
                <w:b/>
                <w:i/>
                <w:color w:val="000000"/>
                <w:sz w:val="24"/>
              </w:rPr>
              <w:t xml:space="preserve">Mái</w:t>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bảo vệ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Tỉ trọng kết cấu</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Tỷ lệ hao mòn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điều hành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35%</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Tỉ trọng kết cấu</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Tỷ lệ hao mòn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35%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35%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35%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35%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35%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35%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xưởng số 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Tỉ trọng kết cấu</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rPr/>
            </w:pPr>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Tỷ lệ hao mòn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Xưởng sản xuất 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Tỉ trọng kết cấu</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7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0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Tỷ lệ hao mòn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92"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5"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bl>
    <w:p>
      <w:pPr>
        <w:pStyle w:val="1046"/>
        <w:pBdr/>
        <w:spacing w:after="120" w:before="120" w:line="276" w:lineRule="auto"/>
        <w:ind w:left="357"/>
        <w:jc w:val="center"/>
        <w:rPr>
          <w:b/>
          <w:bCs/>
          <w:highlight w:val="none"/>
          <w:lang w:val="pt-BR" w:bidi="pt-BR"/>
        </w:rPr>
      </w:pPr>
      <w:r>
        <w:rPr>
          <w:b/>
          <w:bCs/>
          <w:highlight w:val="none"/>
          <w:lang w:val="pt-BR" w:bidi="pt-BR"/>
        </w:rPr>
      </w:r>
      <w:r>
        <w:rPr>
          <w:b/>
          <w:bCs/>
        </w:rPr>
        <w:t xml:space="preserve">BẢNG TÍNH GIÁ TRỊ CÔNG TRÌNH XÂY DỰNG</w:t>
      </w:r>
      <w:r>
        <w:rPr>
          <w:b/>
          <w:bCs/>
        </w:rPr>
      </w:r>
      <w:r>
        <w:rPr>
          <w:b/>
          <w:bCs/>
          <w:highlight w:val="none"/>
          <w:lang w:val="pt-BR" w:bidi="pt-BR"/>
        </w:rPr>
      </w:r>
    </w:p>
    <w:tbl>
      <w:tblPr>
        <w:tblStyle w:val="105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27"/>
        <w:gridCol w:w="1160"/>
        <w:gridCol w:w="992"/>
        <w:gridCol w:w="992"/>
        <w:gridCol w:w="1701"/>
        <w:gridCol w:w="850"/>
        <w:gridCol w:w="1701"/>
        <w:gridCol w:w="1702"/>
      </w:tblGrid>
      <w:tr>
        <w:trPr>
          <w:trHeight w:val="0"/>
        </w:trPr>
        <w:tc>
          <w:tcPr>
            <w:tcBorders>
              <w:top w:val="single" w:color="000000" w:sz="5" w:space="0"/>
              <w:left w:val="single" w:color="000000" w:sz="5" w:space="0"/>
              <w:bottom w:val="single" w:color="000000" w:sz="4" w:space="0"/>
              <w:right w:val="single" w:color="000000" w:sz="5" w:space="0"/>
            </w:tcBorders>
            <w:tcMar>
              <w:left w:w="0" w:type="dxa"/>
              <w:top w:w="0" w:type="dxa"/>
              <w:right w:w="0" w:type="dxa"/>
              <w:bottom w:w="0" w:type="dxa"/>
            </w:tcMar>
            <w:tcW w:w="427" w:type="dxa"/>
            <w:vAlign w:val="bottom"/>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STT</w:t>
            </w:r>
            <w:r/>
          </w:p>
        </w:tc>
        <w:tc>
          <w:tcPr>
            <w:tcBorders>
              <w:top w:val="single" w:color="000000" w:sz="5" w:space="0"/>
              <w:left w:val="single" w:color="000000" w:sz="5" w:space="0"/>
              <w:bottom w:val="single" w:color="000000" w:sz="4" w:space="0"/>
              <w:right w:val="single" w:color="000000" w:sz="5" w:space="0"/>
            </w:tcBorders>
            <w:tcMar>
              <w:left w:w="0" w:type="dxa"/>
              <w:top w:w="0" w:type="dxa"/>
              <w:right w:w="0" w:type="dxa"/>
              <w:bottom w:w="0" w:type="dxa"/>
            </w:tcMar>
            <w:tcW w:w="1160"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Hạng mục tài sản</w:t>
            </w:r>
            <w:r/>
          </w:p>
        </w:tc>
        <w:tc>
          <w:tcPr>
            <w:tcBorders>
              <w:top w:val="single" w:color="000000" w:sz="5" w:space="0"/>
              <w:left w:val="single" w:color="000000" w:sz="5" w:space="0"/>
              <w:bottom w:val="single" w:color="000000" w:sz="4" w:space="0"/>
              <w:right w:val="single" w:color="000000" w:sz="5" w:space="0"/>
            </w:tcBorders>
            <w:tcMar>
              <w:left w:w="0" w:type="dxa"/>
              <w:top w:w="0" w:type="dxa"/>
              <w:right w:w="0" w:type="dxa"/>
              <w:bottom w:w="0" w:type="dxa"/>
            </w:tcMar>
            <w:tcW w:w="992"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xây dựng (m2)</w:t>
            </w:r>
            <w:r/>
          </w:p>
        </w:tc>
        <w:tc>
          <w:tcPr>
            <w:tcBorders>
              <w:top w:val="single" w:color="000000" w:sz="5" w:space="0"/>
              <w:left w:val="single" w:color="000000" w:sz="5" w:space="0"/>
              <w:bottom w:val="single" w:color="000000" w:sz="4" w:space="0"/>
              <w:right w:val="single" w:color="000000" w:sz="5" w:space="0"/>
            </w:tcBorders>
            <w:tcMar>
              <w:left w:w="0" w:type="dxa"/>
              <w:top w:w="0" w:type="dxa"/>
              <w:right w:w="0" w:type="dxa"/>
              <w:bottom w:w="0" w:type="dxa"/>
            </w:tcMar>
            <w:tcW w:w="992"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sàn xây dựng (m2)</w:t>
            </w:r>
            <w:r/>
          </w:p>
        </w:tc>
        <w:tc>
          <w:tcPr>
            <w:tcBorders>
              <w:top w:val="single" w:color="000000" w:sz="5" w:space="0"/>
              <w:left w:val="single" w:color="000000" w:sz="5" w:space="0"/>
              <w:bottom w:val="single" w:color="000000" w:sz="4" w:space="0"/>
              <w:right w:val="single" w:color="000000" w:sz="5" w:space="0"/>
            </w:tcBorders>
            <w:tcMar>
              <w:left w:w="0" w:type="dxa"/>
              <w:top w:w="0" w:type="dxa"/>
              <w:right w:w="0" w:type="dxa"/>
              <w:bottom w:w="0" w:type="dxa"/>
            </w:tcMar>
            <w:tcW w:w="1701"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Chi phí thay thế (Đồng)</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50"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hao</w:t>
              <w:br/>
              <w:t xml:space="preserve">mòn (%)</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701"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hao</w:t>
              <w:br/>
              <w:t xml:space="preserve">mòn (đồng)</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702"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thẩm định</w:t>
              <w:br/>
              <w:t xml:space="preserve">(đồng)</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5" w:space="0"/>
              <w:right w:val="single" w:color="000000" w:sz="5" w:space="0"/>
            </w:tcBorders>
            <w:tcMar>
              <w:left w:w="0" w:type="dxa"/>
              <w:top w:w="0" w:type="dxa"/>
              <w:right w:w="0" w:type="dxa"/>
              <w:bottom w:w="0" w:type="dxa"/>
            </w:tcMar>
            <w:tcW w:w="11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bảo vệ </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143.065.328 </w:t>
            </w:r>
            <w:r/>
          </w:p>
        </w:tc>
        <w:tc>
          <w:tcPr>
            <w:tcBorders>
              <w:bottom w:val="single" w:color="000000" w:sz="5" w:space="0"/>
              <w:right w:val="single" w:color="000000" w:sz="5" w:space="0"/>
            </w:tcBorders>
            <w:tcMar>
              <w:left w:w="0" w:type="dxa"/>
              <w:top w:w="0" w:type="dxa"/>
              <w:right w:w="0" w:type="dxa"/>
              <w:bottom w:w="0" w:type="dxa"/>
            </w:tcMar>
            <w:tcW w:w="850"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57.226.131 </w:t>
            </w:r>
            <w:r/>
          </w:p>
        </w:tc>
        <w:tc>
          <w:tcPr>
            <w:tcBorders>
              <w:bottom w:val="single" w:color="000000" w:sz="5" w:space="0"/>
              <w:right w:val="single" w:color="000000" w:sz="5" w:space="0"/>
            </w:tcBorders>
            <w:tcMar>
              <w:left w:w="0" w:type="dxa"/>
              <w:top w:w="0" w:type="dxa"/>
              <w:right w:w="0" w:type="dxa"/>
              <w:bottom w:w="0" w:type="dxa"/>
            </w:tcMar>
            <w:tcW w:w="1702"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85.839.197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5" w:space="0"/>
              <w:right w:val="single" w:color="000000" w:sz="5" w:space="0"/>
            </w:tcBorders>
            <w:tcMar>
              <w:left w:w="0" w:type="dxa"/>
              <w:top w:w="0" w:type="dxa"/>
              <w:right w:w="0" w:type="dxa"/>
              <w:bottom w:w="0" w:type="dxa"/>
            </w:tcMar>
            <w:tcW w:w="11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điều hành</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240</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240</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1.226.274.240 </w:t>
            </w:r>
            <w:r/>
          </w:p>
        </w:tc>
        <w:tc>
          <w:tcPr>
            <w:tcBorders>
              <w:bottom w:val="single" w:color="000000" w:sz="5" w:space="0"/>
              <w:right w:val="single" w:color="000000" w:sz="5" w:space="0"/>
            </w:tcBorders>
            <w:tcMar>
              <w:left w:w="0" w:type="dxa"/>
              <w:top w:w="0" w:type="dxa"/>
              <w:right w:w="0" w:type="dxa"/>
              <w:bottom w:w="0" w:type="dxa"/>
            </w:tcMar>
            <w:tcW w:w="850"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35%</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429.195.984 </w:t>
            </w:r>
            <w:r/>
          </w:p>
        </w:tc>
        <w:tc>
          <w:tcPr>
            <w:tcBorders>
              <w:bottom w:val="single" w:color="000000" w:sz="5" w:space="0"/>
              <w:right w:val="single" w:color="000000" w:sz="5" w:space="0"/>
            </w:tcBorders>
            <w:tcMar>
              <w:left w:w="0" w:type="dxa"/>
              <w:top w:w="0" w:type="dxa"/>
              <w:right w:w="0" w:type="dxa"/>
              <w:bottom w:w="0" w:type="dxa"/>
            </w:tcMar>
            <w:tcW w:w="1702"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797.078.256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5" w:space="0"/>
              <w:right w:val="single" w:color="000000" w:sz="5" w:space="0"/>
            </w:tcBorders>
            <w:tcMar>
              <w:left w:w="0" w:type="dxa"/>
              <w:top w:w="0" w:type="dxa"/>
              <w:right w:w="0" w:type="dxa"/>
              <w:bottom w:w="0" w:type="dxa"/>
            </w:tcMar>
            <w:tcW w:w="11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xưởng số 1</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7517,3</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7517,3</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32.439.028.825 </w:t>
            </w:r>
            <w:r/>
          </w:p>
        </w:tc>
        <w:tc>
          <w:tcPr>
            <w:tcBorders>
              <w:bottom w:val="single" w:color="000000" w:sz="5" w:space="0"/>
              <w:right w:val="single" w:color="000000" w:sz="5" w:space="0"/>
            </w:tcBorders>
            <w:tcMar>
              <w:left w:w="0" w:type="dxa"/>
              <w:top w:w="0" w:type="dxa"/>
              <w:right w:w="0" w:type="dxa"/>
              <w:bottom w:w="0" w:type="dxa"/>
            </w:tcMar>
            <w:tcW w:w="850"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12.975.611.530 </w:t>
            </w:r>
            <w:r/>
          </w:p>
        </w:tc>
        <w:tc>
          <w:tcPr>
            <w:tcBorders>
              <w:bottom w:val="single" w:color="000000" w:sz="5" w:space="0"/>
              <w:right w:val="single" w:color="000000" w:sz="5" w:space="0"/>
            </w:tcBorders>
            <w:tcMar>
              <w:left w:w="0" w:type="dxa"/>
              <w:top w:w="0" w:type="dxa"/>
              <w:right w:w="0" w:type="dxa"/>
              <w:bottom w:w="0" w:type="dxa"/>
            </w:tcMar>
            <w:tcW w:w="1702"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19.463.417.295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bottom w:val="single" w:color="000000" w:sz="5" w:space="0"/>
              <w:right w:val="single" w:color="000000" w:sz="5" w:space="0"/>
            </w:tcBorders>
            <w:tcMar>
              <w:left w:w="0" w:type="dxa"/>
              <w:top w:w="0" w:type="dxa"/>
              <w:right w:w="0" w:type="dxa"/>
              <w:bottom w:w="0" w:type="dxa"/>
            </w:tcMar>
            <w:tcW w:w="11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Xưởng sản xuất 2</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1824</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1824</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7.871.016.000 </w:t>
            </w:r>
            <w:r/>
          </w:p>
        </w:tc>
        <w:tc>
          <w:tcPr>
            <w:tcBorders>
              <w:bottom w:val="single" w:color="000000" w:sz="5" w:space="0"/>
              <w:right w:val="single" w:color="000000" w:sz="5" w:space="0"/>
            </w:tcBorders>
            <w:tcMar>
              <w:left w:w="0" w:type="dxa"/>
              <w:top w:w="0" w:type="dxa"/>
              <w:right w:w="0" w:type="dxa"/>
              <w:bottom w:w="0" w:type="dxa"/>
            </w:tcMar>
            <w:tcW w:w="850"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3.148.406.400 </w:t>
            </w:r>
            <w:r/>
          </w:p>
        </w:tc>
        <w:tc>
          <w:tcPr>
            <w:tcBorders>
              <w:bottom w:val="single" w:color="000000" w:sz="5" w:space="0"/>
              <w:right w:val="single" w:color="000000" w:sz="5" w:space="0"/>
            </w:tcBorders>
            <w:tcMar>
              <w:left w:w="0" w:type="dxa"/>
              <w:top w:w="0" w:type="dxa"/>
              <w:right w:w="0" w:type="dxa"/>
              <w:bottom w:w="0" w:type="dxa"/>
            </w:tcMar>
            <w:tcW w:w="1702"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4.722.609.600 </w:t>
            </w:r>
            <w:r/>
          </w:p>
        </w:tc>
      </w:tr>
    </w:tbl>
    <w:p>
      <w:pPr>
        <w:pStyle w:val="104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5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2881"/>
        <w:gridCol w:w="1217"/>
        <w:gridCol w:w="2600"/>
        <w:gridCol w:w="2033"/>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7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9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thuê trả tiền một lần và tài sản gắn liền với đất tại thửa đất số: 535, tờ bản đồ số 11 có địa chỉ: Khu công nghiệp Rạch Bắp, phường An Tây, thành phố Bến Cát, tỉnh Bình Dương (Nay là Phường Tây Nam, Thành phố Hồ Chí Minh) theo Giấy chứng</w:t>
            </w:r>
            <w:r>
              <w:rPr>
                <w:rFonts w:ascii="Times New Roman" w:hAnsi="Times New Roman" w:eastAsia="Times New Roman" w:cs="Times New Roman"/>
                <w:b/>
                <w:color w:val="000000"/>
                <w:sz w:val="24"/>
              </w:rPr>
              <w:t xml:space="preserve"> nhận quyền sử dụng đất Quyền sở hữu nhà ở và tài sản khác gắn liền với đất  số: CB 049687, số vào sổ cấp GCN: CT13062 do Sở Tài nguyên và Môi trường tỉnh Bình Dương cấp ngày 19/01/2016; Chủ sử dụng đất là Công ty TNHH sản xuất phân bón Phượng Hoàng</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50.045,0 </w:t>
            </w:r>
            <w:r/>
          </w:p>
        </w:tc>
        <w:tc>
          <w:tcPr>
            <w:shd w:val="clear" w:color="ffffff" w:fill="ffffff"/>
            <w:tcBorders>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4.000.000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200.180.000.000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bảo vệ </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28,0 </w:t>
            </w:r>
            <w:r/>
          </w:p>
        </w:tc>
        <w:tc>
          <w:tcPr>
            <w:shd w:val="clear" w:color="ffffff" w:fill="ffffff"/>
            <w:tcBorders>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85.839.197</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03</w:t>
            </w:r>
            <w:r/>
          </w:p>
        </w:tc>
        <w:tc>
          <w:tcPr>
            <w:shd w:val="clear" w:color="ffffff" w:fill="ffffff"/>
            <w:tcBorders>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điều hành</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240,0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797.078.256</w:t>
            </w:r>
            <w:r/>
          </w:p>
        </w:tc>
      </w:tr>
      <w:tr>
        <w:trPr>
          <w:trHeight w:val="30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04</w:t>
            </w:r>
            <w:r/>
          </w:p>
        </w:tc>
        <w:tc>
          <w:tcPr>
            <w:shd w:val="clear" w:color="ffffff" w:fill="ffffff"/>
            <w:tcBorders>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xưởng số 1</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7.517,3 </w:t>
            </w:r>
            <w:r/>
          </w:p>
        </w:tc>
        <w:tc>
          <w:tcPr>
            <w:shd w:val="clear" w:color="ffffff" w:fill="ffffff"/>
            <w:tcBorders>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19.463.417.295</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05</w:t>
            </w:r>
            <w:r/>
          </w:p>
        </w:tc>
        <w:tc>
          <w:tcPr>
            <w:shd w:val="clear" w:color="ffffff" w:fill="ffffff"/>
            <w:tcBorders>
              <w:bottom w:val="single" w:color="000000" w:sz="5" w:space="0"/>
              <w:right w:val="single" w:color="000000" w:sz="5" w:space="0"/>
            </w:tcBorders>
            <w:tcMar>
              <w:left w:w="0" w:type="dxa"/>
              <w:top w:w="0" w:type="dxa"/>
              <w:right w:w="0" w:type="dxa"/>
              <w:bottom w:w="0" w:type="dxa"/>
            </w:tcMar>
            <w:tcW w:w="2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Xưởng sản xuất 2</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1.824,0 </w:t>
            </w:r>
            <w:r/>
          </w:p>
        </w:tc>
        <w:tc>
          <w:tcPr>
            <w:shd w:val="clear" w:color="ffffff" w:fill="ffffff"/>
            <w:tcBorders>
              <w:bottom w:val="single" w:color="000000" w:sz="5" w:space="0"/>
              <w:right w:val="single" w:color="000000" w:sz="5" w:space="0"/>
            </w:tcBorders>
            <w:tcMar>
              <w:left w:w="0" w:type="dxa"/>
              <w:top w:w="0" w:type="dxa"/>
              <w:right w:w="0" w:type="dxa"/>
              <w:bottom w:w="0" w:type="dxa"/>
            </w:tcMar>
            <w:tcW w:w="26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3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4.722.609.600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3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203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225.248.944.348</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3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203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225.249.000.000</w:t>
            </w:r>
            <w:r/>
          </w:p>
        </w:tc>
      </w:tr>
      <w:tr>
        <w:trPr>
          <w:trHeight w:val="324"/>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trăm hai mươi lăm tỷ, hai trăm bốn mươi chín triệu đồng chẵn ./.)</w:t>
            </w:r>
            <w:r/>
          </w:p>
        </w:tc>
      </w:tr>
    </w:tbl>
    <w:p>
      <w:pPr>
        <w:pStyle w:val="1046"/>
        <w:pBdr/>
        <w:tabs>
          <w:tab w:val="left" w:leader="none" w:pos="993"/>
        </w:tabs>
        <w:spacing w:after="120" w:before="120" w:line="276" w:lineRule="auto"/>
        <w:ind w:left="0"/>
        <w:jc w:val="both"/>
        <w:rPr/>
      </w:pPr>
      <w:r/>
      <w:r/>
    </w:p>
    <w:p>
      <w:pPr>
        <w:pStyle w:val="104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4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4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4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4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4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4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4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4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4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4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4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4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4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Báo cáo thẩm định giá này dựa vào các giả định đặc biệt tối quan trọng. Những giả định này bao gồm các chỉ tiêu cụ thể của khách hàng để sử dụng những thông số nhất định được trình bày và được nhấn mạnh trong báo cáo thẩm định giá. Công ty Cổ phần Thẩm địn</w:t>
      </w:r>
      <w:r>
        <w:rPr>
          <w:rFonts w:ascii="Times New Roman" w:hAnsi="Times New Roman" w:eastAsia="Times New Roman" w:cs="Times New Roman"/>
          <w:color w:val="000000"/>
          <w:sz w:val="24"/>
        </w:rPr>
        <w:t xml:space="preserve">h và Đầu tư Tài chính Hoa Sen lưu ý rằng những chỉ tiêu này có thể phản ánh hoặc không phản ánh kỳ vọng thị trường hiện tại cho những dữ liệu đặc biệt chưa rõ ràng.</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w:t>
      </w:r>
      <w:r>
        <w:rPr>
          <w:rFonts w:ascii="Times New Roman" w:hAnsi="Times New Roman" w:eastAsia="Times New Roman" w:cs="Times New Roman"/>
          <w:color w:val="000000"/>
          <w:sz w:val="24"/>
        </w:rPr>
        <w:t xml:space="preserve">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rFonts w:ascii="Times New Roman" w:hAnsi="Times New Roman" w:eastAsia="Times New Roman" w:cs="Times New Roman"/>
          <w:sz w:val="24"/>
        </w:rPr>
      </w:r>
      <w:r>
        <w:rPr>
          <w:rFonts w:ascii="Times New Roman" w:hAnsi="Times New Roman" w:eastAsia="Times New Roman" w:cs="Times New Roman"/>
          <w:sz w:val="24"/>
        </w:rPr>
      </w:r>
    </w:p>
    <w:p>
      <w:pPr>
        <w:pStyle w:val="1046"/>
        <w:numPr>
          <w:ilvl w:val="0"/>
          <w:numId w:val="41"/>
        </w:numPr>
        <w:pBdr/>
        <w:tabs>
          <w:tab w:val="left" w:leader="none" w:pos="993"/>
        </w:tabs>
        <w:spacing w:after="120" w:before="120" w:line="264" w:lineRule="auto"/>
        <w:ind/>
        <w:jc w:val="both"/>
        <w:rPr/>
      </w:pPr>
      <w:r>
        <w:t xml:space="preserve">Đối với phần Công trình xây dựng chưa được ghi nhận trên Giấy chứng nhận quyền sử dụng đất quyền sở hữu nhà ở và tài sản khác gắn liền với đất số: </w:t>
      </w:r>
      <w:r>
        <w:t xml:space="preserve">CB 049687</w:t>
      </w:r>
      <w:r>
        <w:t xml:space="preserve">, chúng tôi tham khảo thông tin khách hàng cung cấp và khảo sát thực tế tài sản th</w:t>
      </w:r>
      <w:r>
        <w:t xml:space="preserve">ẩm định dưới sự hướng dẫn của khách hàng. Tổ thẩm định ước tính giá trị công trình xây dựng theo hiện trạng thực tế với giả định thông số đo đạc được là chính xác. </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w:t>
      </w:r>
      <w:r>
        <w:rPr>
          <w:rFonts w:ascii="Times New Roman" w:hAnsi="Times New Roman" w:eastAsia="Times New Roman" w:cs="Times New Roman"/>
          <w:color w:val="000000"/>
          <w:sz w:val="24"/>
        </w:rPr>
        <w:t xml:space="preserve">ôi xem xét lại báo cáo định giá và tiến hành thẩm định giá theo các điều kiện phát sinh mới. </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Giá trị tài sản thẩm định được xác định trong điều kiện công ty hoạt động với đầy đủ các hệ thống xử lý nước thải, khí thải, phòng cháy chữa cháy….phù hợp với điều kiện khu vực. Sau ngày phát hành chứng thư nếu vì bất kỳ lý do gì dẫn đến nhà máy dừng h</w:t>
      </w:r>
      <w:r>
        <w:rPr>
          <w:rFonts w:ascii="Times New Roman" w:hAnsi="Times New Roman" w:eastAsia="Times New Roman" w:cs="Times New Roman"/>
          <w:color w:val="000000"/>
          <w:sz w:val="24"/>
        </w:rPr>
        <w:t xml:space="preserve">oạt động sẽ nằm ngoài phạm vi, trách nhiệm của Công ty Cổ phần Thẩm định và Đầu tư Tài chính Hoa Sen.</w:t>
      </w:r>
      <w:r>
        <w:rPr>
          <w:rFonts w:ascii="Times New Roman" w:hAnsi="Times New Roman" w:eastAsia="Times New Roman" w:cs="Times New Roman"/>
          <w:sz w:val="24"/>
        </w:rPr>
      </w:r>
      <w:r>
        <w:rPr>
          <w:rFonts w:ascii="Times New Roman" w:hAnsi="Times New Roman" w:eastAsia="Times New Roman" w:cs="Times New Roman"/>
          <w:sz w:val="24"/>
        </w:rPr>
      </w:r>
    </w:p>
    <w:p>
      <w:pPr>
        <w:pStyle w:val="104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4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6"/>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4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6"/>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275/2026/0434/VFI-CT.39.A</w:t>
      </w:r>
      <w:r>
        <w:rPr>
          <w:color w:val="ff0000"/>
          <w:lang w:val="vi-VN"/>
        </w:rPr>
        <w:t xml:space="preserve"> </w:t>
      </w:r>
      <w:r>
        <w:rPr>
          <w:color w:val="000000" w:themeColor="text1"/>
        </w:rPr>
        <w:t xml:space="preserve">ngày 20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275/2026/0434/VFI-BC.39.A</w:t>
      </w:r>
      <w:r>
        <w:rPr>
          <w:i/>
        </w:rPr>
        <w:t xml:space="preserve"> </w:t>
      </w:r>
      <w:r>
        <w:rPr>
          <w:i/>
        </w:rPr>
        <w:t xml:space="preserve">ngày</w:t>
      </w:r>
      <w:r>
        <w:rPr>
          <w:i/>
          <w:lang w:val="pt-BR"/>
        </w:rPr>
        <w:t xml:space="preserve"> </w:t>
      </w:r>
      <w:r>
        <w:rPr>
          <w:i/>
          <w:lang w:val="pt-BR"/>
        </w:rPr>
        <w:t xml:space="preserve">20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5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3560" cy="217539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01245" name=""/>
                              <pic:cNvPicPr>
                                <a:picLocks noChangeAspect="1"/>
                              </pic:cNvPicPr>
                              <pic:nvPr/>
                            </pic:nvPicPr>
                            <pic:blipFill rotWithShape="1">
                              <a:blip r:embed="rId24"/>
                              <a:stretch/>
                            </pic:blipFill>
                            <pic:spPr bwMode="auto">
                              <a:xfrm flipH="0" flipV="0">
                                <a:off x="0" y="0"/>
                                <a:ext cx="2903559" cy="21753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8.63pt;height:171.2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14052" cy="210833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16871" name=""/>
                              <pic:cNvPicPr>
                                <a:picLocks noChangeAspect="1"/>
                              </pic:cNvPicPr>
                              <pic:nvPr/>
                            </pic:nvPicPr>
                            <pic:blipFill rotWithShape="1">
                              <a:blip r:embed="rId25"/>
                              <a:stretch/>
                            </pic:blipFill>
                            <pic:spPr bwMode="auto">
                              <a:xfrm flipH="0" flipV="0">
                                <a:off x="0" y="0"/>
                                <a:ext cx="2814051" cy="21083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58pt;height:166.01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50439" cy="191083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32641" name=""/>
                              <pic:cNvPicPr>
                                <a:picLocks noChangeAspect="1"/>
                              </pic:cNvPicPr>
                              <pic:nvPr/>
                            </pic:nvPicPr>
                            <pic:blipFill rotWithShape="1">
                              <a:blip r:embed="rId27"/>
                              <a:stretch/>
                            </pic:blipFill>
                            <pic:spPr bwMode="auto">
                              <a:xfrm flipH="0" flipV="0">
                                <a:off x="0" y="0"/>
                                <a:ext cx="2550439" cy="19108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82pt;height:150.46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r>
        <w:trPr/>
        <w:tc>
          <w:tcPr>
            <w:gridSpan w:val="2"/>
            <w:tcBorders/>
            <w:tcW w:w="9525" w:type="dxa"/>
            <w:vAlign w:val="center"/>
            <w:textDirection w:val="lrTb"/>
            <w:noWrap w:val="false"/>
          </w:tcPr>
          <w:p>
            <w:pPr>
              <w:pBdr/>
              <w:spacing w:after="120"/>
              <w:ind/>
              <w:jc w:val="center"/>
              <w:rPr>
                <w:b/>
                <w:bCs/>
                <w:i/>
                <w:lang w:val="pt-BR"/>
              </w:rPr>
            </w:pPr>
            <w:r>
              <w:rPr>
                <w:b/>
                <w:bCs/>
                <w:i/>
                <w:lang w:val="pt-BR"/>
              </w:rPr>
              <w:t xml:space="preserve">Nhà bảo vệ</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84575" cy="20113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50565" name=""/>
                              <pic:cNvPicPr>
                                <a:picLocks noChangeAspect="1"/>
                              </pic:cNvPicPr>
                              <pic:nvPr/>
                            </pic:nvPicPr>
                            <pic:blipFill rotWithShape="1">
                              <a:blip r:embed="rId29"/>
                              <a:stretch/>
                            </pic:blipFill>
                            <pic:spPr bwMode="auto">
                              <a:xfrm flipH="0" flipV="0">
                                <a:off x="0" y="0"/>
                                <a:ext cx="2684575" cy="20113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1.38pt;height:158.37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rPr>
          <w:highlight w:val="none"/>
        </w:rPr>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tbl>
      <w:tblPr>
        <w:tblStyle w:val="1050"/>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gridSpan w:val="2"/>
            <w:tcBorders/>
            <w:tcW w:w="9525" w:type="dxa"/>
            <w:vAlign w:val="center"/>
            <w:textDirection w:val="lrTb"/>
            <w:noWrap w:val="false"/>
          </w:tcPr>
          <w:p>
            <w:pPr>
              <w:pBdr/>
              <w:tabs>
                <w:tab w:val="left" w:leader="none" w:pos="2758"/>
              </w:tabs>
              <w:spacing/>
              <w:ind/>
              <w:jc w:val="center"/>
              <w:rPr>
                <w:b/>
                <w:bCs/>
                <w:i/>
              </w:rPr>
            </w:pPr>
            <w:r>
              <w:rPr>
                <w:b/>
                <w:bCs/>
                <w:i/>
                <w:iCs/>
              </w:rPr>
              <w:t xml:space="preserve">         Nhà điều hành</w:t>
            </w:r>
            <w:r>
              <w:rPr>
                <w:b/>
                <w:bCs/>
                <w:i/>
                <w:iCs/>
              </w:rPr>
              <w:tab/>
            </w:r>
            <w:r>
              <w:rPr>
                <w:b/>
                <w:bCs/>
                <w:i/>
                <w:iCs/>
              </w:rPr>
            </w:r>
            <w:r>
              <w:rPr>
                <w:b/>
                <w:bCs/>
                <w:i/>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24187" cy="226577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24069" name=""/>
                              <pic:cNvPicPr>
                                <a:picLocks noChangeAspect="1"/>
                              </pic:cNvPicPr>
                              <pic:nvPr/>
                            </pic:nvPicPr>
                            <pic:blipFill rotWithShape="1">
                              <a:blip r:embed="rId30"/>
                              <a:stretch/>
                            </pic:blipFill>
                            <pic:spPr bwMode="auto">
                              <a:xfrm flipH="0" flipV="0">
                                <a:off x="0" y="0"/>
                                <a:ext cx="3024187" cy="22657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8.12pt;height:178.41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72159" cy="222678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63531" name=""/>
                              <pic:cNvPicPr>
                                <a:picLocks noChangeAspect="1"/>
                              </pic:cNvPicPr>
                              <pic:nvPr/>
                            </pic:nvPicPr>
                            <pic:blipFill rotWithShape="1">
                              <a:blip r:embed="rId31"/>
                              <a:stretch/>
                            </pic:blipFill>
                            <pic:spPr bwMode="auto">
                              <a:xfrm flipH="0" flipV="0">
                                <a:off x="0" y="0"/>
                                <a:ext cx="2972158" cy="22267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4.03pt;height:175.34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r>
      <w:tr>
        <w:trPr/>
        <w:tc>
          <w:tcPr>
            <w:gridSpan w:val="2"/>
            <w:tcBorders/>
            <w:tcW w:w="9525" w:type="dxa"/>
            <w:vAlign w:val="center"/>
            <w:textDirection w:val="lrTb"/>
            <w:noWrap w:val="false"/>
          </w:tcPr>
          <w:p>
            <w:pPr>
              <w:pBdr/>
              <w:spacing w:after="120"/>
              <w:ind/>
              <w:jc w:val="center"/>
              <w:rPr>
                <w:b/>
                <w:bCs/>
                <w:i/>
                <w:lang w:val="pt-BR"/>
              </w:rPr>
            </w:pPr>
            <w:r>
              <w:rPr>
                <w:b/>
                <w:bCs/>
                <w:i/>
                <w:lang w:val="pt-BR"/>
              </w:rPr>
              <w:t xml:space="preserve">Xưởng sản xuất 2</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9260" cy="208975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45695" name=""/>
                              <pic:cNvPicPr>
                                <a:picLocks noChangeAspect="1"/>
                              </pic:cNvPicPr>
                              <pic:nvPr/>
                            </pic:nvPicPr>
                            <pic:blipFill rotWithShape="1">
                              <a:blip r:embed="rId32"/>
                              <a:stretch/>
                            </pic:blipFill>
                            <pic:spPr bwMode="auto">
                              <a:xfrm flipH="0" flipV="0">
                                <a:off x="0" y="0"/>
                                <a:ext cx="2789259" cy="20897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9.63pt;height:164.55pt;mso-wrap-distance-left:0.00pt;mso-wrap-distance-top:0.00pt;mso-wrap-distance-right:0.00pt;mso-wrap-distance-bottom:0.00pt;z-index:1;" stroked="false">
                      <v:imagedata r:id="rId32"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4223" cy="214592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24966" name=""/>
                              <pic:cNvPicPr>
                                <a:picLocks noChangeAspect="1"/>
                              </pic:cNvPicPr>
                              <pic:nvPr/>
                            </pic:nvPicPr>
                            <pic:blipFill rotWithShape="1">
                              <a:blip r:embed="rId33"/>
                              <a:stretch/>
                            </pic:blipFill>
                            <pic:spPr bwMode="auto">
                              <a:xfrm flipH="0" flipV="0">
                                <a:off x="0" y="0"/>
                                <a:ext cx="2864221" cy="21459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5.53pt;height:168.97pt;mso-wrap-distance-left:0.00pt;mso-wrap-distance-top:0.00pt;mso-wrap-distance-right:0.00pt;mso-wrap-distance-bottom:0.00pt;z-index:1;" stroked="false">
                      <v:imagedata r:id="rId3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1160" cy="206121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53453" name=""/>
                              <pic:cNvPicPr>
                                <a:picLocks noChangeAspect="1"/>
                              </pic:cNvPicPr>
                              <pic:nvPr/>
                            </pic:nvPicPr>
                            <pic:blipFill rotWithShape="1">
                              <a:blip r:embed="rId34"/>
                              <a:stretch/>
                            </pic:blipFill>
                            <pic:spPr bwMode="auto">
                              <a:xfrm flipH="0" flipV="0">
                                <a:off x="0" y="0"/>
                                <a:ext cx="2751159" cy="20612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6.63pt;height:162.30pt;mso-wrap-distance-left:0.00pt;mso-wrap-distance-top:0.00pt;mso-wrap-distance-right:0.00pt;mso-wrap-distance-bottom:0.00pt;z-index:1;" stroked="false">
                      <v:imagedata r:id="rId34"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94842" cy="2019019"/>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693373" name=""/>
                              <pic:cNvPicPr>
                                <a:picLocks noChangeAspect="1"/>
                              </pic:cNvPicPr>
                              <pic:nvPr/>
                            </pic:nvPicPr>
                            <pic:blipFill rotWithShape="1">
                              <a:blip r:embed="rId35"/>
                              <a:stretch/>
                            </pic:blipFill>
                            <pic:spPr bwMode="auto">
                              <a:xfrm flipH="0" flipV="0">
                                <a:off x="0" y="0"/>
                                <a:ext cx="2694841" cy="20190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2.19pt;height:158.98pt;mso-wrap-distance-left:0.00pt;mso-wrap-distance-top:0.00pt;mso-wrap-distance-right:0.00pt;mso-wrap-distance-bottom:0.00pt;z-index:1;" stroked="false">
                      <v:imagedata r:id="rId35" o:title=""/>
                      <o:lock v:ext="edit" rotation="t"/>
                    </v:shape>
                  </w:pict>
                </mc:Fallback>
              </mc:AlternateContent>
            </w:r>
            <w:r>
              <w:rPr>
                <w:b/>
                <w:bCs/>
                <w:i/>
                <w:lang w:val="pt-BR"/>
              </w:rPr>
            </w:r>
            <w:r>
              <w:rPr>
                <w:b/>
                <w:bCs/>
                <w:i/>
                <w:lang w:val="pt-BR"/>
              </w:rPr>
            </w:r>
          </w:p>
        </w:tc>
      </w:tr>
    </w:tbl>
    <w:p>
      <w:pPr>
        <w:pBdr/>
        <w:spacing/>
        <w:ind/>
        <w:rPr/>
      </w:pPr>
      <w:r>
        <w:br w:type="page" w:clear="all"/>
      </w:r>
      <w:r/>
    </w:p>
    <w:tbl>
      <w:tblPr>
        <w:tblStyle w:val="1050"/>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gridSpan w:val="2"/>
            <w:tcBorders/>
            <w:tcW w:w="9525" w:type="dxa"/>
            <w:vAlign w:val="center"/>
            <w:textDirection w:val="lrTb"/>
            <w:noWrap w:val="false"/>
          </w:tcPr>
          <w:p>
            <w:pPr>
              <w:pBdr/>
              <w:spacing w:after="120"/>
              <w:ind/>
              <w:jc w:val="center"/>
              <w:rPr>
                <w:b/>
                <w:bCs/>
                <w:i/>
                <w:lang w:val="pt-BR"/>
              </w:rPr>
            </w:pPr>
            <w:r>
              <w:rPr>
                <w:b/>
                <w:bCs/>
                <w:i/>
                <w:lang w:val="pt-BR"/>
              </w:rPr>
              <w:t xml:space="preserve">Nhà xưởng số 1</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79760" cy="223248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59542" name=""/>
                              <pic:cNvPicPr>
                                <a:picLocks noChangeAspect="1"/>
                              </pic:cNvPicPr>
                              <pic:nvPr/>
                            </pic:nvPicPr>
                            <pic:blipFill rotWithShape="1">
                              <a:blip r:embed="rId36"/>
                              <a:stretch/>
                            </pic:blipFill>
                            <pic:spPr bwMode="auto">
                              <a:xfrm flipH="0" flipV="0">
                                <a:off x="0" y="0"/>
                                <a:ext cx="2979759" cy="2232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4.63pt;height:175.79pt;mso-wrap-distance-left:0.00pt;mso-wrap-distance-top:0.00pt;mso-wrap-distance-right:0.00pt;mso-wrap-distance-bottom:0.00pt;z-index:1;" stroked="false">
                      <v:imagedata r:id="rId36"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2145" cy="215185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34170" name=""/>
                              <pic:cNvPicPr>
                                <a:picLocks noChangeAspect="1"/>
                              </pic:cNvPicPr>
                              <pic:nvPr/>
                            </pic:nvPicPr>
                            <pic:blipFill rotWithShape="1">
                              <a:blip r:embed="rId37"/>
                              <a:stretch/>
                            </pic:blipFill>
                            <pic:spPr bwMode="auto">
                              <a:xfrm flipH="0" flipV="0">
                                <a:off x="0" y="0"/>
                                <a:ext cx="2872144" cy="21518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6.15pt;height:169.44pt;mso-wrap-distance-left:0.00pt;mso-wrap-distance-top:0.00pt;mso-wrap-distance-right:0.00pt;mso-wrap-distance-bottom:0.00pt;z-index:1;" stroked="false">
                      <v:imagedata r:id="rId37"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7794" cy="226847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55690" name=""/>
                              <pic:cNvPicPr>
                                <a:picLocks noChangeAspect="1"/>
                              </pic:cNvPicPr>
                              <pic:nvPr/>
                            </pic:nvPicPr>
                            <pic:blipFill rotWithShape="1">
                              <a:blip r:embed="rId38"/>
                              <a:stretch/>
                            </pic:blipFill>
                            <pic:spPr bwMode="auto">
                              <a:xfrm flipH="0" flipV="0">
                                <a:off x="0" y="0"/>
                                <a:ext cx="3027793" cy="22684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8.41pt;height:178.62pt;mso-wrap-distance-left:0.00pt;mso-wrap-distance-top:0.00pt;mso-wrap-distance-right:0.00pt;mso-wrap-distance-bottom:0.00pt;z-index:1;" stroked="false">
                      <v:imagedata r:id="rId38"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86769" cy="253742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85015" name=""/>
                              <pic:cNvPicPr>
                                <a:picLocks noChangeAspect="1"/>
                              </pic:cNvPicPr>
                              <pic:nvPr/>
                            </pic:nvPicPr>
                            <pic:blipFill rotWithShape="1">
                              <a:blip r:embed="rId39"/>
                              <a:stretch/>
                            </pic:blipFill>
                            <pic:spPr bwMode="auto">
                              <a:xfrm flipH="0" flipV="0">
                                <a:off x="0" y="0"/>
                                <a:ext cx="3386769" cy="25374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66.67pt;height:199.80pt;mso-wrap-distance-left:0.00pt;mso-wrap-distance-top:0.00pt;mso-wrap-distance-right:0.00pt;mso-wrap-distance-bottom:0.00pt;z-index:1;" stroked="false">
                      <v:imagedata r:id="rId39" o:title=""/>
                      <o:lock v:ext="edit" rotation="t"/>
                    </v:shape>
                  </w:pict>
                </mc:Fallback>
              </mc:AlternateContent>
            </w:r>
            <w:r>
              <w:rPr>
                <w:i/>
                <w:lang w:val="pt-BR"/>
              </w:rPr>
            </w:r>
            <w:r>
              <w:rPr>
                <w:i/>
                <w:lang w:val="pt-BR"/>
              </w:rPr>
            </w:r>
          </w:p>
        </w:tc>
      </w:tr>
    </w:tbl>
    <w:p>
      <w:pPr>
        <w:pBdr/>
        <w:spacing w:after="200" w:line="276" w:lineRule="auto"/>
        <w:ind/>
        <w:rPr>
          <w:highlight w:val="none"/>
        </w:rPr>
      </w:pPr>
      <w:r>
        <w:br w:type="page" w:clear="all"/>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275/2026/0434/VFI-BC.39.A</w:t>
      </w:r>
      <w:r>
        <w:rPr>
          <w:i/>
        </w:rPr>
        <w:t xml:space="preserve"> </w:t>
      </w:r>
      <w:r>
        <w:rPr>
          <w:i/>
        </w:rPr>
        <w:t xml:space="preserve">ngày</w:t>
      </w:r>
      <w:r>
        <w:rPr>
          <w:i/>
          <w:lang w:val="pt-BR"/>
        </w:rPr>
        <w:t xml:space="preserve"> </w:t>
      </w:r>
      <w:r>
        <w:rPr>
          <w:i/>
          <w:lang w:val="pt-BR"/>
        </w:rPr>
        <w:t xml:space="preserve">20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0909 437 832</w:t>
            </w:r>
            <w:r>
              <w:rPr>
                <w:sz w:val="22"/>
                <w:szCs w:val="22"/>
              </w:rPr>
              <w:t xml:space="preserve"> </w:t>
            </w:r>
            <w:r>
              <w:rPr>
                <w:sz w:val="22"/>
                <w:szCs w:val="22"/>
              </w:rPr>
              <w:br/>
              <w:t xml:space="preserve">(Tấn Lộc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101.875.508.000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91.687.957.200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khu công nghiệp (22118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khu công nghiệp – Có thời hạn (đến 29/01/2058, 32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Dự án Mỹ Phước 3, Xã Thới Hòa, Thị xã Bến Cát, Tỉnh Bình Dương (Nay là Phường Thới Hòa, Thành phố Hồ Chí Minh)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22118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65481"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57654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53.97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9416"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14294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12.55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Đinh Thị Lan Hương</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https://batdongsan.com.vn/ban-kho-nha-xuong-xa-an-tay/can-ban-trong-kcn-viet-huong-ii-ben-cat-binh-duong-pr42363936?gidzl=2xmEJUFBuW09f0fDuDRX00Uk0KFtthe0IwvKIgNMlWSQf51AfuEz14hpKaZrWB9MIATV7Z7UGTbwuSxl3W</w:t>
            </w:r>
            <w:r>
              <w:rPr>
                <w:color w:val="000000" w:themeColor="text1"/>
                <w:sz w:val="22"/>
                <w:szCs w:val="22"/>
              </w:rPr>
              <w:br/>
              <w:t xml:space="preserve">0939510208</w:t>
            </w:r>
            <w:r>
              <w:rPr>
                <w:sz w:val="22"/>
                <w:szCs w:val="22"/>
              </w:rPr>
              <w:t xml:space="preserve"> </w:t>
            </w:r>
            <w:r>
              <w:rPr>
                <w:sz w:val="22"/>
                <w:szCs w:val="22"/>
              </w:rPr>
              <w:br/>
              <w:t xml:space="preserve">(Kim Lân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khu công nghiệp (10000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khu công nghiệp – Có thời hạn (đến 28/09/2053, 27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KCN Việt Hương, Xã An Điền, Thị xã Bến Cát, Tỉnh Bình Dương (Nay là phường Tây Nam, Thành phố Hồ Chí Minh)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59490" cy="2266709"/>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flipH="0" flipV="0">
                                <a:off x="0" y="0"/>
                                <a:ext cx="3359489" cy="22667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64.53pt;height:178.48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06940" cy="273631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flipH="0" flipV="0">
                                <a:off x="0" y="0"/>
                                <a:ext cx="2006939" cy="27363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58.03pt;height:215.46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13468" cy="1945735"/>
                      <wp:effectExtent l="0" t="0" r="0" b="0"/>
                      <wp:docPr id="27" name=""/>
                      <wp:cNvGraphicFramePr/>
                      <a:graphic xmlns:a="http://schemas.openxmlformats.org/drawingml/2006/main">
                        <a:graphicData uri="http://schemas.openxmlformats.org/drawingml/2006/picture">
                          <pic:pic xmlns:pic="http://schemas.openxmlformats.org/drawingml/2006/picture">
                            <pic:nvPicPr>
                              <pic:cNvPr id="1800390548" name="" descr=""/>
                              <pic:cNvPicPr/>
                              <pic:nvPr/>
                            </pic:nvPicPr>
                            <pic:blipFill rotWithShape="1">
                              <a:blip r:embed="rId44"/>
                              <a:stretch/>
                            </pic:blipFill>
                            <pic:spPr bwMode="auto">
                              <a:xfrm flipH="0" flipV="0">
                                <a:off x="0" y="0"/>
                                <a:ext cx="3413468" cy="19457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68.78pt;height:153.21pt;mso-wrap-distance-left:0.00pt;mso-wrap-distance-top:0.00pt;mso-wrap-distance-right:0.00pt;mso-wrap-distance-bottom:0.00pt;z-index:1;" stroked="false">
                      <v:imagedata r:id="rId44"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1510605" cy="1793335"/>
                      <wp:effectExtent l="0" t="0" r="0" b="0"/>
                      <wp:docPr id="28" name=""/>
                      <wp:cNvGraphicFramePr/>
                      <a:graphic xmlns:a="http://schemas.openxmlformats.org/drawingml/2006/main">
                        <a:graphicData uri="http://schemas.openxmlformats.org/drawingml/2006/picture">
                          <pic:pic xmlns:pic="http://schemas.openxmlformats.org/drawingml/2006/picture">
                            <pic:nvPicPr>
                              <pic:cNvPr id="2010008943" name="" descr=""/>
                              <pic:cNvPicPr/>
                              <pic:nvPr/>
                            </pic:nvPicPr>
                            <pic:blipFill rotWithShape="1">
                              <a:blip r:embed="rId45"/>
                              <a:stretch/>
                            </pic:blipFill>
                            <pic:spPr bwMode="auto">
                              <a:xfrm rot="0" flipH="0" flipV="0">
                                <a:off x="0" y="0"/>
                                <a:ext cx="1510605" cy="1793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18.95pt;height:141.21pt;mso-wrap-distance-left:0.00pt;mso-wrap-distance-top:0.00pt;mso-wrap-distance-right:0.00pt;mso-wrap-distance-bottom:0.00pt;rotation:0;z-index:1;" stroked="false">
                      <v:imagedata r:id="rId4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45040" cy="2740153"/>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6"/>
                              <a:stretch/>
                            </pic:blipFill>
                            <pic:spPr bwMode="auto">
                              <a:xfrm flipH="0" flipV="0">
                                <a:off x="0" y="0"/>
                                <a:ext cx="2045039" cy="27401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61.03pt;height:215.76pt;mso-wrap-distance-left:0.00pt;mso-wrap-distance-top:0.00pt;mso-wrap-distance-right:0.00pt;mso-wrap-distance-bottom:0.00pt;z-index:1;" stroked="false">
                      <v:imagedata r:id="rId4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80704"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939025662" name="" descr=""/>
                              <pic:cNvPicPr/>
                              <pic:nvPr/>
                            </pic:nvPicPr>
                            <pic:blipFill rotWithShape="1">
                              <a:blip r:embed="rId47"/>
                              <a:stretch/>
                            </pic:blipFill>
                            <pic:spPr bwMode="auto">
                              <a:xfrm rot="0" flipH="0" flipV="0">
                                <a:off x="0" y="0"/>
                                <a:ext cx="208070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63.83pt;height:250.00pt;mso-wrap-distance-left:0.00pt;mso-wrap-distance-top:0.00pt;mso-wrap-distance-right:0.00pt;mso-wrap-distance-bottom:0.00pt;rotation:0;z-index:1;" stroked="false">
                      <v:imagedata r:id="rId4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https://batdongsan.com.vn/ban-kho-nha-xuong-phuong-my-phuoc/can-ban-dau-tu-9000m2-trong-kcn-ben-cat-binh-duong-pr43920419?gidzl=BICBHoNSn5OlEmz79i77MI0x3KSmmvLOR3jOJcBBaLyzCLnEO9wIN6rcNamodPqERp9J6Z4-oVec9zd9M0</w:t>
            </w:r>
            <w:r>
              <w:rPr>
                <w:color w:val="000000" w:themeColor="text1"/>
                <w:sz w:val="22"/>
                <w:szCs w:val="22"/>
              </w:rPr>
              <w:br/>
            </w:r>
            <w:r>
              <w:rPr>
                <w:sz w:val="22"/>
                <w:szCs w:val="22"/>
              </w:rPr>
              <w:t xml:space="preserve">SĐT: </w:t>
            </w:r>
            <w:r>
              <w:rPr>
                <w:color w:val="000000" w:themeColor="text1"/>
                <w:sz w:val="22"/>
                <w:szCs w:val="22"/>
              </w:rPr>
              <w:t xml:space="preserve">0847615678</w:t>
            </w:r>
            <w:r>
              <w:rPr>
                <w:sz w:val="22"/>
                <w:szCs w:val="22"/>
              </w:rPr>
              <w:t xml:space="preserve"> </w:t>
            </w:r>
            <w:r>
              <w:rPr>
                <w:sz w:val="22"/>
                <w:szCs w:val="22"/>
              </w:rPr>
              <w:br/>
              <w:t xml:space="preserve">(Minh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khu công nghiệp (12000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khu công nghiệp – Có thời hạn (đến 20/06/2056, 30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Dự án Mỹ Phước 3, Xã Thới Hòa, Thị xã Bến Cát, Tỉnh Bình Dương (Nay là Phường Thới Hòa, Thành phố Hồ Chí Minh)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8"/>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15.38pt;height:250.00pt;mso-wrap-distance-left:0.00pt;mso-wrap-distance-top:0.00pt;mso-wrap-distance-right:0.00pt;mso-wrap-distance-bottom:0.00pt;z-index:1;" stroked="false">
                      <v:imagedata r:id="rId4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385"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9"/>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15.38pt;height:250.00pt;mso-wrap-distance-left:0.00pt;mso-wrap-distance-top:0.00pt;mso-wrap-distance-right:0.00pt;mso-wrap-distance-bottom:0.00pt;z-index:1;" stroked="false">
                      <v:imagedata r:id="rId4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385"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0"/>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15.38pt;height:250.00pt;mso-wrap-distance-left:0.00pt;mso-wrap-distance-top:0.00pt;mso-wrap-distance-right:0.00pt;mso-wrap-distance-bottom:0.00pt;z-index:1;" stroked="false">
                      <v:imagedata r:id="rId5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65266" cy="3175000"/>
                      <wp:effectExtent l="0" t="0" r="0" b="0"/>
                      <wp:docPr id="3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1"/>
                              <a:stretch/>
                            </pic:blipFill>
                            <pic:spPr bwMode="auto">
                              <a:xfrm>
                                <a:off x="0" y="0"/>
                                <a:ext cx="43652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343.72pt;height:250.00pt;mso-wrap-distance-left:0.00pt;mso-wrap-distance-top:0.00pt;mso-wrap-distance-right:0.00pt;mso-wrap-distance-bottom:0.00pt;z-index:1;" stroked="false">
                      <v:imagedata r:id="rId5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3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333.33pt;height:250.00pt;mso-wrap-distance-left:0.00pt;mso-wrap-distance-top:0.00pt;mso-wrap-distance-right:0.00pt;mso-wrap-distance-bottom:0.00pt;z-index:1;" stroked="false">
                      <v:imagedata r:id="rId5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Đinh Thị Lan Hương</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06DBBF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44E6FF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406DBBF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044E6FF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1F09F69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481BBD3E"/>
    <w:lvl w:ilvl="0">
      <w:isLgl w:val="false"/>
      <w:lvlJc w:val="left"/>
      <w:lvlText w:val="-"/>
      <w:numFmt w:val="bullet"/>
      <w:pPr>
        <w:pBdr/>
        <w:spacing/>
        <w:ind w:hanging="360" w:left="1080"/>
      </w:pPr>
      <w:rPr>
        <w:rFonts w:hint="default" w:ascii="Symbol" w:hAnsi="Symbol" w:eastAsia="Symbol" w:cs="Symbol"/>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4">
    <w:nsid w:val="1F09F69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481BBD3E"/>
    <w:lvl w:ilvl="0">
      <w:isLgl w:val="false"/>
      <w:lvlJc w:val="left"/>
      <w:lvlText w:val="-"/>
      <w:numFmt w:val="bullet"/>
      <w:pPr>
        <w:pBdr/>
        <w:spacing/>
        <w:ind w:hanging="360" w:left="1080"/>
      </w:pPr>
      <w:rPr>
        <w:rFonts w:hint="default" w:ascii="Symbol" w:hAnsi="Symbol" w:eastAsia="Symbol" w:cs="Symbol"/>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6">
    <w:nsid w:val="1F09F69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7">
    <w:nsid w:val="481BBD3E"/>
    <w:lvl w:ilvl="0">
      <w:isLgl w:val="false"/>
      <w:lvlJc w:val="left"/>
      <w:lvlText w:val="-"/>
      <w:numFmt w:val="bullet"/>
      <w:pPr>
        <w:pBdr/>
        <w:spacing/>
        <w:ind w:hanging="360" w:left="1080"/>
      </w:pPr>
      <w:rPr>
        <w:rFonts w:hint="default" w:ascii="Symbol" w:hAnsi="Symbol" w:eastAsia="Symbol" w:cs="Symbol"/>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8">
    <w:name w:val="Table Grid Light"/>
    <w:basedOn w:val="103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1"/>
    <w:basedOn w:val="103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2"/>
    <w:basedOn w:val="103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3"/>
    <w:basedOn w:val="10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4"/>
    <w:basedOn w:val="10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5"/>
    <w:basedOn w:val="10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w:basedOn w:val="103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1"/>
    <w:basedOn w:val="103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2"/>
    <w:basedOn w:val="103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3"/>
    <w:basedOn w:val="103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4"/>
    <w:basedOn w:val="103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5"/>
    <w:basedOn w:val="103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6"/>
    <w:basedOn w:val="103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w:basedOn w:val="103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1"/>
    <w:basedOn w:val="103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2"/>
    <w:basedOn w:val="103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3"/>
    <w:basedOn w:val="103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4"/>
    <w:basedOn w:val="103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5"/>
    <w:basedOn w:val="103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6"/>
    <w:basedOn w:val="103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w:basedOn w:val="103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1"/>
    <w:basedOn w:val="103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2"/>
    <w:basedOn w:val="103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3"/>
    <w:basedOn w:val="103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4"/>
    <w:basedOn w:val="103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5"/>
    <w:basedOn w:val="103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6"/>
    <w:basedOn w:val="103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w:basedOn w:val="103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1"/>
    <w:basedOn w:val="103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2"/>
    <w:basedOn w:val="103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3"/>
    <w:basedOn w:val="103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4"/>
    <w:basedOn w:val="103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5"/>
    <w:basedOn w:val="103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6"/>
    <w:basedOn w:val="103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1"/>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2"/>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3"/>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Accent 4"/>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5"/>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6"/>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6 Colorful"/>
    <w:basedOn w:val="103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0">
    <w:name w:val="Grid Table 6 Colorful - Accent 1"/>
    <w:basedOn w:val="103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1">
    <w:name w:val="Grid Table 6 Colorful - Accent 2"/>
    <w:basedOn w:val="103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2">
    <w:name w:val="Grid Table 6 Colorful - Accent 3"/>
    <w:basedOn w:val="103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3">
    <w:name w:val="Grid Table 6 Colorful - Accent 4"/>
    <w:basedOn w:val="103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4">
    <w:name w:val="Grid Table 6 Colorful - Accent 5"/>
    <w:basedOn w:val="103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6 Colorful - Accent 6"/>
    <w:basedOn w:val="103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6">
    <w:name w:val="Grid Table 7 Colorful"/>
    <w:basedOn w:val="103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1"/>
    <w:basedOn w:val="103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2"/>
    <w:basedOn w:val="103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3"/>
    <w:basedOn w:val="103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4"/>
    <w:basedOn w:val="103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5"/>
    <w:basedOn w:val="103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6"/>
    <w:basedOn w:val="103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1"/>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2"/>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3"/>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4"/>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5"/>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6"/>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w:basedOn w:val="103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1"/>
    <w:basedOn w:val="103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2"/>
    <w:basedOn w:val="103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3"/>
    <w:basedOn w:val="103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4"/>
    <w:basedOn w:val="103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5"/>
    <w:basedOn w:val="103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6"/>
    <w:basedOn w:val="103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w:basedOn w:val="103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1"/>
    <w:basedOn w:val="103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2"/>
    <w:basedOn w:val="103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3"/>
    <w:basedOn w:val="103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4"/>
    <w:basedOn w:val="103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5"/>
    <w:basedOn w:val="103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6"/>
    <w:basedOn w:val="103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w:basedOn w:val="103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1"/>
    <w:basedOn w:val="103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2"/>
    <w:basedOn w:val="103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3"/>
    <w:basedOn w:val="103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4"/>
    <w:basedOn w:val="103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5"/>
    <w:basedOn w:val="103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6"/>
    <w:basedOn w:val="103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5 Dark"/>
    <w:basedOn w:val="103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1"/>
    <w:basedOn w:val="103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2"/>
    <w:basedOn w:val="103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3"/>
    <w:basedOn w:val="103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4"/>
    <w:basedOn w:val="103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5"/>
    <w:basedOn w:val="103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6"/>
    <w:basedOn w:val="103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6 Colorful"/>
    <w:basedOn w:val="103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1"/>
    <w:basedOn w:val="103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2"/>
    <w:basedOn w:val="103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3"/>
    <w:basedOn w:val="103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4"/>
    <w:basedOn w:val="103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5"/>
    <w:basedOn w:val="103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6"/>
    <w:basedOn w:val="103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7 Colorful"/>
    <w:basedOn w:val="103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6">
    <w:name w:val="List Table 7 Colorful - Accent 1"/>
    <w:basedOn w:val="103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7">
    <w:name w:val="List Table 7 Colorful - Accent 2"/>
    <w:basedOn w:val="103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8">
    <w:name w:val="List Table 7 Colorful - Accent 3"/>
    <w:basedOn w:val="103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9">
    <w:name w:val="List Table 7 Colorful - Accent 4"/>
    <w:basedOn w:val="103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0">
    <w:name w:val="List Table 7 Colorful - Accent 5"/>
    <w:basedOn w:val="103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1">
    <w:name w:val="List Table 7 Colorful - Accent 6"/>
    <w:basedOn w:val="103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2">
    <w:name w:val="Lined - Accent"/>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1"/>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2"/>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3"/>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4"/>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5"/>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6"/>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w:basedOn w:val="103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1"/>
    <w:basedOn w:val="103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2"/>
    <w:basedOn w:val="103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3"/>
    <w:basedOn w:val="103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4"/>
    <w:basedOn w:val="103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5"/>
    <w:basedOn w:val="103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6"/>
    <w:basedOn w:val="103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w:basedOn w:val="103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1"/>
    <w:basedOn w:val="103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2"/>
    <w:basedOn w:val="103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3"/>
    <w:basedOn w:val="103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4"/>
    <w:basedOn w:val="103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5"/>
    <w:basedOn w:val="103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6"/>
    <w:basedOn w:val="103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3">
    <w:name w:val="Heading 5"/>
    <w:basedOn w:val="1024"/>
    <w:next w:val="1024"/>
    <w:link w:val="98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4">
    <w:name w:val="Heading 6"/>
    <w:basedOn w:val="1024"/>
    <w:next w:val="1024"/>
    <w:link w:val="98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5">
    <w:name w:val="Heading 7"/>
    <w:basedOn w:val="1024"/>
    <w:next w:val="1024"/>
    <w:link w:val="99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6">
    <w:name w:val="Heading 8"/>
    <w:basedOn w:val="1024"/>
    <w:next w:val="1024"/>
    <w:link w:val="99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7">
    <w:name w:val="Heading 9"/>
    <w:basedOn w:val="1024"/>
    <w:next w:val="1024"/>
    <w:link w:val="99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8">
    <w:name w:val="Heading 5 Char"/>
    <w:basedOn w:val="1029"/>
    <w:link w:val="983"/>
    <w:uiPriority w:val="9"/>
    <w:pPr>
      <w:pBdr/>
      <w:spacing/>
      <w:ind/>
    </w:pPr>
    <w:rPr>
      <w:rFonts w:ascii="Arial" w:hAnsi="Arial" w:eastAsia="Arial" w:cs="Arial"/>
      <w:color w:val="0f4761" w:themeColor="accent1" w:themeShade="BF"/>
    </w:rPr>
  </w:style>
  <w:style w:type="character" w:styleId="989">
    <w:name w:val="Heading 6 Char"/>
    <w:basedOn w:val="1029"/>
    <w:link w:val="984"/>
    <w:uiPriority w:val="9"/>
    <w:pPr>
      <w:pBdr/>
      <w:spacing/>
      <w:ind/>
    </w:pPr>
    <w:rPr>
      <w:rFonts w:ascii="Arial" w:hAnsi="Arial" w:eastAsia="Arial" w:cs="Arial"/>
      <w:i/>
      <w:iCs/>
      <w:color w:val="595959" w:themeColor="text1" w:themeTint="A6"/>
    </w:rPr>
  </w:style>
  <w:style w:type="character" w:styleId="990">
    <w:name w:val="Heading 7 Char"/>
    <w:basedOn w:val="1029"/>
    <w:link w:val="985"/>
    <w:uiPriority w:val="9"/>
    <w:pPr>
      <w:pBdr/>
      <w:spacing/>
      <w:ind/>
    </w:pPr>
    <w:rPr>
      <w:rFonts w:ascii="Arial" w:hAnsi="Arial" w:eastAsia="Arial" w:cs="Arial"/>
      <w:color w:val="595959" w:themeColor="text1" w:themeTint="A6"/>
    </w:rPr>
  </w:style>
  <w:style w:type="character" w:styleId="991">
    <w:name w:val="Heading 8 Char"/>
    <w:basedOn w:val="1029"/>
    <w:link w:val="986"/>
    <w:uiPriority w:val="9"/>
    <w:pPr>
      <w:pBdr/>
      <w:spacing/>
      <w:ind/>
    </w:pPr>
    <w:rPr>
      <w:rFonts w:ascii="Arial" w:hAnsi="Arial" w:eastAsia="Arial" w:cs="Arial"/>
      <w:i/>
      <w:iCs/>
      <w:color w:val="272727" w:themeColor="text1" w:themeTint="D8"/>
    </w:rPr>
  </w:style>
  <w:style w:type="character" w:styleId="992">
    <w:name w:val="Heading 9 Char"/>
    <w:basedOn w:val="1029"/>
    <w:link w:val="987"/>
    <w:uiPriority w:val="9"/>
    <w:pPr>
      <w:pBdr/>
      <w:spacing/>
      <w:ind/>
    </w:pPr>
    <w:rPr>
      <w:rFonts w:ascii="Arial" w:hAnsi="Arial" w:eastAsia="Arial" w:cs="Arial"/>
      <w:i/>
      <w:iCs/>
      <w:color w:val="272727" w:themeColor="text1" w:themeTint="D8"/>
    </w:rPr>
  </w:style>
  <w:style w:type="paragraph" w:styleId="993">
    <w:name w:val="Subtitle"/>
    <w:basedOn w:val="1024"/>
    <w:next w:val="1024"/>
    <w:link w:val="994"/>
    <w:uiPriority w:val="11"/>
    <w:qFormat/>
    <w:pPr>
      <w:numPr>
        <w:ilvl w:val="1"/>
      </w:numPr>
      <w:pBdr/>
      <w:spacing/>
      <w:ind/>
    </w:pPr>
    <w:rPr>
      <w:color w:val="595959" w:themeColor="text1" w:themeTint="A6"/>
      <w:spacing w:val="15"/>
      <w:sz w:val="28"/>
      <w:szCs w:val="28"/>
    </w:rPr>
  </w:style>
  <w:style w:type="character" w:styleId="994">
    <w:name w:val="Subtitle Char"/>
    <w:basedOn w:val="1029"/>
    <w:link w:val="993"/>
    <w:uiPriority w:val="11"/>
    <w:pPr>
      <w:pBdr/>
      <w:spacing/>
      <w:ind/>
    </w:pPr>
    <w:rPr>
      <w:color w:val="595959" w:themeColor="text1" w:themeTint="A6"/>
      <w:spacing w:val="15"/>
      <w:sz w:val="28"/>
      <w:szCs w:val="28"/>
    </w:rPr>
  </w:style>
  <w:style w:type="paragraph" w:styleId="995">
    <w:name w:val="Quote"/>
    <w:basedOn w:val="1024"/>
    <w:next w:val="1024"/>
    <w:link w:val="996"/>
    <w:uiPriority w:val="29"/>
    <w:qFormat/>
    <w:pPr>
      <w:pBdr/>
      <w:spacing w:before="160"/>
      <w:ind/>
      <w:jc w:val="center"/>
    </w:pPr>
    <w:rPr>
      <w:i/>
      <w:iCs/>
      <w:color w:val="404040" w:themeColor="text1" w:themeTint="BF"/>
    </w:rPr>
  </w:style>
  <w:style w:type="character" w:styleId="996">
    <w:name w:val="Quote Char"/>
    <w:basedOn w:val="1029"/>
    <w:link w:val="995"/>
    <w:uiPriority w:val="29"/>
    <w:pPr>
      <w:pBdr/>
      <w:spacing/>
      <w:ind/>
    </w:pPr>
    <w:rPr>
      <w:i/>
      <w:iCs/>
      <w:color w:val="404040" w:themeColor="text1" w:themeTint="BF"/>
    </w:rPr>
  </w:style>
  <w:style w:type="character" w:styleId="997">
    <w:name w:val="Intense Emphasis"/>
    <w:basedOn w:val="1029"/>
    <w:uiPriority w:val="21"/>
    <w:qFormat/>
    <w:pPr>
      <w:pBdr/>
      <w:spacing/>
      <w:ind/>
    </w:pPr>
    <w:rPr>
      <w:i/>
      <w:iCs/>
      <w:color w:val="0f4761" w:themeColor="accent1" w:themeShade="BF"/>
    </w:rPr>
  </w:style>
  <w:style w:type="paragraph" w:styleId="998">
    <w:name w:val="Intense Quote"/>
    <w:basedOn w:val="1024"/>
    <w:next w:val="1024"/>
    <w:link w:val="99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9">
    <w:name w:val="Intense Quote Char"/>
    <w:basedOn w:val="1029"/>
    <w:link w:val="998"/>
    <w:uiPriority w:val="30"/>
    <w:pPr>
      <w:pBdr/>
      <w:spacing/>
      <w:ind/>
    </w:pPr>
    <w:rPr>
      <w:i/>
      <w:iCs/>
      <w:color w:val="0f4761" w:themeColor="accent1" w:themeShade="BF"/>
    </w:rPr>
  </w:style>
  <w:style w:type="character" w:styleId="1000">
    <w:name w:val="Intense Reference"/>
    <w:basedOn w:val="1029"/>
    <w:uiPriority w:val="32"/>
    <w:qFormat/>
    <w:pPr>
      <w:pBdr/>
      <w:spacing/>
      <w:ind/>
    </w:pPr>
    <w:rPr>
      <w:b/>
      <w:bCs/>
      <w:smallCaps/>
      <w:color w:val="0f4761" w:themeColor="accent1" w:themeShade="BF"/>
      <w:spacing w:val="5"/>
    </w:rPr>
  </w:style>
  <w:style w:type="paragraph" w:styleId="1001">
    <w:name w:val="No Spacing"/>
    <w:basedOn w:val="1024"/>
    <w:uiPriority w:val="1"/>
    <w:qFormat/>
    <w:pPr>
      <w:pBdr/>
      <w:spacing w:after="0" w:line="240" w:lineRule="auto"/>
      <w:ind/>
    </w:pPr>
  </w:style>
  <w:style w:type="character" w:styleId="1002">
    <w:name w:val="Subtle Emphasis"/>
    <w:basedOn w:val="1029"/>
    <w:uiPriority w:val="19"/>
    <w:qFormat/>
    <w:pPr>
      <w:pBdr/>
      <w:spacing/>
      <w:ind/>
    </w:pPr>
    <w:rPr>
      <w:i/>
      <w:iCs/>
      <w:color w:val="404040" w:themeColor="text1" w:themeTint="BF"/>
    </w:rPr>
  </w:style>
  <w:style w:type="character" w:styleId="1003">
    <w:name w:val="Subtle Reference"/>
    <w:basedOn w:val="1029"/>
    <w:uiPriority w:val="31"/>
    <w:qFormat/>
    <w:pPr>
      <w:pBdr/>
      <w:spacing/>
      <w:ind/>
    </w:pPr>
    <w:rPr>
      <w:smallCaps/>
      <w:color w:val="5a5a5a" w:themeColor="text1" w:themeTint="A5"/>
    </w:rPr>
  </w:style>
  <w:style w:type="character" w:styleId="1004">
    <w:name w:val="Book Title"/>
    <w:basedOn w:val="1029"/>
    <w:uiPriority w:val="33"/>
    <w:qFormat/>
    <w:pPr>
      <w:pBdr/>
      <w:spacing/>
      <w:ind/>
    </w:pPr>
    <w:rPr>
      <w:b/>
      <w:bCs/>
      <w:i/>
      <w:iCs/>
      <w:spacing w:val="5"/>
    </w:rPr>
  </w:style>
  <w:style w:type="paragraph" w:styleId="1005">
    <w:name w:val="Caption"/>
    <w:basedOn w:val="1024"/>
    <w:next w:val="1024"/>
    <w:uiPriority w:val="35"/>
    <w:unhideWhenUsed/>
    <w:qFormat/>
    <w:pPr>
      <w:pBdr/>
      <w:spacing w:after="200" w:line="240" w:lineRule="auto"/>
      <w:ind/>
    </w:pPr>
    <w:rPr>
      <w:i/>
      <w:iCs/>
      <w:color w:val="0e2841" w:themeColor="text2"/>
      <w:sz w:val="18"/>
      <w:szCs w:val="18"/>
    </w:rPr>
  </w:style>
  <w:style w:type="paragraph" w:styleId="1006">
    <w:name w:val="footnote text"/>
    <w:basedOn w:val="1024"/>
    <w:link w:val="1007"/>
    <w:uiPriority w:val="99"/>
    <w:semiHidden/>
    <w:unhideWhenUsed/>
    <w:pPr>
      <w:pBdr/>
      <w:spacing w:after="0" w:line="240" w:lineRule="auto"/>
      <w:ind/>
    </w:pPr>
    <w:rPr>
      <w:sz w:val="20"/>
      <w:szCs w:val="20"/>
    </w:rPr>
  </w:style>
  <w:style w:type="character" w:styleId="1007">
    <w:name w:val="Footnote Text Char"/>
    <w:basedOn w:val="1029"/>
    <w:link w:val="1006"/>
    <w:uiPriority w:val="99"/>
    <w:semiHidden/>
    <w:pPr>
      <w:pBdr/>
      <w:spacing/>
      <w:ind/>
    </w:pPr>
    <w:rPr>
      <w:sz w:val="20"/>
      <w:szCs w:val="20"/>
    </w:rPr>
  </w:style>
  <w:style w:type="character" w:styleId="1008">
    <w:name w:val="footnote reference"/>
    <w:basedOn w:val="1029"/>
    <w:uiPriority w:val="99"/>
    <w:semiHidden/>
    <w:unhideWhenUsed/>
    <w:pPr>
      <w:pBdr/>
      <w:spacing/>
      <w:ind/>
    </w:pPr>
    <w:rPr>
      <w:vertAlign w:val="superscript"/>
    </w:rPr>
  </w:style>
  <w:style w:type="paragraph" w:styleId="1009">
    <w:name w:val="endnote text"/>
    <w:basedOn w:val="1024"/>
    <w:link w:val="1010"/>
    <w:uiPriority w:val="99"/>
    <w:semiHidden/>
    <w:unhideWhenUsed/>
    <w:pPr>
      <w:pBdr/>
      <w:spacing w:after="0" w:line="240" w:lineRule="auto"/>
      <w:ind/>
    </w:pPr>
    <w:rPr>
      <w:sz w:val="20"/>
      <w:szCs w:val="20"/>
    </w:rPr>
  </w:style>
  <w:style w:type="character" w:styleId="1010">
    <w:name w:val="Endnote Text Char"/>
    <w:basedOn w:val="1029"/>
    <w:link w:val="1009"/>
    <w:uiPriority w:val="99"/>
    <w:semiHidden/>
    <w:pPr>
      <w:pBdr/>
      <w:spacing/>
      <w:ind/>
    </w:pPr>
    <w:rPr>
      <w:sz w:val="20"/>
      <w:szCs w:val="20"/>
    </w:rPr>
  </w:style>
  <w:style w:type="character" w:styleId="1011">
    <w:name w:val="endnote reference"/>
    <w:basedOn w:val="1029"/>
    <w:uiPriority w:val="99"/>
    <w:semiHidden/>
    <w:unhideWhenUsed/>
    <w:pPr>
      <w:pBdr/>
      <w:spacing/>
      <w:ind/>
    </w:pPr>
    <w:rPr>
      <w:vertAlign w:val="superscript"/>
    </w:rPr>
  </w:style>
  <w:style w:type="paragraph" w:styleId="1012">
    <w:name w:val="toc 1"/>
    <w:basedOn w:val="1024"/>
    <w:next w:val="1024"/>
    <w:uiPriority w:val="39"/>
    <w:unhideWhenUsed/>
    <w:pPr>
      <w:pBdr/>
      <w:spacing w:after="100"/>
      <w:ind/>
    </w:pPr>
  </w:style>
  <w:style w:type="paragraph" w:styleId="1013">
    <w:name w:val="toc 2"/>
    <w:basedOn w:val="1024"/>
    <w:next w:val="1024"/>
    <w:uiPriority w:val="39"/>
    <w:unhideWhenUsed/>
    <w:pPr>
      <w:pBdr/>
      <w:spacing w:after="100"/>
      <w:ind w:left="220"/>
    </w:pPr>
  </w:style>
  <w:style w:type="paragraph" w:styleId="1014">
    <w:name w:val="toc 3"/>
    <w:basedOn w:val="1024"/>
    <w:next w:val="1024"/>
    <w:uiPriority w:val="39"/>
    <w:unhideWhenUsed/>
    <w:pPr>
      <w:pBdr/>
      <w:spacing w:after="100"/>
      <w:ind w:left="440"/>
    </w:pPr>
  </w:style>
  <w:style w:type="paragraph" w:styleId="1015">
    <w:name w:val="toc 4"/>
    <w:basedOn w:val="1024"/>
    <w:next w:val="1024"/>
    <w:uiPriority w:val="39"/>
    <w:unhideWhenUsed/>
    <w:pPr>
      <w:pBdr/>
      <w:spacing w:after="100"/>
      <w:ind w:left="660"/>
    </w:pPr>
  </w:style>
  <w:style w:type="paragraph" w:styleId="1016">
    <w:name w:val="toc 5"/>
    <w:basedOn w:val="1024"/>
    <w:next w:val="1024"/>
    <w:uiPriority w:val="39"/>
    <w:unhideWhenUsed/>
    <w:pPr>
      <w:pBdr/>
      <w:spacing w:after="100"/>
      <w:ind w:left="880"/>
    </w:pPr>
  </w:style>
  <w:style w:type="paragraph" w:styleId="1017">
    <w:name w:val="toc 6"/>
    <w:basedOn w:val="1024"/>
    <w:next w:val="1024"/>
    <w:uiPriority w:val="39"/>
    <w:unhideWhenUsed/>
    <w:pPr>
      <w:pBdr/>
      <w:spacing w:after="100"/>
      <w:ind w:left="1100"/>
    </w:pPr>
  </w:style>
  <w:style w:type="paragraph" w:styleId="1018">
    <w:name w:val="toc 7"/>
    <w:basedOn w:val="1024"/>
    <w:next w:val="1024"/>
    <w:uiPriority w:val="39"/>
    <w:unhideWhenUsed/>
    <w:pPr>
      <w:pBdr/>
      <w:spacing w:after="100"/>
      <w:ind w:left="1320"/>
    </w:pPr>
  </w:style>
  <w:style w:type="paragraph" w:styleId="1019">
    <w:name w:val="toc 8"/>
    <w:basedOn w:val="1024"/>
    <w:next w:val="1024"/>
    <w:uiPriority w:val="39"/>
    <w:unhideWhenUsed/>
    <w:pPr>
      <w:pBdr/>
      <w:spacing w:after="100"/>
      <w:ind w:left="1540"/>
    </w:pPr>
  </w:style>
  <w:style w:type="paragraph" w:styleId="1020">
    <w:name w:val="toc 9"/>
    <w:basedOn w:val="1024"/>
    <w:next w:val="1024"/>
    <w:uiPriority w:val="39"/>
    <w:unhideWhenUsed/>
    <w:pPr>
      <w:pBdr/>
      <w:spacing w:after="100"/>
      <w:ind w:left="1760"/>
    </w:pPr>
  </w:style>
  <w:style w:type="character" w:styleId="1021">
    <w:name w:val="Placeholder Text"/>
    <w:basedOn w:val="1029"/>
    <w:uiPriority w:val="99"/>
    <w:semiHidden/>
    <w:pPr>
      <w:pBdr/>
      <w:spacing/>
      <w:ind/>
    </w:pPr>
    <w:rPr>
      <w:color w:val="666666"/>
    </w:rPr>
  </w:style>
  <w:style w:type="paragraph" w:styleId="1022">
    <w:name w:val="TOC Heading"/>
    <w:uiPriority w:val="39"/>
    <w:unhideWhenUsed/>
    <w:pPr>
      <w:pBdr/>
      <w:spacing/>
      <w:ind/>
    </w:pPr>
  </w:style>
  <w:style w:type="paragraph" w:styleId="1023">
    <w:name w:val="table of figures"/>
    <w:basedOn w:val="1024"/>
    <w:next w:val="1024"/>
    <w:uiPriority w:val="99"/>
    <w:unhideWhenUsed/>
    <w:pPr>
      <w:pBdr/>
      <w:spacing w:after="0" w:afterAutospacing="0"/>
      <w:ind/>
    </w:pPr>
  </w:style>
  <w:style w:type="paragraph" w:styleId="1024" w:default="1">
    <w:name w:val="Normal"/>
    <w:qFormat/>
    <w:pPr>
      <w:pBdr/>
      <w:spacing w:after="0" w:line="240" w:lineRule="auto"/>
      <w:ind/>
    </w:pPr>
    <w:rPr>
      <w:rFonts w:ascii="Times New Roman" w:hAnsi="Times New Roman" w:eastAsia="Times New Roman" w:cs="Times New Roman"/>
      <w:sz w:val="24"/>
      <w:szCs w:val="24"/>
    </w:rPr>
  </w:style>
  <w:style w:type="paragraph" w:styleId="1025">
    <w:name w:val="Heading 1"/>
    <w:basedOn w:val="1024"/>
    <w:next w:val="1024"/>
    <w:link w:val="1032"/>
    <w:qFormat/>
    <w:pPr>
      <w:keepNext w:val="true"/>
      <w:pBdr/>
      <w:spacing w:after="120" w:before="120"/>
      <w:ind/>
      <w:jc w:val="center"/>
      <w:outlineLvl w:val="0"/>
    </w:pPr>
    <w:rPr>
      <w:b/>
      <w:bCs/>
      <w:sz w:val="27"/>
      <w:szCs w:val="27"/>
    </w:rPr>
  </w:style>
  <w:style w:type="paragraph" w:styleId="1026">
    <w:name w:val="Heading 2"/>
    <w:basedOn w:val="1024"/>
    <w:next w:val="1024"/>
    <w:link w:val="103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7">
    <w:name w:val="Heading 3"/>
    <w:basedOn w:val="1024"/>
    <w:next w:val="1024"/>
    <w:link w:val="1034"/>
    <w:qFormat/>
    <w:pPr>
      <w:keepNext w:val="true"/>
      <w:pBdr/>
      <w:spacing w:before="60"/>
      <w:ind/>
      <w:outlineLvl w:val="2"/>
    </w:pPr>
    <w:rPr>
      <w:sz w:val="28"/>
      <w:szCs w:val="28"/>
    </w:rPr>
  </w:style>
  <w:style w:type="paragraph" w:styleId="1028">
    <w:name w:val="Heading 4"/>
    <w:basedOn w:val="1024"/>
    <w:next w:val="1024"/>
    <w:link w:val="1035"/>
    <w:qFormat/>
    <w:pPr>
      <w:keepNext w:val="true"/>
      <w:pBdr/>
      <w:spacing/>
      <w:ind/>
      <w:jc w:val="center"/>
      <w:outlineLvl w:val="3"/>
    </w:pPr>
    <w:rPr>
      <w:b/>
      <w:bCs/>
    </w:rPr>
  </w:style>
  <w:style w:type="character" w:styleId="1029" w:default="1">
    <w:name w:val="Default Paragraph Font"/>
    <w:uiPriority w:val="1"/>
    <w:semiHidden/>
    <w:unhideWhenUsed/>
    <w:pPr>
      <w:pBdr/>
      <w:spacing/>
      <w:ind/>
    </w:pPr>
  </w:style>
  <w:style w:type="table" w:styleId="103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1" w:default="1">
    <w:name w:val="No List"/>
    <w:uiPriority w:val="99"/>
    <w:semiHidden/>
    <w:unhideWhenUsed/>
    <w:pPr>
      <w:pBdr/>
      <w:spacing/>
      <w:ind/>
    </w:pPr>
  </w:style>
  <w:style w:type="character" w:styleId="1032" w:customStyle="1">
    <w:name w:val="Heading 1 Char"/>
    <w:basedOn w:val="1029"/>
    <w:link w:val="1025"/>
    <w:pPr>
      <w:pBdr/>
      <w:spacing/>
      <w:ind/>
    </w:pPr>
    <w:rPr>
      <w:rFonts w:ascii="Times New Roman" w:hAnsi="Times New Roman" w:eastAsia="Times New Roman" w:cs="Times New Roman"/>
      <w:b/>
      <w:bCs/>
      <w:sz w:val="27"/>
      <w:szCs w:val="27"/>
    </w:rPr>
  </w:style>
  <w:style w:type="character" w:styleId="1033" w:customStyle="1">
    <w:name w:val="Heading 2 Char"/>
    <w:basedOn w:val="1029"/>
    <w:link w:val="1026"/>
    <w:uiPriority w:val="9"/>
    <w:pPr>
      <w:pBdr/>
      <w:spacing/>
      <w:ind/>
    </w:pPr>
    <w:rPr>
      <w:rFonts w:asciiTheme="majorHAnsi" w:hAnsiTheme="majorHAnsi" w:eastAsiaTheme="majorEastAsia" w:cstheme="majorBidi"/>
      <w:color w:val="365f91" w:themeColor="accent1" w:themeShade="BF"/>
      <w:sz w:val="26"/>
      <w:szCs w:val="26"/>
    </w:rPr>
  </w:style>
  <w:style w:type="character" w:styleId="1034" w:customStyle="1">
    <w:name w:val="Heading 3 Char"/>
    <w:basedOn w:val="1029"/>
    <w:link w:val="1027"/>
    <w:pPr>
      <w:pBdr/>
      <w:spacing/>
      <w:ind/>
    </w:pPr>
    <w:rPr>
      <w:rFonts w:ascii="Times New Roman" w:hAnsi="Times New Roman" w:eastAsia="Times New Roman" w:cs="Times New Roman"/>
      <w:sz w:val="28"/>
      <w:szCs w:val="28"/>
    </w:rPr>
  </w:style>
  <w:style w:type="character" w:styleId="1035" w:customStyle="1">
    <w:name w:val="Heading 4 Char"/>
    <w:basedOn w:val="1029"/>
    <w:link w:val="1028"/>
    <w:pPr>
      <w:pBdr/>
      <w:spacing/>
      <w:ind/>
    </w:pPr>
    <w:rPr>
      <w:rFonts w:ascii="Times New Roman" w:hAnsi="Times New Roman" w:eastAsia="Times New Roman" w:cs="Times New Roman"/>
      <w:b/>
      <w:bCs/>
      <w:sz w:val="24"/>
      <w:szCs w:val="24"/>
    </w:rPr>
  </w:style>
  <w:style w:type="character" w:styleId="1036">
    <w:name w:val="Hyperlink"/>
    <w:uiPriority w:val="99"/>
    <w:pPr>
      <w:pBdr/>
      <w:spacing/>
      <w:ind/>
    </w:pPr>
    <w:rPr>
      <w:color w:val="000000"/>
      <w:u w:val="single"/>
    </w:rPr>
  </w:style>
  <w:style w:type="character" w:styleId="1037">
    <w:name w:val="Strong"/>
    <w:uiPriority w:val="22"/>
    <w:qFormat/>
    <w:pPr>
      <w:pBdr/>
      <w:spacing/>
      <w:ind/>
    </w:pPr>
    <w:rPr>
      <w:b/>
      <w:bCs/>
    </w:rPr>
  </w:style>
  <w:style w:type="paragraph" w:styleId="1038">
    <w:name w:val="Balloon Text"/>
    <w:basedOn w:val="1024"/>
    <w:link w:val="1039"/>
    <w:uiPriority w:val="99"/>
    <w:semiHidden/>
    <w:unhideWhenUsed/>
    <w:pPr>
      <w:pBdr/>
      <w:spacing/>
      <w:ind/>
    </w:pPr>
    <w:rPr>
      <w:rFonts w:ascii="Tahoma" w:hAnsi="Tahoma" w:cs="Tahoma"/>
      <w:sz w:val="16"/>
      <w:szCs w:val="16"/>
    </w:rPr>
  </w:style>
  <w:style w:type="character" w:styleId="1039" w:customStyle="1">
    <w:name w:val="Balloon Text Char"/>
    <w:basedOn w:val="1029"/>
    <w:link w:val="1038"/>
    <w:uiPriority w:val="99"/>
    <w:semiHidden/>
    <w:pPr>
      <w:pBdr/>
      <w:spacing/>
      <w:ind/>
    </w:pPr>
    <w:rPr>
      <w:rFonts w:ascii="Tahoma" w:hAnsi="Tahoma" w:eastAsia="Times New Roman" w:cs="Tahoma"/>
      <w:sz w:val="16"/>
      <w:szCs w:val="16"/>
    </w:rPr>
  </w:style>
  <w:style w:type="paragraph" w:styleId="1040">
    <w:name w:val="Header"/>
    <w:basedOn w:val="1024"/>
    <w:link w:val="1041"/>
    <w:unhideWhenUsed/>
    <w:pPr>
      <w:pBdr/>
      <w:tabs>
        <w:tab w:val="center" w:leader="none" w:pos="4680"/>
        <w:tab w:val="right" w:leader="none" w:pos="9360"/>
      </w:tabs>
      <w:spacing/>
      <w:ind/>
    </w:pPr>
  </w:style>
  <w:style w:type="character" w:styleId="1041" w:customStyle="1">
    <w:name w:val="Header Char"/>
    <w:basedOn w:val="1029"/>
    <w:link w:val="1040"/>
    <w:pPr>
      <w:pBdr/>
      <w:spacing/>
      <w:ind/>
    </w:pPr>
    <w:rPr>
      <w:rFonts w:ascii="Times New Roman" w:hAnsi="Times New Roman" w:eastAsia="Times New Roman" w:cs="Times New Roman"/>
      <w:sz w:val="24"/>
      <w:szCs w:val="24"/>
    </w:rPr>
  </w:style>
  <w:style w:type="paragraph" w:styleId="1042">
    <w:name w:val="Footer"/>
    <w:basedOn w:val="1024"/>
    <w:link w:val="1043"/>
    <w:uiPriority w:val="99"/>
    <w:unhideWhenUsed/>
    <w:pPr>
      <w:pBdr/>
      <w:tabs>
        <w:tab w:val="center" w:leader="none" w:pos="4680"/>
        <w:tab w:val="right" w:leader="none" w:pos="9360"/>
      </w:tabs>
      <w:spacing/>
      <w:ind/>
    </w:pPr>
  </w:style>
  <w:style w:type="character" w:styleId="1043" w:customStyle="1">
    <w:name w:val="Footer Char"/>
    <w:basedOn w:val="1029"/>
    <w:link w:val="1042"/>
    <w:uiPriority w:val="99"/>
    <w:pPr>
      <w:pBdr/>
      <w:spacing/>
      <w:ind/>
    </w:pPr>
    <w:rPr>
      <w:rFonts w:ascii="Times New Roman" w:hAnsi="Times New Roman" w:eastAsia="Times New Roman" w:cs="Times New Roman"/>
      <w:sz w:val="24"/>
      <w:szCs w:val="24"/>
    </w:rPr>
  </w:style>
  <w:style w:type="character" w:styleId="1044" w:customStyle="1">
    <w:name w:val="normal-h1"/>
    <w:pPr>
      <w:pBdr/>
      <w:spacing/>
      <w:ind/>
    </w:pPr>
    <w:rPr>
      <w:rFonts w:hint="default" w:ascii=".VnTime" w:hAnsi=".VnTime"/>
      <w:color w:val="0000ff"/>
      <w:sz w:val="24"/>
      <w:szCs w:val="24"/>
    </w:rPr>
  </w:style>
  <w:style w:type="paragraph" w:styleId="1045" w:customStyle="1">
    <w:name w:val="normal-p"/>
    <w:basedOn w:val="1024"/>
    <w:pPr>
      <w:pBdr/>
      <w:spacing/>
      <w:ind/>
      <w:jc w:val="both"/>
    </w:pPr>
    <w:rPr>
      <w:sz w:val="20"/>
      <w:szCs w:val="20"/>
    </w:rPr>
  </w:style>
  <w:style w:type="paragraph" w:styleId="1046">
    <w:name w:val="List Paragraph"/>
    <w:basedOn w:val="1024"/>
    <w:link w:val="1133"/>
    <w:uiPriority w:val="34"/>
    <w:qFormat/>
    <w:pPr>
      <w:pBdr/>
      <w:spacing/>
      <w:ind w:left="720"/>
    </w:pPr>
  </w:style>
  <w:style w:type="paragraph" w:styleId="1047">
    <w:name w:val="Normal (Web)"/>
    <w:basedOn w:val="1024"/>
    <w:uiPriority w:val="99"/>
    <w:pPr>
      <w:pBdr/>
      <w:spacing w:after="100" w:afterAutospacing="1" w:before="100" w:beforeAutospacing="1"/>
      <w:ind/>
    </w:pPr>
  </w:style>
  <w:style w:type="paragraph" w:styleId="1048">
    <w:name w:val="Body Text"/>
    <w:basedOn w:val="1024"/>
    <w:link w:val="1049"/>
    <w:pPr>
      <w:pBdr/>
      <w:spacing w:after="120"/>
      <w:ind/>
      <w:jc w:val="both"/>
    </w:pPr>
  </w:style>
  <w:style w:type="character" w:styleId="1049" w:customStyle="1">
    <w:name w:val="Body Text Char"/>
    <w:basedOn w:val="1029"/>
    <w:link w:val="1048"/>
    <w:pPr>
      <w:pBdr/>
      <w:spacing/>
      <w:ind/>
    </w:pPr>
    <w:rPr>
      <w:rFonts w:ascii="Times New Roman" w:hAnsi="Times New Roman" w:eastAsia="Times New Roman" w:cs="Times New Roman"/>
      <w:sz w:val="24"/>
      <w:szCs w:val="24"/>
    </w:rPr>
  </w:style>
  <w:style w:type="table" w:styleId="1050">
    <w:name w:val="Table Grid"/>
    <w:basedOn w:val="103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2">
    <w:name w:val="annotation reference"/>
    <w:basedOn w:val="1029"/>
    <w:uiPriority w:val="99"/>
    <w:semiHidden/>
    <w:unhideWhenUsed/>
    <w:pPr>
      <w:pBdr/>
      <w:spacing/>
      <w:ind/>
    </w:pPr>
    <w:rPr>
      <w:sz w:val="16"/>
      <w:szCs w:val="16"/>
    </w:rPr>
  </w:style>
  <w:style w:type="paragraph" w:styleId="1053">
    <w:name w:val="annotation text"/>
    <w:basedOn w:val="1024"/>
    <w:link w:val="1054"/>
    <w:uiPriority w:val="99"/>
    <w:unhideWhenUsed/>
    <w:pPr>
      <w:pBdr/>
      <w:spacing/>
      <w:ind/>
    </w:pPr>
    <w:rPr>
      <w:sz w:val="20"/>
      <w:szCs w:val="20"/>
    </w:rPr>
  </w:style>
  <w:style w:type="character" w:styleId="1054" w:customStyle="1">
    <w:name w:val="Comment Text Char"/>
    <w:basedOn w:val="1029"/>
    <w:link w:val="1053"/>
    <w:uiPriority w:val="99"/>
    <w:pPr>
      <w:pBdr/>
      <w:spacing/>
      <w:ind/>
    </w:pPr>
    <w:rPr>
      <w:rFonts w:ascii="Times New Roman" w:hAnsi="Times New Roman" w:eastAsia="Times New Roman" w:cs="Times New Roman"/>
      <w:sz w:val="20"/>
      <w:szCs w:val="20"/>
    </w:rPr>
  </w:style>
  <w:style w:type="paragraph" w:styleId="1055">
    <w:name w:val="annotation subject"/>
    <w:basedOn w:val="1053"/>
    <w:next w:val="1053"/>
    <w:link w:val="1056"/>
    <w:uiPriority w:val="99"/>
    <w:semiHidden/>
    <w:unhideWhenUsed/>
    <w:pPr>
      <w:pBdr/>
      <w:spacing/>
      <w:ind/>
    </w:pPr>
    <w:rPr>
      <w:b/>
      <w:bCs/>
    </w:rPr>
  </w:style>
  <w:style w:type="character" w:styleId="1056" w:customStyle="1">
    <w:name w:val="Comment Subject Char"/>
    <w:basedOn w:val="1054"/>
    <w:link w:val="1055"/>
    <w:uiPriority w:val="99"/>
    <w:semiHidden/>
    <w:pPr>
      <w:pBdr/>
      <w:spacing/>
      <w:ind/>
    </w:pPr>
    <w:rPr>
      <w:rFonts w:ascii="Times New Roman" w:hAnsi="Times New Roman" w:eastAsia="Times New Roman" w:cs="Times New Roman"/>
      <w:b/>
      <w:bCs/>
      <w:sz w:val="20"/>
      <w:szCs w:val="20"/>
    </w:rPr>
  </w:style>
  <w:style w:type="paragraph" w:styleId="1057" w:customStyle="1">
    <w:name w:val="font5"/>
    <w:basedOn w:val="1024"/>
    <w:pPr>
      <w:pBdr/>
      <w:spacing w:after="100" w:afterAutospacing="1" w:before="100" w:beforeAutospacing="1"/>
      <w:ind/>
    </w:pPr>
    <w:rPr>
      <w:rFonts w:ascii="Tahoma" w:hAnsi="Tahoma" w:cs="Tahoma"/>
      <w:color w:val="000000"/>
      <w:sz w:val="18"/>
      <w:szCs w:val="18"/>
    </w:rPr>
  </w:style>
  <w:style w:type="paragraph" w:styleId="1058" w:customStyle="1">
    <w:name w:val="font6"/>
    <w:basedOn w:val="1024"/>
    <w:pPr>
      <w:pBdr/>
      <w:spacing w:after="100" w:afterAutospacing="1" w:before="100" w:beforeAutospacing="1"/>
      <w:ind/>
    </w:pPr>
    <w:rPr>
      <w:rFonts w:ascii="Tahoma" w:hAnsi="Tahoma" w:cs="Tahoma"/>
      <w:b/>
      <w:bCs/>
      <w:color w:val="000000"/>
      <w:sz w:val="18"/>
      <w:szCs w:val="18"/>
    </w:rPr>
  </w:style>
  <w:style w:type="paragraph" w:styleId="1059" w:customStyle="1">
    <w:name w:val="xl233"/>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0" w:customStyle="1">
    <w:name w:val="xl234"/>
    <w:basedOn w:val="1024"/>
    <w:pPr>
      <w:pBdr/>
      <w:spacing w:after="100" w:afterAutospacing="1" w:before="100" w:beforeAutospacing="1"/>
      <w:ind/>
      <w:jc w:val="center"/>
    </w:pPr>
  </w:style>
  <w:style w:type="paragraph" w:styleId="1061" w:customStyle="1">
    <w:name w:val="xl235"/>
    <w:basedOn w:val="1024"/>
    <w:pPr>
      <w:pBdr/>
      <w:spacing w:after="100" w:afterAutospacing="1" w:before="100" w:beforeAutospacing="1"/>
      <w:ind/>
      <w:jc w:val="center"/>
    </w:pPr>
    <w:rPr>
      <w:b/>
      <w:bCs/>
    </w:rPr>
  </w:style>
  <w:style w:type="paragraph" w:styleId="1062" w:customStyle="1">
    <w:name w:val="xl236"/>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37"/>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4" w:customStyle="1">
    <w:name w:val="xl238"/>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3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6" w:customStyle="1">
    <w:name w:val="xl240"/>
    <w:basedOn w:val="1024"/>
    <w:pPr>
      <w:pBdr/>
      <w:spacing w:after="100" w:afterAutospacing="1" w:before="100" w:beforeAutospacing="1"/>
      <w:ind/>
    </w:pPr>
  </w:style>
  <w:style w:type="paragraph" w:styleId="1067" w:customStyle="1">
    <w:name w:val="xl241"/>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42"/>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3"/>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44"/>
    <w:basedOn w:val="1024"/>
    <w:pPr>
      <w:pBdr/>
      <w:spacing w:after="100" w:afterAutospacing="1" w:before="100" w:beforeAutospacing="1"/>
      <w:ind/>
    </w:pPr>
    <w:rPr>
      <w:b/>
      <w:bCs/>
    </w:rPr>
  </w:style>
  <w:style w:type="paragraph" w:styleId="1071" w:customStyle="1">
    <w:name w:val="xl245"/>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46"/>
    <w:basedOn w:val="102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47"/>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4" w:customStyle="1">
    <w:name w:val="xl248"/>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4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6" w:customStyle="1">
    <w:name w:val="xl250"/>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51"/>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2"/>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3"/>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4"/>
    <w:basedOn w:val="102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55"/>
    <w:basedOn w:val="102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6"/>
    <w:basedOn w:val="102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57"/>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8"/>
    <w:basedOn w:val="102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0"/>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61"/>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2"/>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63"/>
    <w:basedOn w:val="1024"/>
    <w:pPr>
      <w:pBdr/>
      <w:shd w:val="clear" w:color="000000" w:fill="ffffff"/>
      <w:spacing w:after="100" w:afterAutospacing="1" w:before="100" w:beforeAutospacing="1"/>
      <w:ind/>
    </w:pPr>
  </w:style>
  <w:style w:type="paragraph" w:styleId="1090" w:customStyle="1">
    <w:name w:val="xl264"/>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65"/>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66"/>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3" w:customStyle="1">
    <w:name w:val="xl267"/>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68"/>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69"/>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6" w:customStyle="1">
    <w:name w:val="xl270"/>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71"/>
    <w:basedOn w:val="102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8" w:customStyle="1">
    <w:name w:val="xl272"/>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9" w:customStyle="1">
    <w:name w:val="xl273"/>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74"/>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75"/>
    <w:basedOn w:val="1024"/>
    <w:pPr>
      <w:pBdr/>
      <w:spacing w:after="100" w:afterAutospacing="1" w:before="100" w:beforeAutospacing="1"/>
      <w:ind/>
    </w:pPr>
  </w:style>
  <w:style w:type="paragraph" w:styleId="1102" w:customStyle="1">
    <w:name w:val="xl276"/>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77"/>
    <w:basedOn w:val="102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4" w:customStyle="1">
    <w:name w:val="xl278"/>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7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0"/>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7" w:customStyle="1">
    <w:name w:val="xl281"/>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8" w:customStyle="1">
    <w:name w:val="xl282"/>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3"/>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4"/>
    <w:basedOn w:val="1024"/>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5"/>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2" w:customStyle="1">
    <w:name w:val="xl286"/>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3" w:customStyle="1">
    <w:name w:val="xl287"/>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4" w:customStyle="1">
    <w:name w:val="xl288"/>
    <w:basedOn w:val="1024"/>
    <w:pPr>
      <w:pBdr>
        <w:top w:val="single" w:color="000000" w:sz="4" w:space="0"/>
        <w:left w:val="single" w:color="000000" w:sz="4" w:space="0"/>
        <w:right w:val="single" w:color="000000" w:sz="4" w:space="0"/>
      </w:pBdr>
      <w:spacing w:after="100" w:afterAutospacing="1" w:before="100" w:beforeAutospacing="1"/>
      <w:ind/>
    </w:pPr>
  </w:style>
  <w:style w:type="paragraph" w:styleId="1115" w:customStyle="1">
    <w:name w:val="xl289"/>
    <w:basedOn w:val="1024"/>
    <w:pPr>
      <w:pBdr>
        <w:left w:val="single" w:color="000000" w:sz="4" w:space="0"/>
        <w:right w:val="single" w:color="000000" w:sz="4" w:space="0"/>
      </w:pBdr>
      <w:spacing w:after="100" w:afterAutospacing="1" w:before="100" w:beforeAutospacing="1"/>
      <w:ind/>
    </w:pPr>
    <w:rPr>
      <w:b/>
      <w:bCs/>
    </w:rPr>
  </w:style>
  <w:style w:type="paragraph" w:styleId="1116" w:customStyle="1">
    <w:name w:val="xl290"/>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7" w:customStyle="1">
    <w:name w:val="xl291"/>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8" w:customStyle="1">
    <w:name w:val="xl292"/>
    <w:basedOn w:val="1024"/>
    <w:pPr>
      <w:pBdr>
        <w:top w:val="single" w:color="000000" w:sz="4" w:space="0"/>
        <w:left w:val="single" w:color="000000" w:sz="4" w:space="0"/>
        <w:right w:val="single" w:color="000000" w:sz="4" w:space="0"/>
      </w:pBdr>
      <w:spacing w:after="100" w:afterAutospacing="1" w:before="100" w:beforeAutospacing="1"/>
      <w:ind/>
    </w:pPr>
  </w:style>
  <w:style w:type="paragraph" w:styleId="1119" w:customStyle="1">
    <w:name w:val="xl293"/>
    <w:basedOn w:val="1024"/>
    <w:pPr>
      <w:pBdr>
        <w:left w:val="single" w:color="000000" w:sz="4" w:space="0"/>
        <w:bottom w:val="single" w:color="000000" w:sz="4" w:space="0"/>
        <w:right w:val="single" w:color="000000" w:sz="4" w:space="0"/>
      </w:pBdr>
      <w:spacing w:after="100" w:afterAutospacing="1" w:before="100" w:beforeAutospacing="1"/>
      <w:ind/>
    </w:pPr>
  </w:style>
  <w:style w:type="paragraph" w:styleId="1120" w:customStyle="1">
    <w:name w:val="xl294"/>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1">
    <w:name w:val="Title"/>
    <w:basedOn w:val="1024"/>
    <w:link w:val="1122"/>
    <w:qFormat/>
    <w:pPr>
      <w:pBdr/>
      <w:spacing/>
      <w:ind/>
      <w:jc w:val="center"/>
    </w:pPr>
    <w:rPr>
      <w:b/>
      <w:bCs/>
      <w:sz w:val="32"/>
      <w:szCs w:val="26"/>
    </w:rPr>
  </w:style>
  <w:style w:type="character" w:styleId="1122" w:customStyle="1">
    <w:name w:val="Title Char"/>
    <w:basedOn w:val="1029"/>
    <w:link w:val="1121"/>
    <w:pPr>
      <w:pBdr/>
      <w:spacing/>
      <w:ind/>
    </w:pPr>
    <w:rPr>
      <w:rFonts w:ascii="Times New Roman" w:hAnsi="Times New Roman" w:eastAsia="Times New Roman" w:cs="Times New Roman"/>
      <w:b/>
      <w:bCs/>
      <w:sz w:val="32"/>
      <w:szCs w:val="26"/>
    </w:rPr>
  </w:style>
  <w:style w:type="character" w:styleId="1123" w:customStyle="1">
    <w:name w:val="Unresolved Mention1"/>
    <w:basedOn w:val="1029"/>
    <w:uiPriority w:val="99"/>
    <w:semiHidden/>
    <w:unhideWhenUsed/>
    <w:pPr>
      <w:pBdr/>
      <w:spacing/>
      <w:ind/>
    </w:pPr>
    <w:rPr>
      <w:color w:val="605e5c"/>
      <w:shd w:val="clear" w:color="auto" w:fill="e1dfdd"/>
    </w:rPr>
  </w:style>
  <w:style w:type="character" w:styleId="1124" w:customStyle="1">
    <w:name w:val="Body text (3)_"/>
    <w:link w:val="1125"/>
    <w:pPr>
      <w:pBdr/>
      <w:spacing/>
      <w:ind/>
    </w:pPr>
    <w:rPr>
      <w:rFonts w:ascii="Times New Roman" w:hAnsi="Times New Roman" w:cs="Times New Roman"/>
      <w:i/>
      <w:iCs/>
      <w:spacing w:val="4"/>
      <w:shd w:val="clear" w:color="auto" w:fill="ffffff"/>
    </w:rPr>
  </w:style>
  <w:style w:type="paragraph" w:styleId="1125" w:customStyle="1">
    <w:name w:val="Body text (3)1"/>
    <w:basedOn w:val="1024"/>
    <w:link w:val="112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6" w:customStyle="1">
    <w:name w:val="t-j"/>
    <w:basedOn w:val="1024"/>
    <w:pPr>
      <w:pBdr/>
      <w:spacing w:after="100" w:afterAutospacing="1" w:before="100" w:beforeAutospacing="1"/>
      <w:ind/>
    </w:pPr>
  </w:style>
  <w:style w:type="character" w:styleId="1127" w:customStyle="1">
    <w:name w:val="Unresolved Mention2"/>
    <w:basedOn w:val="1029"/>
    <w:uiPriority w:val="99"/>
    <w:semiHidden/>
    <w:unhideWhenUsed/>
    <w:pPr>
      <w:pBdr/>
      <w:spacing/>
      <w:ind/>
    </w:pPr>
    <w:rPr>
      <w:color w:val="605e5c"/>
      <w:shd w:val="clear" w:color="auto" w:fill="e1dfdd"/>
    </w:rPr>
  </w:style>
  <w:style w:type="character" w:styleId="1128">
    <w:name w:val="FollowedHyperlink"/>
    <w:basedOn w:val="1029"/>
    <w:uiPriority w:val="99"/>
    <w:semiHidden/>
    <w:unhideWhenUsed/>
    <w:pPr>
      <w:pBdr/>
      <w:spacing/>
      <w:ind/>
    </w:pPr>
    <w:rPr>
      <w:color w:val="800080" w:themeColor="followedHyperlink"/>
      <w:u w:val="single"/>
    </w:rPr>
  </w:style>
  <w:style w:type="character" w:styleId="1129" w:customStyle="1">
    <w:name w:val="text"/>
    <w:basedOn w:val="1029"/>
    <w:pPr>
      <w:pBdr/>
      <w:spacing/>
      <w:ind/>
    </w:pPr>
  </w:style>
  <w:style w:type="character" w:styleId="1130" w:customStyle="1">
    <w:name w:val="card-send-time__sendtime"/>
    <w:basedOn w:val="1029"/>
    <w:pPr>
      <w:pBdr/>
      <w:spacing/>
      <w:ind/>
    </w:pPr>
  </w:style>
  <w:style w:type="character" w:styleId="1131" w:customStyle="1">
    <w:name w:val="Đề cập Chưa giải quyết1"/>
    <w:basedOn w:val="1029"/>
    <w:uiPriority w:val="99"/>
    <w:semiHidden/>
    <w:unhideWhenUsed/>
    <w:pPr>
      <w:pBdr/>
      <w:spacing/>
      <w:ind/>
    </w:pPr>
    <w:rPr>
      <w:color w:val="605e5c"/>
      <w:shd w:val="clear" w:color="auto" w:fill="e1dfdd"/>
    </w:rPr>
  </w:style>
  <w:style w:type="paragraph" w:styleId="1132" w:customStyle="1">
    <w:name w:val="nqtitle"/>
    <w:basedOn w:val="1024"/>
    <w:pPr>
      <w:pBdr/>
      <w:spacing w:after="100" w:afterAutospacing="1" w:before="100" w:beforeAutospacing="1"/>
      <w:ind/>
    </w:pPr>
    <w:rPr>
      <w:lang w:val="vi-VN" w:eastAsia="vi-VN"/>
    </w:rPr>
  </w:style>
  <w:style w:type="character" w:styleId="1133" w:customStyle="1">
    <w:name w:val="List Paragraph Char"/>
    <w:link w:val="1046"/>
    <w:uiPriority w:val="34"/>
    <w:qFormat/>
    <w:pPr>
      <w:pBdr/>
      <w:spacing/>
      <w:ind/>
    </w:pPr>
    <w:rPr>
      <w:rFonts w:ascii="Times New Roman" w:hAnsi="Times New Roman" w:eastAsia="Times New Roman" w:cs="Times New Roman"/>
      <w:sz w:val="24"/>
      <w:szCs w:val="24"/>
    </w:rPr>
  </w:style>
  <w:style w:type="character" w:styleId="1134" w:customStyle="1">
    <w:name w:val="Đề cập Chưa giải quyết2"/>
    <w:basedOn w:val="1029"/>
    <w:uiPriority w:val="99"/>
    <w:semiHidden/>
    <w:unhideWhenUsed/>
    <w:pPr>
      <w:pBdr/>
      <w:spacing/>
      <w:ind/>
    </w:pPr>
    <w:rPr>
      <w:color w:val="605e5c"/>
      <w:shd w:val="clear" w:color="auto" w:fill="e1dfdd"/>
    </w:rPr>
  </w:style>
  <w:style w:type="character" w:styleId="1135" w:customStyle="1">
    <w:name w:val="Unresolved Mention3"/>
    <w:basedOn w:val="1029"/>
    <w:uiPriority w:val="99"/>
    <w:semiHidden/>
    <w:unhideWhenUsed/>
    <w:pPr>
      <w:pBdr/>
      <w:spacing/>
      <w:ind/>
    </w:pPr>
    <w:rPr>
      <w:color w:val="605e5c"/>
      <w:shd w:val="clear" w:color="auto" w:fill="e1dfdd"/>
    </w:rPr>
  </w:style>
  <w:style w:type="character" w:styleId="1136" w:customStyle="1">
    <w:name w:val="copy"/>
    <w:basedOn w:val="1029"/>
    <w:pPr>
      <w:pBdr/>
      <w:spacing/>
      <w:ind/>
    </w:pPr>
  </w:style>
  <w:style w:type="paragraph" w:styleId="1137" w:customStyle="1">
    <w:name w:val="align-justify"/>
    <w:basedOn w:val="1024"/>
    <w:pPr>
      <w:pBdr/>
      <w:spacing w:after="100" w:afterAutospacing="1" w:before="100" w:beforeAutospacing="1"/>
      <w:ind/>
    </w:pPr>
  </w:style>
  <w:style w:type="character" w:styleId="1138" w:customStyle="1">
    <w:name w:val="btn"/>
    <w:basedOn w:val="1029"/>
    <w:pPr>
      <w:pBdr/>
      <w:spacing/>
      <w:ind/>
    </w:pPr>
  </w:style>
  <w:style w:type="character" w:styleId="1139" w:customStyle="1">
    <w:name w:val="hide_mobile"/>
    <w:basedOn w:val="1029"/>
    <w:pPr>
      <w:pBdr/>
      <w:spacing/>
      <w:ind/>
    </w:pPr>
  </w:style>
  <w:style w:type="character" w:styleId="1140">
    <w:name w:val="Emphasis"/>
    <w:basedOn w:val="1029"/>
    <w:uiPriority w:val="20"/>
    <w:qFormat/>
    <w:pPr>
      <w:pBdr/>
      <w:spacing/>
      <w:ind/>
    </w:pPr>
    <w:rPr>
      <w:i/>
      <w:iCs/>
    </w:rPr>
  </w:style>
  <w:style w:type="character" w:styleId="1141" w:customStyle="1">
    <w:name w:val="t1"/>
    <w:basedOn w:val="1029"/>
    <w:pPr>
      <w:pBdr/>
      <w:spacing/>
      <w:ind/>
    </w:pPr>
  </w:style>
  <w:style w:type="character" w:styleId="1142" w:customStyle="1">
    <w:name w:val="Unresolved Mention4"/>
    <w:basedOn w:val="1029"/>
    <w:uiPriority w:val="99"/>
    <w:semiHidden/>
    <w:unhideWhenUsed/>
    <w:pPr>
      <w:pBdr/>
      <w:spacing/>
      <w:ind/>
    </w:pPr>
    <w:rPr>
      <w:color w:val="605e5c"/>
      <w:shd w:val="clear" w:color="auto" w:fill="e1dfdd"/>
    </w:rPr>
  </w:style>
  <w:style w:type="character" w:styleId="1143">
    <w:name w:val="Unresolved Mention"/>
    <w:basedOn w:val="102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dautubds.baodautu.vn/chuyen%20dong-thi-truong-c31/" TargetMode="External"/><Relationship Id="rId18" Type="http://schemas.openxmlformats.org/officeDocument/2006/relationships/hyperlink" Target="https://baodautu.vn/thoi-su-d1/" TargetMode="External"/><Relationship Id="rId19" Type="http://schemas.openxmlformats.org/officeDocument/2006/relationships/hyperlink" Target="https://baodautu.vn/" TargetMode="External"/><Relationship Id="rId20" Type="http://schemas.openxmlformats.org/officeDocument/2006/relationships/hyperlink" Target="https://baodautu.vn/dau-tu-d2/" TargetMode="External"/><Relationship Id="rId21" Type="http://schemas.openxmlformats.org/officeDocument/2006/relationships/hyperlink" Target="https://baodautu.vn/kho-xuong-xay-san-la-diem-sang-cua-bat-dong-san-cong-nghiep-phia-nam-d414215.html)" TargetMode="External"/><Relationship Id="rId22" Type="http://schemas.openxmlformats.org/officeDocument/2006/relationships/image" Target="media/image3.png"/><Relationship Id="rId23" Type="http://schemas.openxmlformats.org/officeDocument/2006/relationships/image" Target="media/image4.png"/><Relationship Id="rId24" Type="http://schemas.openxmlformats.org/officeDocument/2006/relationships/image" Target="media/image5.png"/><Relationship Id="rId25" Type="http://schemas.openxmlformats.org/officeDocument/2006/relationships/image" Target="media/image6.png"/><Relationship Id="rId26" Type="http://schemas.openxmlformats.org/officeDocument/2006/relationships/image" Target="media/image7.jpg"/><Relationship Id="rId27" Type="http://schemas.openxmlformats.org/officeDocument/2006/relationships/image" Target="media/image8.png"/><Relationship Id="rId28" Type="http://schemas.openxmlformats.org/officeDocument/2006/relationships/image" Target="media/image9.jpg"/><Relationship Id="rId29" Type="http://schemas.openxmlformats.org/officeDocument/2006/relationships/image" Target="media/image10.png"/><Relationship Id="rId30" Type="http://schemas.openxmlformats.org/officeDocument/2006/relationships/image" Target="media/image11.png"/><Relationship Id="rId31" Type="http://schemas.openxmlformats.org/officeDocument/2006/relationships/image" Target="media/image12.png"/><Relationship Id="rId32" Type="http://schemas.openxmlformats.org/officeDocument/2006/relationships/image" Target="media/image13.png"/><Relationship Id="rId33" Type="http://schemas.openxmlformats.org/officeDocument/2006/relationships/image" Target="media/image14.png"/><Relationship Id="rId34" Type="http://schemas.openxmlformats.org/officeDocument/2006/relationships/image" Target="media/image15.png"/><Relationship Id="rId35" Type="http://schemas.openxmlformats.org/officeDocument/2006/relationships/image" Target="media/image16.png"/><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9.png"/><Relationship Id="rId39" Type="http://schemas.openxmlformats.org/officeDocument/2006/relationships/image" Target="media/image20.png"/><Relationship Id="rId40" Type="http://schemas.openxmlformats.org/officeDocument/2006/relationships/image" Target="media/image21.jpg"/><Relationship Id="rId41" Type="http://schemas.openxmlformats.org/officeDocument/2006/relationships/image" Target="media/image22.jpg"/><Relationship Id="rId42" Type="http://schemas.openxmlformats.org/officeDocument/2006/relationships/image" Target="media/image23.png"/><Relationship Id="rId43" Type="http://schemas.openxmlformats.org/officeDocument/2006/relationships/image" Target="media/image24.png"/><Relationship Id="rId44" Type="http://schemas.openxmlformats.org/officeDocument/2006/relationships/image" Target="media/image25.png"/><Relationship Id="rId45" Type="http://schemas.openxmlformats.org/officeDocument/2006/relationships/image" Target="media/image26.png"/><Relationship Id="rId46" Type="http://schemas.openxmlformats.org/officeDocument/2006/relationships/image" Target="media/image27.png"/><Relationship Id="rId47" Type="http://schemas.openxmlformats.org/officeDocument/2006/relationships/image" Target="media/image28.png"/><Relationship Id="rId48" Type="http://schemas.openxmlformats.org/officeDocument/2006/relationships/image" Target="media/image29.png"/><Relationship Id="rId49" Type="http://schemas.openxmlformats.org/officeDocument/2006/relationships/image" Target="media/image30.png"/><Relationship Id="rId50" Type="http://schemas.openxmlformats.org/officeDocument/2006/relationships/image" Target="media/image31.png"/><Relationship Id="rId51" Type="http://schemas.openxmlformats.org/officeDocument/2006/relationships/image" Target="media/image32.png"/><Relationship Id="rId52" Type="http://schemas.openxmlformats.org/officeDocument/2006/relationships/image" Target="media/image3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508</cp:revision>
  <dcterms:created xsi:type="dcterms:W3CDTF">2025-09-15T02:01:00Z</dcterms:created>
  <dcterms:modified xsi:type="dcterms:W3CDTF">2026-03-24T08:31:45Z</dcterms:modified>
</cp:coreProperties>
</file>