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920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920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275/2026/0392/VFI-HĐTĐ.01ĐN.A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Trần Thị Thanh</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1184, tờ bản đồ số: 17, địa chỉ: Thôn Cẩm Toại Trung, (</w:t>
                            </w:r>
                            <w:r>
                              <w:rPr>
                                <w:i/>
                                <w:iCs/>
                                <w:color w:val="000000"/>
                              </w:rPr>
                              <w:t xml:space="preserve">xã Hoà Phong, huyện Hoà Vang</w:t>
                            </w:r>
                            <w:r>
                              <w:rPr>
                                <w:color w:val="000000"/>
                              </w:rPr>
                              <w:t xml:space="preserve">) nay là xã Hoà </w:t>
                            </w:r>
                            <w:r>
                              <w:rPr>
                                <w:color w:val="000000"/>
                              </w:rPr>
                              <w:t xml:space="preserve">Vang, TP Đà Nẵng theo Giấy chứng nhận quyền sử dụng đất, quyền sở hữu nhà ở và tài sản khác gắn liền với đất số: BO 649694, số vào sổ cấp GCN: CTs 30239 do Sở Tài nguyên và Môi trường thành phố Đà Nẵng cấp ngày 23/12/2013. Chủ tài sản là Bà Trần Thị Thanh.</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1.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275/2026/0392/VFI-HĐTĐ.01ĐN.A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Trần Thị Thanh</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1184, tờ bản đồ số: 17, địa chỉ: Thôn Cẩm Toại Trung, (</w:t>
                      </w:r>
                      <w:r>
                        <w:rPr>
                          <w:i/>
                          <w:iCs/>
                          <w:color w:val="000000"/>
                        </w:rPr>
                        <w:t xml:space="preserve">xã Hoà Phong, huyện Hoà Vang</w:t>
                      </w:r>
                      <w:r>
                        <w:rPr>
                          <w:color w:val="000000"/>
                        </w:rPr>
                        <w:t xml:space="preserve">) nay là xã Hoà </w:t>
                      </w:r>
                      <w:r>
                        <w:rPr>
                          <w:color w:val="000000"/>
                        </w:rPr>
                        <w:t xml:space="preserve">Vang, TP Đà Nẵng theo Giấy chứng nhận quyền sử dụng đất, quyền sở hữu nhà ở và tài sản khác gắn liền với đất số: BO 649694, số vào sổ cấp GCN: CTs 30239 do Sở Tài nguyên và Môi trường thành phố Đà Nẵng cấp ngày 23/12/2013. Chủ tài sản là Bà Trần Thị Thanh.</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Hồ sơ pháp lý</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23-24</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25-31</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275/2026/0392/VFI-CT.01ĐN.A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12 tháng 3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rFonts w:ascii="Times New Roman Bold" w:hAnsi="Times New Roman Bold"/>
          <w:b/>
          <w:color w:val="000000" w:themeColor="text1"/>
          <w:lang w:val="pt-BR"/>
        </w:rPr>
        <w:t xml:space="preserve"> Bà Trần Thị Thanh</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275/2026/0392/VFI-HĐTĐ.01ĐN.A</w:t>
      </w:r>
      <w:r>
        <w:rPr>
          <w:spacing w:val="-4"/>
          <w:lang w:val="vi-VN"/>
        </w:rPr>
        <w:t xml:space="preserve"> ký ngày </w:t>
      </w:r>
      <w:r>
        <w:rPr>
          <w:color w:val="000000" w:themeColor="text1"/>
          <w:spacing w:val="-4"/>
        </w:rPr>
        <w:t xml:space="preserve">12 tháng 3 năm 2026</w:t>
      </w:r>
      <w:r>
        <w:rPr>
          <w:spacing w:val="-4"/>
          <w:lang w:val="vi-VN"/>
        </w:rPr>
        <w:t xml:space="preserve"> </w:t>
      </w:r>
      <w:r>
        <w:rPr>
          <w:spacing w:val="-4"/>
          <w:lang w:val="vi-VN"/>
        </w:rPr>
        <w:t xml:space="preserve">giữa </w:t>
      </w:r>
      <w:r>
        <w:rPr>
          <w:color w:val="000000" w:themeColor="text1"/>
          <w:spacing w:val="-4"/>
        </w:rPr>
        <w:t xml:space="preserve">Bà Trần Thị Thanh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275/2026/0392/VFI-BC.01ĐN.A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Bà Trần Thị Thanh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b/>
                <w:color w:val="000000"/>
                <w:sz w:val="24"/>
              </w:rPr>
            </w:r>
            <w:r>
              <w:rPr>
                <w:rFonts w:ascii="Times New Roman" w:hAnsi="Times New Roman" w:eastAsia="Times New Roman" w:cs="Times New Roman"/>
                <w:color w:val="000000"/>
                <w:sz w:val="24"/>
              </w:rPr>
              <w:t xml:space="preserve">048197004250</w:t>
            </w:r>
            <w:r>
              <w:rPr>
                <w:rFonts w:ascii="Times New Roman" w:hAnsi="Times New Roman" w:eastAsia="Times New Roman" w:cs="Times New Roman"/>
                <w:b/>
                <w:color w:val="000000"/>
                <w:sz w:val="24"/>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1997</w:t>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Thôn Cẩm Toại Trung, (</w:t>
            </w:r>
            <w:r>
              <w:rPr>
                <w:rFonts w:ascii="Times New Roman" w:hAnsi="Times New Roman" w:eastAsia="Times New Roman" w:cs="Times New Roman"/>
                <w:i/>
                <w:color w:val="000000"/>
                <w:sz w:val="24"/>
              </w:rPr>
              <w:t xml:space="preserve">xã Hoà Phong, huyện Hoà Vang</w:t>
            </w:r>
            <w:r>
              <w:rPr>
                <w:rFonts w:ascii="Times New Roman" w:hAnsi="Times New Roman" w:eastAsia="Times New Roman" w:cs="Times New Roman"/>
                <w:color w:val="000000"/>
                <w:sz w:val="24"/>
              </w:rPr>
              <w:t xml:space="preserve">) nay là xã Hoà Vang, thành phố Đà Nẵng. </w:t>
            </w: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Giá trị quyền sử dụng đất tại Thửa đất số: 1184, tờ bản đồ số: 17, địa chỉ: Thôn Cẩm Toại Trung, (</w:t>
      </w:r>
      <w:r>
        <w:rPr>
          <w:i/>
          <w:iCs/>
          <w:color w:val="000000" w:themeColor="text1"/>
        </w:rPr>
        <w:t xml:space="preserve">xã Hoà Phong, huyện Hoà Vang</w:t>
      </w:r>
      <w:r>
        <w:rPr>
          <w:color w:val="000000" w:themeColor="text1"/>
        </w:rPr>
        <w:t xml:space="preserve">) nay là xã Hoà </w:t>
      </w:r>
      <w:r>
        <w:rPr>
          <w:color w:val="000000" w:themeColor="text1"/>
        </w:rPr>
        <w:t xml:space="preserve">Vang, TP Đà Nẵng theo Giấy chứng nhận quyền sử dụng đất, quyền sở hữu nhà ở và tài sản khác gắn liền với đất số: BO 649694, số vào sổ cấp GCN: CTs 30239 do Sở Tài nguyên và Môi trường thành phố Đà Nẵng cấp ngày 23/12/2013. Chủ tài sản là Bà Trần Thị Thanh.</w:t>
      </w:r>
      <w:r>
        <w:rPr>
          <w:i/>
          <w:i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W w:w="500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659"/>
        <w:gridCol w:w="1802"/>
        <w:gridCol w:w="2166"/>
        <w:gridCol w:w="223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2659"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216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6628" w:type="dxa"/>
            <w:vAlign w:val="center"/>
            <w:textDirection w:val="lrTb"/>
            <w:noWrap w:val="false"/>
          </w:tcPr>
          <w:p>
            <w:pPr>
              <w:pBdr/>
              <w:spacing w:after="40" w:before="40" w:line="288" w:lineRule="auto"/>
              <w:ind/>
              <w:jc w:val="both"/>
              <w:rPr>
                <w:b/>
                <w:bCs/>
              </w:rPr>
            </w:pPr>
            <w:r>
              <w:rPr>
                <w:b/>
                <w:bCs/>
                <w:color w:val="000000"/>
              </w:rPr>
              <w:t xml:space="preserve">Giá trị quyền sử dụng đất tại Thửa đất số: 1184, tờ bản đồ số: 17, địa chỉ: Thôn Cẩm Toại Trung, (</w:t>
            </w:r>
            <w:r>
              <w:rPr>
                <w:b/>
                <w:bCs/>
                <w:i/>
                <w:iCs/>
                <w:color w:val="000000"/>
              </w:rPr>
              <w:t xml:space="preserve">xã Hoà Phong, huyện Hoà Vang</w:t>
            </w:r>
            <w:r>
              <w:rPr>
                <w:b/>
                <w:bCs/>
                <w:color w:val="000000"/>
              </w:rPr>
              <w:t xml:space="preserve">) nay là xã Hoà </w:t>
            </w:r>
            <w:r>
              <w:rPr>
                <w:b/>
                <w:bCs/>
                <w:color w:val="000000"/>
              </w:rPr>
              <w:t xml:space="preserve">Vang, TP Đà Nẵng theo Giấy chứng nhận quyền sử dụng đất, quyền sở hữu nhà ở và tài sản khác gắn liền với đất số: BO 649694, số vào sổ cấp GCN: CTs 30239 do Sở Tài nguyên và Môi trường thành phố Đà Nẵng cấp ngày 23/12/2013. Chủ tài sản là Bà Trần Thị Thanh.</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2659"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150,0</w:t>
            </w:r>
            <w:r>
              <w:rPr>
                <w:color w:val="000000"/>
              </w:rPr>
            </w:r>
          </w:p>
        </w:tc>
        <w:tc>
          <w:tcPr>
            <w:shd w:val="clear" w:color="000000" w:fill="ffffff"/>
            <w:tcBorders/>
            <w:tcW w:w="2166" w:type="dxa"/>
            <w:vAlign w:val="center"/>
            <w:textDirection w:val="lrTb"/>
            <w:noWrap w:val="false"/>
          </w:tcPr>
          <w:p>
            <w:pPr>
              <w:pBdr/>
              <w:spacing w:after="40" w:before="40" w:line="288" w:lineRule="auto"/>
              <w:ind/>
              <w:jc w:val="center"/>
              <w:rPr/>
            </w:pPr>
            <w:r>
              <w:rPr>
                <w:color w:val="000000" w:themeColor="text1"/>
              </w:rPr>
              <w:t xml:space="preserve">7.000.000</w:t>
            </w:r>
            <w:r/>
          </w:p>
        </w:tc>
        <w:tc>
          <w:tcPr>
            <w:shd w:val="clear" w:color="000000" w:fill="ffffff"/>
            <w:tcBorders/>
            <w:tcW w:w="2234" w:type="dxa"/>
            <w:vAlign w:val="center"/>
            <w:textDirection w:val="lrTb"/>
            <w:noWrap w:val="false"/>
          </w:tcPr>
          <w:p>
            <w:pPr>
              <w:pBdr/>
              <w:spacing w:after="40" w:before="40" w:line="288" w:lineRule="auto"/>
              <w:ind/>
              <w:jc w:val="center"/>
              <w:rPr/>
            </w:pPr>
            <w:r>
              <w:rPr>
                <w:color w:val="000000" w:themeColor="text1"/>
              </w:rPr>
              <w:t xml:space="preserve">1.050.000.000</w:t>
            </w:r>
            <w:r/>
          </w:p>
        </w:tc>
      </w:tr>
      <w:tr>
        <w:trPr>
          <w:trHeight w:val="20"/>
        </w:trPr>
        <w:tc>
          <w:tcPr>
            <w:gridSpan w:val="4"/>
            <w:tcBorders/>
            <w:tcW w:w="730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2234" w:type="dxa"/>
            <w:vAlign w:val="center"/>
            <w:textDirection w:val="lrTb"/>
            <w:noWrap/>
          </w:tcPr>
          <w:p>
            <w:pPr>
              <w:pBdr/>
              <w:spacing w:after="40" w:before="40" w:line="288" w:lineRule="auto"/>
              <w:ind/>
              <w:jc w:val="center"/>
              <w:rPr>
                <w:b/>
                <w:bCs/>
                <w:color w:val="000000"/>
              </w:rPr>
            </w:pPr>
            <w:r>
              <w:t xml:space="preserve">1.050.000.000</w:t>
            </w:r>
            <w:r>
              <w:rPr>
                <w:b/>
                <w:bCs/>
                <w:color w:val="000000"/>
              </w:rPr>
            </w:r>
          </w:p>
        </w:tc>
      </w:tr>
      <w:tr>
        <w:trPr>
          <w:trHeight w:val="20"/>
        </w:trPr>
        <w:tc>
          <w:tcPr>
            <w:gridSpan w:val="4"/>
            <w:tcBorders/>
            <w:tcW w:w="730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2234" w:type="dxa"/>
            <w:vAlign w:val="center"/>
            <w:textDirection w:val="lrTb"/>
            <w:noWrap/>
          </w:tcPr>
          <w:p>
            <w:pPr>
              <w:pBdr/>
              <w:spacing w:after="40" w:before="40" w:line="288" w:lineRule="auto"/>
              <w:ind/>
              <w:jc w:val="center"/>
              <w:rPr>
                <w:b/>
                <w:bCs/>
                <w:color w:val="000000"/>
              </w:rPr>
            </w:pPr>
            <w:r>
              <w:rPr>
                <w:b/>
                <w:bCs/>
                <w:color w:val="000000"/>
              </w:rPr>
              <w:t xml:space="preserve">1.050.000.000</w:t>
            </w:r>
            <w:r>
              <w:rPr>
                <w:b/>
                <w:bCs/>
                <w:color w:val="000000"/>
              </w:rPr>
            </w:r>
          </w:p>
        </w:tc>
      </w:tr>
      <w:tr>
        <w:trPr>
          <w:trHeight w:val="20"/>
        </w:trPr>
        <w:tc>
          <w:tcPr>
            <w:gridSpan w:val="5"/>
            <w:tcBorders/>
            <w:tcW w:w="9537"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năm mươi triệu đồng</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275/2026/0392/VFI-BC.01ĐN.A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12 tháng 3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275/2026/0392/VFI-CT.01ĐN.A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3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Bà Trần Thị Thanh</w:t>
            </w: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048197004250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Thôn Cẩm Toại Trung, (</w:t>
            </w:r>
            <w:r>
              <w:rPr>
                <w:rFonts w:ascii="Times New Roman" w:hAnsi="Times New Roman" w:eastAsia="Times New Roman" w:cs="Times New Roman"/>
                <w:i/>
                <w:color w:val="000000"/>
                <w:sz w:val="24"/>
              </w:rPr>
              <w:t xml:space="preserve">xã Hoà Phong, huyện Hoà Vang</w:t>
            </w:r>
            <w:r>
              <w:rPr>
                <w:rFonts w:ascii="Times New Roman" w:hAnsi="Times New Roman" w:eastAsia="Times New Roman" w:cs="Times New Roman"/>
                <w:color w:val="000000"/>
                <w:sz w:val="24"/>
              </w:rPr>
              <w:t xml:space="preserve">) nay là xã Hoà Vang, thành phố Đà Nẵng. </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sử dụng đất tại Thửa đất số: 1184, tờ bản đồ số: 17, địa chỉ: Thôn Cẩm Toại Trung, (</w:t>
            </w:r>
            <w:r>
              <w:rPr>
                <w:bCs/>
                <w:i/>
                <w:iCs/>
                <w:color w:val="000000" w:themeColor="text1"/>
                <w:lang w:val="pt-BR"/>
              </w:rPr>
              <w:t xml:space="preserve">xã Hoà Phong, huyện Hoà Vang</w:t>
            </w:r>
            <w:r>
              <w:rPr>
                <w:bCs/>
                <w:color w:val="000000" w:themeColor="text1"/>
                <w:lang w:val="pt-BR"/>
              </w:rPr>
              <w:t xml:space="preserve">) nay là xã Hoà </w:t>
            </w:r>
            <w:r>
              <w:rPr>
                <w:bCs/>
                <w:color w:val="000000" w:themeColor="text1"/>
                <w:lang w:val="pt-BR"/>
              </w:rPr>
              <w:t xml:space="preserve">Vang, TP Đà Nẵng theo Giấy chứng nhận quyền sử dụng đất, quyền sở hữu nhà ở và tài sản khác gắn liền với đất số: BO 649694, số vào sổ cấp GCN: CTs 30239 do Sở Tài nguyên và Môi trường thành phố Đà Nẵng cấp ngày 23/12/2013. Chủ tài sản là Bà Trần Thị Thanh.</w:t>
            </w:r>
            <w:r>
              <w:rPr>
                <w:bCs/>
                <w:spacing w:val="2"/>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Cẩm Toại Trung, xã Hoà Vang, thành phố Đà Nẵng.</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15.9765, 108.13730555556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Cs/>
          <w:color w:val="000000" w:themeColor="text1"/>
          <w:lang w:val="pt-BR"/>
        </w:rPr>
        <w:t xml:space="preserve">Giấy chứng nhận quyền sử dụng đất, quyền sở hữu nhà ở và tài sản khác gắn liền với đất số: BO 649694, số vào sổ cấp GCN: CTs 30239 do Sở Tài nguyên và Môi trường thành phố Đà Nẵng cấp ngày 23/12/2013. Chủ tài sản là Bà Trần Thị Thanh.</w:t>
      </w:r>
      <w:r>
        <w:rPr>
          <w:lang w:val="pt-BR"/>
        </w:rPr>
      </w:r>
      <w:r>
        <w:rPr>
          <w:i/>
          <w:iCs/>
          <w:lang w:val="pt-BR"/>
        </w:rPr>
      </w:r>
      <w:r>
        <w:rPr>
          <w:b/>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275/2026/0392/VFI-HĐTĐ.01ĐN.A ký ngày 12/3/2026 giữa Bà Trần Thị Thanh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i/>
          <w:iCs/>
          <w:lang w:val="pt-BR"/>
        </w:rPr>
      </w:r>
      <w:r>
        <w:rPr>
          <w:rFonts w:ascii="Times New Roman" w:hAnsi="Times New Roman" w:eastAsia="Times New Roman" w:cs="Times New Roman"/>
          <w:b/>
          <w:color w:val="000000"/>
          <w:sz w:val="24"/>
        </w:rPr>
        <w:t xml:space="preserve">Thị trường bất động sản Đà Nẵng đang ở ngưỡng cửa của chu kỳ phát triển mới</w:t>
      </w:r>
      <w:r>
        <w:rPr>
          <w:rFonts w:ascii="Times New Roman" w:hAnsi="Times New Roman" w:eastAsia="Times New Roman" w:cs="Times New Roman"/>
          <w:b/>
          <w:color w:val="000000"/>
          <w:sz w:val="24"/>
          <w:highlight w:val="white"/>
        </w:rPr>
        <w:t xml:space="preserve">.</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TPO - Sau nhiều năm trồi sụt bởi tác động của kinh tế vĩ mô, chính sách và dòng vốn, thị trường bất động sản Đà Nẵng đang đứng trước một bước ngoặt quan trọng. Những tín hiệu phục hồi không còn mang tính ngắn hạn mà đang hội tụ thành các nền tảng phát triể</w:t>
      </w:r>
      <w:r>
        <w:rPr>
          <w:rFonts w:ascii="Times New Roman" w:hAnsi="Times New Roman" w:eastAsia="Times New Roman" w:cs="Times New Roman"/>
          <w:color w:val="000000"/>
          <w:sz w:val="24"/>
        </w:rPr>
        <w:t xml:space="preserve">n dài hạn, mở ra kỳ vọng về một chu kỳ tăng trưởng mới theo hướng ổn định, bền vững và có chiều sâu hơn.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b/>
          <w:color w:val="000000"/>
          <w:sz w:val="24"/>
        </w:rPr>
        <w:t xml:space="preserve">Từ chu kỳ "nóng-lạnh" đến quỹ đạo bình ổn.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Chia sẻ tại Diễn đàn “Bất động sản bước vào giai đoạn mới” tổ chức ngày 30/1, ông Nguyễn Tiến Quang, Giám đốc Liên đoàn Thương mại và Công nghiệp Việt Nam (VCCI) chi nhánh Miền Trung - Tây Nguyên khẳng định: bất động sản không chỉ là lĩnh vực kinh tế quan </w:t>
      </w:r>
      <w:r>
        <w:rPr>
          <w:rFonts w:ascii="Times New Roman" w:hAnsi="Times New Roman" w:eastAsia="Times New Roman" w:cs="Times New Roman"/>
          <w:color w:val="000000"/>
          <w:sz w:val="24"/>
        </w:rPr>
        <w:t xml:space="preserve">trọng mà còn là trụ cột gắn chặt với phát triển đô thị, hạ tầng, dịch vụ và chất lượng sống của người dân. Với Đà Nẵng – thành phố định vị mình là “đáng đến và đáng sống”, </w:t>
      </w:r>
      <w:hyperlink r:id="rId17" w:tooltip="Giải mã sức hút của bất động sản trong khu đô thị: Khi dòng tiền tìm về giá trị thực" w:history="1">
        <w:r>
          <w:rPr>
            <w:rStyle w:val="846"/>
            <w:rFonts w:ascii="Times New Roman" w:hAnsi="Times New Roman" w:eastAsia="Times New Roman" w:cs="Times New Roman"/>
            <w:color w:val="000000"/>
            <w:sz w:val="24"/>
            <w:u w:val="none"/>
          </w:rPr>
          <w:t xml:space="preserve">bất động sản</w:t>
        </w:r>
      </w:hyperlink>
      <w:r>
        <w:rPr>
          <w:rFonts w:ascii="Times New Roman" w:hAnsi="Times New Roman" w:eastAsia="Times New Roman" w:cs="Times New Roman"/>
          <w:color w:val="000000"/>
          <w:sz w:val="24"/>
        </w:rPr>
        <w:t xml:space="preserve"> chính là một trong những nền móng tạo lập giá trị đô thị bền vững.</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Nhìn lại chặng đường đã qua, thị trường bất động sản Đà Nẵng từng trải qua những giai đoạn tăng trưởng nóng, sau đó là điều chỉnh mạnh, đặc biệt trong giai đoạn 2022–2023 khi lãi suất tăng cao, tín dụng bị siết chặt và nhiều dự án vướng mắc pháp lý. Tuy nh</w:t>
      </w:r>
      <w:r>
        <w:rPr>
          <w:rFonts w:ascii="Times New Roman" w:hAnsi="Times New Roman" w:eastAsia="Times New Roman" w:cs="Times New Roman"/>
          <w:color w:val="000000"/>
          <w:sz w:val="24"/>
        </w:rPr>
        <w:t xml:space="preserve">iên, theo ông Nguyễn Tiến Quang, quá trình “sàng lọc” này là cần thiết để loại bỏ những yếu tố đầu cơ, thiếu bền vững, qua đó tạo tiền đề cho một chu kỳ phát triển lành mạnh hơn.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Quy luật vận hành của thị trường đang dần thay đổi: từ trạng thái tăng – giảm thất thường sang quỹ đạo ổn định, gắn với nhu cầu thực, chất lượng đô thị và giá trị sử dụng lâu dài. Đây cũng là xu hướng chung của thị trường bất động sản Việt Nam trong bối cả</w:t>
      </w:r>
      <w:r>
        <w:rPr>
          <w:rFonts w:ascii="Times New Roman" w:hAnsi="Times New Roman" w:eastAsia="Times New Roman" w:cs="Times New Roman"/>
          <w:color w:val="000000"/>
          <w:sz w:val="24"/>
        </w:rPr>
        <w:t xml:space="preserve">nh Chính phủ ưu tiên kiểm soát rủi ro, minh bạch hóa và phát triển bền vững.Theo phân tích của ông Quang, thị trường bất động sản Đà Nẵng đang hội tụ bốn động lực cốt lõi.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Thứ nhất là định hướng quy hoạch bước sang giai đoạn mới với tầm nhìn dài hạn. Sau hợp nhất đơn vị hành chính, không gian phát triển của Đà Nẵng được mở rộng đáng kể, tạo dư địa lớn cho quy hoạch đô thị, công nghiệp, dịch vụ và logistics. Hạ tầng giao thôn</w:t>
      </w:r>
      <w:r>
        <w:rPr>
          <w:rFonts w:ascii="Times New Roman" w:hAnsi="Times New Roman" w:eastAsia="Times New Roman" w:cs="Times New Roman"/>
          <w:color w:val="000000"/>
          <w:sz w:val="24"/>
        </w:rPr>
        <w:t xml:space="preserve">g, đô thị, công nghệ được đầu tư đồng bộ đóng vai trò “đòn bẩy” thúc đẩy cả nền kinh tế và thị trường bất động sản.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Thứ hai là môi trường đầu tư – kinh doanh ngày càng minh bạch, ổn định. Cải cách thủ tục hành chính, tháo gỡ pháp lý dự án và cam kết đồng hành cùng doanh nghiệp đang giúp Đà Nẵng duy trì vị thế là điểm đến hấp dẫn của nhà đầu tư trong và ngoài nước.</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Thứ ba là các cơ chế, chính sách đặc thù mang tính chiến lược, trong đó nổi bật là Trung tâm Thương mại Tự do và Trung tâm Tài chính Quốc tế. Những thiết chế này được kỳ vọng tạo cú hích thu hút dòng vốn lớn, thúc đẩy nhu cầu bất động sản thương mại, dịch </w:t>
      </w:r>
      <w:r>
        <w:rPr>
          <w:rFonts w:ascii="Times New Roman" w:hAnsi="Times New Roman" w:eastAsia="Times New Roman" w:cs="Times New Roman"/>
          <w:color w:val="000000"/>
          <w:sz w:val="24"/>
        </w:rPr>
        <w:t xml:space="preserve">vụ, nhà ở chất lượng cao trong trung và dài hạn.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Thứ tư là sự tái cấu trúc nền kinh tế đô thị sau hợp nhất, với cơ cấu hợp lý hơn, giảm phụ thuộc vào một vài ngành, qua đó tạo nền tảng ổn định cho thị trường bất động sản phát triển bền vững.</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Từ góc độ quản lý nhà nước, ông Lê Văn Tuấn – Phó Giám đốc Sở Xây dựng Đà Nẵng – cho biết năm 2025 là cột mốc đặc biệt khi thành phố mở rộng không gian phát triển và đồng loạt triển khai nhiều dự án động lực. Số lượng giao dịch bất động sản đạt hơn 20.000 </w:t>
      </w:r>
      <w:r>
        <w:rPr>
          <w:rFonts w:ascii="Times New Roman" w:hAnsi="Times New Roman" w:eastAsia="Times New Roman" w:cs="Times New Roman"/>
          <w:color w:val="000000"/>
          <w:sz w:val="24"/>
        </w:rPr>
        <w:t xml:space="preserve">căn, tăng khoảng 30% so với năm 2024, cho thấy nguồn cung và cầu đều cải thiện rõ rệt.</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Cùng với đó, tổng giá trị các dự án được tháo gỡ pháp lý và chuẩn bị triển khai đạt hơn 93.000 tỷ đồng. Riêng lĩnh vực nhà ở xã hội, Đà Nẵng đã hoàn thành vượt chỉ tiêu năm 2025 và đang triển khai hàng chục dự án mới, góp phần cân bằng cung cầu và bảo đảm </w:t>
      </w:r>
      <w:r>
        <w:rPr>
          <w:rFonts w:ascii="Times New Roman" w:hAnsi="Times New Roman" w:eastAsia="Times New Roman" w:cs="Times New Roman"/>
          <w:color w:val="000000"/>
          <w:sz w:val="24"/>
        </w:rPr>
        <w:t xml:space="preserve">an sinh xã hội.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Đáng chú ý, tăng trưởng GRDP năm 2025 đạt 9,18%, mức cao nhất giai đoạn 2021–2025, trong đó hoạt động kinh doanh bất động sản tăng hơn 21%, dẫn đầu nhóm ngành dịch vụ. Đây là chỉ dấu cho thấy bất động sản đang trở lại vai trò động lực tăng trưởng, nhưng vớ</w:t>
      </w:r>
      <w:r>
        <w:rPr>
          <w:rFonts w:ascii="Times New Roman" w:hAnsi="Times New Roman" w:eastAsia="Times New Roman" w:cs="Times New Roman"/>
          <w:color w:val="000000"/>
          <w:sz w:val="24"/>
        </w:rPr>
        <w:t xml:space="preserve">i cấu trúc lành mạnh hơn.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b/>
          <w:color w:val="000000"/>
          <w:sz w:val="24"/>
        </w:rPr>
        <w:t xml:space="preserve">Thị trường nghiêng về nhu cầu thực</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Phân tích từ Batdongsan.com.vn cho thấy mối tương quan rõ rệt giữa lãi suất và thị trường bất động sản. Nếu như giai đoạn 2022 chứng kiến tăng trưởng nóng nhờ đòn bẩy tài chính cao, thì giai đoạn 2025–2026 thị trường đang chuyển mạnh sang nhu cầu ở thực, k</w:t>
      </w:r>
      <w:r>
        <w:rPr>
          <w:rFonts w:ascii="Times New Roman" w:hAnsi="Times New Roman" w:eastAsia="Times New Roman" w:cs="Times New Roman"/>
          <w:color w:val="000000"/>
          <w:sz w:val="24"/>
        </w:rPr>
        <w:t xml:space="preserve">hai thác lâu dài.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Theo ông Hà Nghiệm – Giám đốc Batdongsan.com.vn chi nhánh Đà Nẵng và Miền Trung, các phân khúc nổi bật hiện nay gồm chung cư, đất nền và nhà thấp tầng tại các khu vực Hải Châu, Sơn Trà, Ngũ Hành Sơn và Hòa Vang. Dòng tiền chủ yếu đến từ người dân địa phươn</w:t>
      </w:r>
      <w:r>
        <w:rPr>
          <w:rFonts w:ascii="Times New Roman" w:hAnsi="Times New Roman" w:eastAsia="Times New Roman" w:cs="Times New Roman"/>
          <w:color w:val="000000"/>
          <w:sz w:val="24"/>
        </w:rPr>
        <w:t xml:space="preserve">g, tiếp đến là nhà đầu tư Hà Nội và TP.HCM, phản ánh tâm lý thận trọng nhưng bền vững hơn.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Sau sáp nhập, quỹ đất rộng từ Quảng Nam (cũ) kết hợp với hạ tầng hiện đại của Đà Nẵng đang mở ra không gian phát triển mới cho công nghiệp, logistics, du lịch và đô thị vệ tinh. Tuy nhiên, thách thức về pháp lý, quản lý hành chính và sự chênh lệch hạ tầng </w:t>
      </w:r>
      <w:r>
        <w:rPr>
          <w:rFonts w:ascii="Times New Roman" w:hAnsi="Times New Roman" w:eastAsia="Times New Roman" w:cs="Times New Roman"/>
          <w:color w:val="000000"/>
          <w:sz w:val="24"/>
        </w:rPr>
        <w:t xml:space="preserve">giữa các khu vực vẫn cần thời gian để giải quyết đồng bộ.</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Tại diễn đàn, các chuyên gia đều thống nhất rằng, thành công của chu kỳ phát triển mới không chỉ đo bằng số lượng dự án hay dòng vốn, mà quan trọng hơn là chất lượng tăng trưởng, giá trị gia tăng cho đô thị và đời sống người dân. Điều này đòi hỏi sự phối h</w:t>
      </w:r>
      <w:r>
        <w:rPr>
          <w:rFonts w:ascii="Times New Roman" w:hAnsi="Times New Roman" w:eastAsia="Times New Roman" w:cs="Times New Roman"/>
          <w:color w:val="000000"/>
          <w:sz w:val="24"/>
        </w:rPr>
        <w:t xml:space="preserve">ợp chặt chẽ giữa chính quyền, doanh nghiệp và nhà đầu tư, cùng với việc hạn chế đầu cơ, nâng cao năng lực quản trị và minh bạch hóa thông tin thị trường.</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Với những nền tảng đang hình thành, bất động sản Đà Nẵng được kỳ vọng sẽ bước vào giai đoạn phát triển mới, chậm hơn nhưng chắc hơn, hướng tới một đô thị hiện đại, đáng sống và bền vững trong dài hạn. Đây không chỉ là cơ hội cho thị trường, mà còn là phép </w:t>
      </w:r>
      <w:r>
        <w:rPr>
          <w:rFonts w:ascii="Times New Roman" w:hAnsi="Times New Roman" w:eastAsia="Times New Roman" w:cs="Times New Roman"/>
          <w:color w:val="000000"/>
          <w:sz w:val="24"/>
        </w:rPr>
        <w:t xml:space="preserve">thử cho tầm nhìn và bản lĩnh quản trị của thành phố trong giai đoạn tới.</w:t>
      </w:r>
      <w:r/>
    </w:p>
    <w:p>
      <w:pPr>
        <w:pBdr>
          <w:top w:val="none" w:color="000000" w:sz="4" w:space="0"/>
          <w:left w:val="none" w:color="000000" w:sz="4" w:space="0"/>
          <w:bottom w:val="none" w:color="000000" w:sz="4" w:space="0"/>
          <w:right w:val="none" w:color="000000" w:sz="4" w:space="0"/>
        </w:pBdr>
        <w:shd w:val="clear" w:color="ffffff" w:fill="ffffff"/>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tham khảo: </w:t>
      </w:r>
      <w:r>
        <w:rPr>
          <w:rFonts w:ascii="Times New Roman" w:hAnsi="Times New Roman" w:eastAsia="Times New Roman" w:cs="Times New Roman"/>
          <w:i/>
          <w:color w:val="000000"/>
          <w:sz w:val="24"/>
        </w:rPr>
        <w:t xml:space="preserve">https://tienphong.vn/thi-truong-bat-dong-san-da-nang-dang-o-nguong-cua-cua-chu-ky-phat-trien-moi-post1817135.tpo</w:t>
      </w:r>
      <w:r>
        <w:rPr>
          <w:rFonts w:ascii="Times New Roman" w:hAnsi="Times New Roman" w:eastAsia="Times New Roman" w:cs="Times New Roman"/>
          <w:i/>
          <w:color w:val="000000"/>
          <w:sz w:val="24"/>
          <w:highlight w:val="white"/>
        </w:rPr>
        <w:t xml:space="preserve">)</w:t>
      </w:r>
      <w:r/>
      <w:r>
        <w:rPr>
          <w:lang w:val="pt-BR"/>
        </w:rPr>
      </w:r>
      <w:r>
        <w:rPr>
          <w:i/>
          <w:iCs/>
          <w:lang w:val="pt-BR"/>
        </w:rPr>
      </w:r>
      <w:r/>
      <w:r>
        <w:rPr>
          <w:rFonts w:ascii="Times New Roman" w:hAnsi="Times New Roman" w:eastAsia="Times New Roman" w:cs="Times New Roman"/>
          <w:sz w:val="24"/>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1184, tờ bản đồ số: 17, địa chỉ: Thôn Cẩm Toại Trung, (</w:t>
            </w:r>
            <w:r>
              <w:rPr>
                <w:b/>
                <w:bCs/>
                <w:i/>
                <w:iCs/>
                <w:color w:val="000000"/>
              </w:rPr>
              <w:t xml:space="preserve">xã Hoà Phong, huyện Hoà Vang</w:t>
            </w:r>
            <w:r>
              <w:rPr>
                <w:b/>
                <w:bCs/>
                <w:color w:val="000000"/>
              </w:rPr>
              <w:t xml:space="preserve">) nay là xã Hoà </w:t>
            </w:r>
            <w:r>
              <w:rPr>
                <w:b/>
                <w:bCs/>
                <w:color w:val="000000"/>
              </w:rPr>
              <w:t xml:space="preserve">Vang, TP Đà Nẵng theo Giấy chứng nhận quyền sử dụng đất, quyền sở hữu nhà ở và tài sản khác gắn liền với đất số: BO 649694, số vào sổ cấp GCN: CTs 30239 do Sở Tài nguyên và Môi trường thành phố Đà Nẵng cấp ngày 23/12/2013. Chủ tài sản là Bà Trần Thị Thanh.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1184</w:t>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17</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Cẩm Toại Trung, xã Hòa Phong, huyện Hòa Vang, TP Đà Nẵng</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150,0</w:t>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Công nhận QSDĐ như giao đất có thu tiền sử dụng đất</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đất rộng 5m (</w:t>
            </w:r>
            <w:r>
              <w:rPr>
                <w:i/>
                <w:iCs/>
                <w:color w:val="000000"/>
              </w:rPr>
              <w:t xml:space="preserve">Đường bê tông dẫn vào rộng ~3m</w:t>
            </w:r>
            <w:r>
              <w:rPr>
                <w:color w:val="000000"/>
              </w:rPr>
              <w:t xml:space="preserve">)</w:t>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trục đường Quốc lộ 14B khoảng 230m. Cách UBND xã Hoà Vang khoảng 1,8km.</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 Hướng Tây: Tiếp giáp đường đất rộng 5m;</w:t>
            </w:r>
            <w:r>
              <w:rPr>
                <w:color w:val="000000" w:themeColor="text1"/>
              </w:rPr>
            </w:r>
          </w:p>
          <w:p>
            <w:pPr>
              <w:pBdr/>
              <w:spacing/>
              <w:ind/>
              <w:rPr>
                <w:color w:val="000000" w:themeColor="text1"/>
              </w:rPr>
            </w:pPr>
            <w:r>
              <w:rPr>
                <w:color w:val="000000" w:themeColor="text1"/>
              </w:rPr>
              <w:t xml:space="preserve">+ Các hướng khác: Tiếp giáp thửa đất khác.</w:t>
            </w:r>
            <w:bookmarkEnd w:id="3"/>
            <w:r>
              <w:rPr>
                <w:color w:val="000000" w:themeColor="text1"/>
              </w:r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15.9765</w:t>
            </w:r>
            <w:r>
              <w:rPr>
                <w:color w:val="000000"/>
              </w:rPr>
              <w:t xml:space="preserve">, </w:t>
            </w:r>
            <w:r>
              <w:rPr>
                <w:color w:val="000000"/>
              </w:rPr>
              <w:t xml:space="preserve">108.13730555556</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333067"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333066"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9.93pt;height:200.00pt;mso-wrap-distance-left:0.00pt;mso-wrap-distance-top:0.00pt;mso-wrap-distance-right:0.00pt;mso-wrap-distance-bottom:0.00pt;z-index:1;" stroked="false">
                      <v:imagedata r:id="rId18"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150,0</w:t>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5,1</w:t>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29,6</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Trung bình</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Đất trống.</w:t>
            </w:r>
            <w:r>
              <w:rPr>
                <w:b/>
                <w:bCs/>
                <w:color w:val="000000"/>
              </w:rPr>
            </w:r>
          </w:p>
        </w:tc>
      </w:tr>
    </w:tbl>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Cẩm Toại Trung, </w:t>
            </w:r>
            <w:r>
              <w:t xml:space="preserve">xã Hòa Phong, huyện Hòa Vang, thành phố Đà Nẵng</w:t>
            </w:r>
            <w:r/>
            <w:r/>
          </w:p>
        </w:tc>
        <w:tc>
          <w:tcPr>
            <w:tcBorders/>
            <w:tcW w:w="1605" w:type="dxa"/>
            <w:vAlign w:val="center"/>
            <w:textDirection w:val="lrTb"/>
            <w:noWrap w:val="false"/>
          </w:tcPr>
          <w:p>
            <w:pPr>
              <w:pBdr/>
              <w:spacing/>
              <w:ind/>
              <w:jc w:val="center"/>
              <w:rPr/>
            </w:pPr>
            <w:r>
              <w:t xml:space="preserve">Thôn Cẩm Toại Trung, </w:t>
            </w:r>
            <w:r>
              <w:t xml:space="preserve">xã Hòa Phong, huyện Hòa Vang, thành phố Đà Nẵng</w:t>
            </w:r>
            <w:r/>
            <w:r/>
            <w:r>
              <w:t xml:space="preserve"> ✔</w:t>
            </w:r>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Thôn Cẩm Toại Trung, </w:t>
            </w:r>
            <w:r>
              <w:t xml:space="preserve">xã Hòa Phong, huyện Hòa Vang, thành phố Đà Nẵng</w:t>
            </w:r>
            <w:r/>
            <w:r/>
            <w:r/>
            <w:r/>
            <w:r/>
          </w:p>
        </w:tc>
        <w:tc>
          <w:tcPr>
            <w:tcBorders/>
            <w:tcW w:w="1605" w:type="dxa"/>
            <w:vAlign w:val="center"/>
            <w:textDirection w:val="lrTb"/>
            <w:noWrap w:val="false"/>
          </w:tcPr>
          <w:p>
            <w:pPr>
              <w:pBdr/>
              <w:spacing/>
              <w:ind/>
              <w:jc w:val="center"/>
              <w:rPr/>
            </w:pPr>
            <w:r>
              <w:t xml:space="preserve">Thôn Cẩm Toại Trung, xã Hòa Vang, thành phố Đà Nẵng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Sáp nhập địa giới hành chính</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đất</w:t>
            </w:r>
            <w:r/>
          </w:p>
        </w:tc>
        <w:tc>
          <w:tcPr>
            <w:tcBorders/>
            <w:tcW w:w="1605" w:type="dxa"/>
            <w:vAlign w:val="center"/>
            <w:textDirection w:val="lrTb"/>
            <w:noWrap w:val="false"/>
          </w:tcPr>
          <w:p>
            <w:pPr>
              <w:pBdr/>
              <w:spacing/>
              <w:ind/>
              <w:jc w:val="center"/>
              <w:rPr/>
            </w:pPr>
            <w:r>
              <w:t xml:space="preserve">Đường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5,0</w:t>
            </w:r>
            <w:r/>
          </w:p>
        </w:tc>
        <w:tc>
          <w:tcPr>
            <w:tcBorders/>
            <w:tcW w:w="1605" w:type="dxa"/>
            <w:vAlign w:val="center"/>
            <w:textDirection w:val="lrTb"/>
            <w:noWrap w:val="false"/>
          </w:tcPr>
          <w:p>
            <w:pPr>
              <w:pBdr/>
              <w:spacing/>
              <w:ind/>
              <w:jc w:val="center"/>
              <w:rPr/>
            </w:pPr>
            <w:r>
              <w:t xml:space="preserve">5,0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t xml:space="preserve">Hạ tầng chưa hoàn thiện</w:t>
            </w:r>
            <w:r/>
            <w:r/>
            <w:r/>
          </w:p>
        </w:tc>
        <w:tc>
          <w:tcPr>
            <w:tcBorders/>
            <w:tcW w:w="1605" w:type="dxa"/>
            <w:vAlign w:val="center"/>
            <w:textDirection w:val="lrTb"/>
            <w:noWrap w:val="false"/>
          </w:tcPr>
          <w:p>
            <w:pPr>
              <w:pBdr/>
              <w:spacing/>
              <w:ind/>
              <w:jc w:val="center"/>
              <w:rPr/>
            </w:pPr>
            <w:r>
              <w:t xml:space="preserve">Hạ tầng chưa hoàn thiện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150,0</w:t>
            </w:r>
            <w:r/>
          </w:p>
        </w:tc>
        <w:tc>
          <w:tcPr>
            <w:tcBorders/>
            <w:tcW w:w="1605" w:type="dxa"/>
            <w:vAlign w:val="center"/>
            <w:textDirection w:val="lrTb"/>
            <w:noWrap w:val="false"/>
          </w:tcPr>
          <w:p>
            <w:pPr>
              <w:pBdr/>
              <w:spacing/>
              <w:ind/>
              <w:jc w:val="center"/>
              <w:rPr/>
            </w:pPr>
            <w:r>
              <w:t xml:space="preserve">150,0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5,1</w:t>
            </w:r>
            <w:r/>
          </w:p>
        </w:tc>
        <w:tc>
          <w:tcPr>
            <w:tcBorders/>
            <w:tcW w:w="1605" w:type="dxa"/>
            <w:vAlign w:val="center"/>
            <w:textDirection w:val="lrTb"/>
            <w:noWrap w:val="false"/>
          </w:tcPr>
          <w:p>
            <w:pPr>
              <w:pBdr/>
              <w:spacing/>
              <w:ind/>
              <w:jc w:val="center"/>
              <w:rPr/>
            </w:pPr>
            <w:r>
              <w:t xml:space="preserve">5,1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29,6</w:t>
            </w:r>
            <w:r/>
          </w:p>
        </w:tc>
        <w:tc>
          <w:tcPr>
            <w:tcBorders/>
            <w:tcW w:w="1605" w:type="dxa"/>
            <w:vAlign w:val="center"/>
            <w:textDirection w:val="lrTb"/>
            <w:noWrap w:val="false"/>
          </w:tcPr>
          <w:p>
            <w:pPr>
              <w:pBdr/>
              <w:spacing/>
              <w:ind/>
              <w:jc w:val="center"/>
              <w:rPr/>
            </w:pPr>
            <w:r>
              <w:t xml:space="preserve">29,6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01 mặt tiền</w:t>
            </w:r>
            <w:r/>
          </w:p>
        </w:tc>
        <w:tc>
          <w:tcPr>
            <w:tcBorders/>
            <w:tcW w:w="1605" w:type="dxa"/>
            <w:vAlign w:val="center"/>
            <w:textDirection w:val="lrTb"/>
            <w:noWrap w:val="false"/>
          </w:tcPr>
          <w:p>
            <w:pPr>
              <w:pBdr/>
              <w:spacing/>
              <w:ind/>
              <w:jc w:val="center"/>
              <w:rPr/>
            </w:pPr>
            <w:r>
              <w:t xml:space="preserve">Tiếp giáp 01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w:t>
            </w:r>
            <w:r/>
          </w:p>
        </w:tc>
        <w:tc>
          <w:tcPr>
            <w:tcBorders/>
            <w:tcW w:w="1605" w:type="dxa"/>
            <w:vAlign w:val="center"/>
            <w:textDirection w:val="lrTb"/>
            <w:noWrap w:val="false"/>
          </w:tcPr>
          <w:p>
            <w:pPr>
              <w:pBdr/>
              <w:spacing/>
              <w:ind/>
              <w:jc w:val="center"/>
              <w:rPr/>
            </w:pPr>
            <w:r>
              <w:t xml:space="preserve">Tây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t xml:space="preserve">View khu dân cư</w:t>
            </w:r>
            <w: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t xml:space="preserve">Không có lợi thế kinh doanh</w:t>
            </w:r>
            <w:r/>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r>
              <w:t xml:space="preserve">Vị trí trực xung &amp; Ngõ cụt</w:t>
            </w:r>
            <w:r/>
            <w:r/>
          </w:p>
        </w:tc>
        <w:tc>
          <w:tcPr>
            <w:tcBorders/>
            <w:tcW w:w="1605" w:type="dxa"/>
            <w:vAlign w:val="center"/>
            <w:textDirection w:val="lrTb"/>
            <w:noWrap w:val="false"/>
          </w:tcPr>
          <w:p>
            <w:pPr>
              <w:pBdr/>
              <w:spacing/>
              <w:ind/>
              <w:jc w:val="center"/>
              <w:rPr/>
            </w:pPr>
            <w:r/>
            <w:r>
              <w:t xml:space="preserve">Vị trí trực xung &amp; Ngõ cụt</w:t>
            </w:r>
            <w:r/>
            <w:r/>
            <w:r>
              <w:t xml:space="preserve"> ✔</w:t>
            </w:r>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Trung bình</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rPr>
                <w:lang w:eastAsia="ko-KR"/>
              </w:rPr>
            </w:pPr>
            <w:r>
              <w:rPr>
                <w:lang w:eastAsia="ko-KR"/>
              </w:rPr>
              <w:t xml:space="preserve">Vị trí trực xung.</w:t>
            </w:r>
            <w:r>
              <w:rPr>
                <w:lang w:eastAsia="ko-KR"/>
              </w:rPr>
            </w:r>
          </w:p>
        </w:tc>
      </w:tr>
    </w:tbl>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30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Thôn Cẩm Toại Trung, (</w:t>
            </w:r>
            <w:r>
              <w:rPr>
                <w:rFonts w:ascii="Times New Roman" w:hAnsi="Times New Roman" w:eastAsia="Times New Roman" w:cs="Times New Roman"/>
                <w:i/>
                <w:color w:val="000000"/>
                <w:sz w:val="24"/>
              </w:rPr>
              <w:t xml:space="preserve">xã Hoà Phong, huyện Hoà Vang</w:t>
            </w:r>
            <w:r>
              <w:rPr>
                <w:rFonts w:ascii="Times New Roman" w:hAnsi="Times New Roman" w:eastAsia="Times New Roman" w:cs="Times New Roman"/>
                <w:color w:val="000000"/>
                <w:sz w:val="24"/>
              </w:rPr>
              <w:t xml:space="preserve">) nay là xã Hoà Vang, TP Đà Nẵng </w:t>
            </w:r>
            <w:r>
              <w:rPr>
                <w:sz w:val="22"/>
                <w:szCs w:val="22"/>
              </w:rPr>
            </w:r>
            <w:r>
              <w:rPr>
                <w:sz w:val="22"/>
                <w:szCs w:val="22"/>
              </w:rPr>
            </w:r>
            <w:r>
              <w:rPr>
                <w:color w:val="000000" w:themeColor="text1"/>
                <w:sz w:val="22"/>
                <w:szCs w:val="22"/>
              </w:rPr>
            </w:r>
            <w:r>
              <w:rPr>
                <w:rFonts w:ascii="Times New Roman" w:hAnsi="Times New Roman" w:eastAsia="Times New Roman" w:cs="Times New Roman"/>
                <w:color w:val="000000"/>
                <w:sz w:val="24"/>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La Châu, (xã Hòa Khương, Huyện Hòa Vang) nay là xã Hoà Tiến, thành phố Đà Nẵng</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Thôn Cẩm Toại Tây, (</w:t>
            </w:r>
            <w:r>
              <w:rPr>
                <w:rFonts w:ascii="Times New Roman" w:hAnsi="Times New Roman" w:eastAsia="Times New Roman" w:cs="Times New Roman"/>
                <w:i/>
                <w:color w:val="000000"/>
                <w:sz w:val="24"/>
              </w:rPr>
              <w:t xml:space="preserve">xã Hoà Phong, huyện Hoà Vang</w:t>
            </w:r>
            <w:r>
              <w:rPr>
                <w:rFonts w:ascii="Times New Roman" w:hAnsi="Times New Roman" w:eastAsia="Times New Roman" w:cs="Times New Roman"/>
                <w:color w:val="000000"/>
                <w:sz w:val="24"/>
              </w:rPr>
              <w:t xml:space="preserve">) nay là xã Hoà Vang, TP Đà Nẵng </w:t>
            </w:r>
            <w:r>
              <w:rPr>
                <w:sz w:val="22"/>
                <w:szCs w:val="22"/>
              </w:rPr>
            </w:r>
            <w:r>
              <w:rPr>
                <w:sz w:val="22"/>
                <w:szCs w:val="22"/>
              </w:rPr>
            </w: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Thôn Cẩm Toại Trung, (</w:t>
            </w:r>
            <w:r>
              <w:rPr>
                <w:rFonts w:ascii="Times New Roman" w:hAnsi="Times New Roman" w:eastAsia="Times New Roman" w:cs="Times New Roman"/>
                <w:i/>
                <w:color w:val="000000"/>
                <w:sz w:val="24"/>
              </w:rPr>
              <w:t xml:space="preserve">xã Hoà Phong, huyện Hoà Vang</w:t>
            </w:r>
            <w:r>
              <w:rPr>
                <w:rFonts w:ascii="Times New Roman" w:hAnsi="Times New Roman" w:eastAsia="Times New Roman" w:cs="Times New Roman"/>
                <w:color w:val="000000"/>
                <w:sz w:val="24"/>
              </w:rPr>
              <w:t xml:space="preserve">) nay là xã Hoà Vang, TP Đà Nẵng </w:t>
            </w:r>
            <w:r>
              <w:rPr>
                <w:sz w:val="22"/>
                <w:szCs w:val="22"/>
              </w:rPr>
            </w:r>
            <w:r>
              <w:rPr>
                <w:sz w:val="22"/>
                <w:szCs w:val="22"/>
              </w:rPr>
            </w:r>
            <w:r>
              <w:rPr>
                <w:color w:val="000000" w:themeColor="text1"/>
                <w:sz w:val="22"/>
                <w:szCs w:val="22"/>
              </w:rPr>
            </w:r>
            <w:r>
              <w:rPr>
                <w:sz w:val="22"/>
                <w:szCs w:val="22"/>
              </w:rPr>
            </w:r>
            <w:r>
              <w:rPr>
                <w:sz w:val="22"/>
                <w:szCs w:val="22"/>
              </w:rPr>
            </w:r>
          </w:p>
        </w:tc>
      </w:tr>
      <w:tr>
        <w:trPr>
          <w:trHeight w:val="268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https://batdongsan.com.vn/ban-dat-duong-so-6-xa-hoa-tien-51/ban-lo-mat-chinh-la-chau-vi-tri-dep-gia-sieu-mem-pr44235584</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Phỏng vấn qua Zalo</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https://www.facebook.com/share/p/1N7Drzik9J/</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0775.435916</w:t>
            </w:r>
            <w:r>
              <w:rPr>
                <w:sz w:val="22"/>
                <w:szCs w:val="22"/>
              </w:rPr>
              <w:t xml:space="preserve"> </w:t>
            </w:r>
            <w:r>
              <w:rPr>
                <w:sz w:val="22"/>
                <w:szCs w:val="22"/>
              </w:rPr>
              <w:br/>
              <w:t xml:space="preserve">(</w:t>
            </w:r>
            <w:r>
              <w:rPr>
                <w:sz w:val="22"/>
                <w:szCs w:val="22"/>
              </w:rPr>
              <w:t xml:space="preserve">Minh Uyên</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0398.224102</w:t>
            </w:r>
            <w:r>
              <w:rPr>
                <w:sz w:val="22"/>
                <w:szCs w:val="22"/>
              </w:rPr>
              <w:br/>
            </w:r>
            <w:r>
              <w:rPr>
                <w:sz w:val="22"/>
                <w:szCs w:val="22"/>
              </w:rPr>
              <w:t xml:space="preserve">(</w:t>
            </w:r>
            <w:r>
              <w:rPr>
                <w:sz w:val="22"/>
                <w:szCs w:val="22"/>
              </w:rPr>
              <w:t xml:space="preserve">Huỳnh Hiếu</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0705.235.045</w:t>
            </w:r>
            <w:r>
              <w:rPr>
                <w:sz w:val="22"/>
                <w:szCs w:val="22"/>
              </w:rPr>
              <w:br/>
            </w:r>
            <w:r>
              <w:rPr>
                <w:sz w:val="22"/>
                <w:szCs w:val="22"/>
              </w:rPr>
              <w:t xml:space="preserve">(</w:t>
            </w:r>
            <w:r>
              <w:rPr>
                <w:sz w:val="22"/>
                <w:szCs w:val="22"/>
              </w:rPr>
              <w:t xml:space="preserve">Chính Văn</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ONT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ONT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ONT: 140m</w:t>
            </w:r>
            <w:r>
              <w:rPr>
                <w:color w:val="000000" w:themeColor="text1"/>
                <w:sz w:val="22"/>
                <w:szCs w:val="22"/>
                <w:vertAlign w:val="superscript"/>
              </w:rPr>
              <w:t xml:space="preserve">2</w:t>
            </w:r>
            <w:r>
              <w:rPr>
                <w:color w:val="000000" w:themeColor="text1"/>
                <w:sz w:val="22"/>
                <w:szCs w:val="22"/>
              </w:rPr>
              <w:t xml:space="preserve">; Đất HNK: 84,1m</w:t>
            </w:r>
            <w:r>
              <w:rPr>
                <w:color w:val="000000" w:themeColor="text1"/>
                <w:sz w:val="22"/>
                <w:szCs w:val="22"/>
                <w:vertAlign w:val="superscript"/>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ONT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ONT: Lâu dài; Đất HNK: Có thời hạn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bidi="undefined"/>
              </w:rPr>
            </w:r>
            <w:r>
              <w:rPr>
                <w:color w:val="000000" w:themeColor="text1"/>
                <w:sz w:val="22"/>
                <w:szCs w:val="22"/>
                <w:lang w:val="undefined"/>
              </w:rPr>
              <w:t xml:space="preserve">Thôn Cẩm Toại Trung,</w:t>
            </w:r>
            <w:r>
              <w:rPr>
                <w:color w:val="000000" w:themeColor="text1"/>
                <w:sz w:val="22"/>
                <w:szCs w:val="22"/>
                <w:lang w:val="undefined"/>
              </w:rPr>
              <w:t xml:space="preserve"> xã Hoà Vang, TP Đà Nẵng. </w:t>
            </w:r>
            <w:r>
              <w:rPr>
                <w:color w:val="000000" w:themeColor="text1"/>
                <w:sz w:val="22"/>
                <w:szCs w:val="22"/>
                <w:lang w:val="undefined"/>
              </w:rPr>
              <w:t xml:space="preserve">Cách trục đường Quốc lộ 14B khoảng 230m. Cách UBND xã Hoà Vang khoảng 1,8km.</w:t>
            </w:r>
            <w:r>
              <w:rPr>
                <w:color w:val="000000" w:themeColor="text1"/>
                <w:sz w:val="22"/>
                <w:szCs w:val="22"/>
                <w:lang w:val="undefined"/>
              </w:rPr>
              <w:t xml:space="preserve">  </w:t>
            </w:r>
            <w:r>
              <w:rPr>
                <w:color w:val="000000" w:themeColor="text1"/>
                <w:sz w:val="22"/>
                <w:szCs w:val="22"/>
                <w:lang w:val="undefined" w:bidi="undefined"/>
              </w:rPr>
            </w:r>
            <w:r>
              <w:rPr>
                <w:color w:val="000000" w:themeColor="text1"/>
                <w:sz w:val="22"/>
                <w:szCs w:val="22"/>
                <w:lang w:val="undefined"/>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rPr>
              <w:t xml:space="preserve">Thôn La Châu, xã Hoà Tiến, thành phố Đà Nẵng. </w:t>
            </w:r>
            <w:r>
              <w:rPr>
                <w:color w:val="000000" w:themeColor="text1"/>
                <w:sz w:val="22"/>
                <w:szCs w:val="22"/>
                <w:lang w:val="undefined"/>
              </w:rPr>
              <w:t xml:space="preserve">Cách trục đường Quốc lộ 14B khoảng 1,15km. Cách UBND xã Hoà Vang khoảng 1,96km.</w:t>
            </w:r>
            <w:r>
              <w:rPr>
                <w:color w:val="000000" w:themeColor="text1"/>
                <w:sz w:val="22"/>
                <w:szCs w:val="22"/>
                <w:lang w:val="undefined" w:bidi="undefined"/>
              </w:rPr>
            </w:r>
            <w:r>
              <w:rPr>
                <w:color w:val="000000" w:themeColor="text1"/>
                <w:sz w:val="22"/>
                <w:szCs w:val="22"/>
                <w:lang w:val="undefined"/>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bidi="undefined"/>
              </w:rPr>
            </w:r>
            <w:r>
              <w:rPr>
                <w:color w:val="000000" w:themeColor="text1"/>
                <w:sz w:val="22"/>
                <w:szCs w:val="22"/>
                <w:lang w:val="undefined"/>
              </w:rPr>
              <w:t xml:space="preserve">Thôn Cẩm Toại Tây,</w:t>
            </w:r>
            <w:r>
              <w:rPr>
                <w:color w:val="000000" w:themeColor="text1"/>
                <w:sz w:val="22"/>
                <w:szCs w:val="22"/>
                <w:lang w:val="undefined"/>
              </w:rPr>
              <w:t xml:space="preserve"> xã Hoà Vang, TP Đà Nẵng. </w:t>
            </w:r>
            <w:r>
              <w:rPr>
                <w:color w:val="000000" w:themeColor="text1"/>
                <w:sz w:val="22"/>
                <w:szCs w:val="22"/>
                <w:lang w:val="undefined"/>
              </w:rPr>
              <w:t xml:space="preserve">Cách trục đường Quốc lộ 14B khoảng 2,5km.</w:t>
            </w:r>
            <w:r>
              <w:rPr>
                <w:color w:val="000000" w:themeColor="text1"/>
                <w:sz w:val="22"/>
                <w:szCs w:val="22"/>
                <w:lang w:val="undefined"/>
              </w:rPr>
              <w:t xml:space="preserve">Cách trục đường Nam Kỳ Khởi Nghĩa khoảng 600m. Cách UBND xã Hoà Vang khoảng 2,95km.</w:t>
            </w:r>
            <w:r>
              <w:rPr>
                <w:color w:val="000000" w:themeColor="text1"/>
                <w:sz w:val="22"/>
                <w:szCs w:val="22"/>
                <w:lang w:val="undefined"/>
              </w:rPr>
              <w:t xml:space="preserve"> </w:t>
            </w:r>
            <w:r>
              <w:rPr>
                <w:color w:val="000000" w:themeColor="text1"/>
                <w:sz w:val="22"/>
                <w:szCs w:val="22"/>
                <w:lang w:val="undefined" w:bidi="undefined"/>
              </w:rPr>
            </w:r>
            <w:r>
              <w:rPr>
                <w:color w:val="000000" w:themeColor="text1"/>
                <w:sz w:val="22"/>
                <w:szCs w:val="22"/>
                <w:lang w:val="undefined"/>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bidi="undefined"/>
              </w:rPr>
            </w:r>
            <w:r>
              <w:rPr>
                <w:color w:val="000000" w:themeColor="text1"/>
                <w:sz w:val="22"/>
                <w:szCs w:val="22"/>
                <w:lang w:val="undefined"/>
              </w:rPr>
              <w:t xml:space="preserve">Thôn Cẩm Toại Trung,</w:t>
            </w:r>
            <w:r>
              <w:rPr>
                <w:color w:val="000000" w:themeColor="text1"/>
                <w:sz w:val="22"/>
                <w:szCs w:val="22"/>
                <w:lang w:val="undefined"/>
              </w:rPr>
              <w:t xml:space="preserve"> xã Hoà Vang, TP Đà Nẵng. </w:t>
            </w:r>
            <w:r>
              <w:rPr>
                <w:color w:val="000000" w:themeColor="text1"/>
                <w:sz w:val="22"/>
                <w:szCs w:val="22"/>
                <w:lang w:val="undefined" w:bidi="undefined"/>
              </w:rPr>
            </w:r>
            <w:r>
              <w:rPr>
                <w:color w:val="000000" w:themeColor="text1"/>
                <w:sz w:val="22"/>
                <w:szCs w:val="22"/>
                <w:lang w:val="undefined"/>
              </w:rPr>
              <w:t xml:space="preserve">Cách trục đường Quốc lộ 14B khoảng 220m. Cách UBND xã Hoà Vang khoảng 1,7km.</w:t>
            </w:r>
            <w:r>
              <w:rPr>
                <w:color w:val="000000" w:themeColor="text1"/>
                <w:sz w:val="22"/>
                <w:szCs w:val="22"/>
                <w:lang w:val="undefined" w:bidi="undefined"/>
              </w:rPr>
            </w:r>
            <w:r>
              <w:rPr>
                <w:color w:val="000000" w:themeColor="text1"/>
                <w:sz w:val="22"/>
                <w:szCs w:val="22"/>
                <w:lang w:val="undefined"/>
              </w:rPr>
              <w:t xml:space="preserve"> </w:t>
            </w:r>
            <w:r>
              <w:rPr>
                <w:color w:val="000000" w:themeColor="text1"/>
                <w:sz w:val="22"/>
                <w:szCs w:val="22"/>
                <w:lang w:val="undefined" w:bidi="undefined"/>
              </w:rPr>
            </w:r>
            <w:r>
              <w:rPr>
                <w:color w:val="000000" w:themeColor="text1"/>
                <w:sz w:val="22"/>
                <w:szCs w:val="22"/>
                <w:lang w:val="undefined"/>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156,1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224,1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155,0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30,73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34,69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20,67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t xml:space="preserve">Vị trí trực xung &amp; Ngõ cụt</w:t>
            </w: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t xml:space="preserve">Vị trí trực xung </w:t>
            </w: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1.295.000.000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1.165.500.000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1.350.000.000</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1.080.000.000</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1.165.500.000</w:t>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8.648.302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4.819.277</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7.519.355</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8"/>
        <w:gridCol w:w="1765"/>
        <w:gridCol w:w="1030"/>
        <w:gridCol w:w="1522"/>
        <w:gridCol w:w="1522"/>
        <w:gridCol w:w="1522"/>
        <w:gridCol w:w="1522"/>
      </w:tblGrid>
      <w:tr>
        <w:trPr>
          <w:trHeight w:val="20"/>
          <w:tblHeader/>
        </w:trPr>
        <w:tc>
          <w:tcPr>
            <w:shd w:val="clear" w:color="000000" w:fill="ffffff"/>
            <w:tcBorders/>
            <w:tcW w:w="958"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958"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1.350.000.000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1.080.000.000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1.165.500.000</w:t>
            </w:r>
            <w:r>
              <w:rPr>
                <w:color w:val="000000"/>
                <w:sz w:val="20"/>
                <w:szCs w:val="20"/>
              </w:rPr>
            </w:r>
          </w:p>
        </w:tc>
      </w:tr>
      <w:tr>
        <w:trPr>
          <w:trHeight w:val="20"/>
        </w:trPr>
        <w:tc>
          <w:tcPr>
            <w:shd w:val="clear" w:color="000000" w:fill="ffffff"/>
            <w:tcBorders/>
            <w:tcW w:w="958"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8.648.302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4.819.277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7.519.355</w:t>
            </w:r>
            <w:r>
              <w:rPr>
                <w:color w:val="000000"/>
                <w:sz w:val="22"/>
                <w:szCs w:val="22"/>
              </w:rPr>
            </w:r>
          </w:p>
        </w:tc>
      </w:tr>
      <w:tr>
        <w:trPr>
          <w:trHeight w:val="20"/>
        </w:trPr>
        <w:tc>
          <w:tcPr>
            <w:shd w:val="clear" w:color="000000" w:fill="ffffff"/>
            <w:tcBorders/>
            <w:tcW w:w="958"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9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GCN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GCN</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GCN</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GCN</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8.648.302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4.819.277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7.519.355</w:t>
            </w:r>
            <w:r>
              <w:rPr>
                <w:color w:val="000000"/>
                <w:sz w:val="22"/>
                <w:szCs w:val="22"/>
              </w:rPr>
            </w:r>
          </w:p>
        </w:tc>
      </w:tr>
      <w:tr>
        <w:trPr>
          <w:trHeight w:val="20"/>
        </w:trPr>
        <w:tc>
          <w:tcPr>
            <w:shd w:val="clear" w:color="000000" w:fill="ffffff"/>
            <w:tcBorders/>
            <w:tcW w:w="9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ONT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ONT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ONT: 140m</w:t>
            </w:r>
            <w:r>
              <w:rPr>
                <w:color w:val="000000" w:themeColor="text1"/>
                <w:sz w:val="22"/>
                <w:szCs w:val="22"/>
                <w:vertAlign w:val="superscript"/>
              </w:rPr>
              <w:t xml:space="preserve">2</w:t>
            </w:r>
            <w:r>
              <w:rPr>
                <w:color w:val="000000" w:themeColor="text1"/>
                <w:sz w:val="22"/>
                <w:szCs w:val="22"/>
              </w:rPr>
              <w:t xml:space="preserve">; Đất HNK: 84,1m</w:t>
            </w:r>
            <w:r>
              <w:rPr>
                <w:color w:val="000000" w:themeColor="text1"/>
                <w:sz w:val="22"/>
                <w:szCs w:val="22"/>
                <w:vertAlign w:val="superscript"/>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ONT</w:t>
            </w:r>
            <w:r>
              <w:rPr>
                <w:color w:val="000000"/>
                <w:sz w:val="22"/>
                <w:szCs w:val="22"/>
              </w:rPr>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481.928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8.648.302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5.301.205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7.519.355</w:t>
            </w:r>
            <w:r>
              <w:rPr>
                <w:color w:val="000000"/>
                <w:sz w:val="22"/>
                <w:szCs w:val="22"/>
              </w:rPr>
            </w:r>
          </w:p>
        </w:tc>
      </w:tr>
      <w:tr>
        <w:trPr>
          <w:trHeight w:val="20"/>
        </w:trPr>
        <w:tc>
          <w:tcPr>
            <w:shd w:val="clear" w:color="000000" w:fill="ffffff"/>
            <w:tcBorders/>
            <w:tcW w:w="9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Thôn Cẩm Toại Trung,</w:t>
            </w:r>
            <w:r>
              <w:rPr>
                <w:color w:val="000000" w:themeColor="text1"/>
                <w:sz w:val="22"/>
                <w:szCs w:val="22"/>
              </w:rPr>
              <w:t xml:space="preserve"> xã Hoà Vang, TP Đà Nẵng. </w:t>
            </w:r>
            <w:r>
              <w:rPr>
                <w:color w:val="000000" w:themeColor="text1"/>
                <w:sz w:val="22"/>
                <w:szCs w:val="22"/>
              </w:rPr>
              <w:t xml:space="preserve">Cách trục đường Quốc lộ 14B khoảng 230m. Cách UBND xã Hoà Vang khoảng 1,8km.</w:t>
            </w:r>
            <w:r>
              <w:rPr>
                <w:color w:val="000000" w:themeColor="text1"/>
                <w:sz w:val="22"/>
                <w:szCs w:val="22"/>
              </w:rPr>
              <w:t xml:space="preserve">  </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Thôn La Châu, xã Hoà Tiến, thành phố Đà Nẵng. </w:t>
            </w:r>
            <w:r>
              <w:rPr>
                <w:color w:val="000000" w:themeColor="text1"/>
                <w:sz w:val="22"/>
                <w:szCs w:val="22"/>
              </w:rPr>
              <w:t xml:space="preserve">Cách trục đường Quốc lộ 14B khoảng 1,15km. Cách UBND xã Hoà Vang khoảng 1,96km.</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Thôn Cẩm Toại Tây,</w:t>
            </w:r>
            <w:r>
              <w:rPr>
                <w:color w:val="000000" w:themeColor="text1"/>
                <w:sz w:val="22"/>
                <w:szCs w:val="22"/>
              </w:rPr>
              <w:t xml:space="preserve"> xã Hoà Vang, TP Đà Nẵng. </w:t>
            </w:r>
            <w:r>
              <w:rPr>
                <w:color w:val="000000" w:themeColor="text1"/>
                <w:sz w:val="22"/>
                <w:szCs w:val="22"/>
              </w:rPr>
              <w:t xml:space="preserve">Cách trục đường Quốc lộ 14B khoảng 2,5km.</w:t>
            </w:r>
            <w:r>
              <w:rPr>
                <w:color w:val="000000" w:themeColor="text1"/>
                <w:sz w:val="22"/>
                <w:szCs w:val="22"/>
              </w:rPr>
              <w:t xml:space="preserve">Cách trục đường Nam Kỳ Khởi Nghĩa khoảng 600m. Cách UBND xã Hoà Vang khoảng 2,95km.</w:t>
            </w:r>
            <w:r>
              <w:rPr>
                <w:color w:val="000000" w:themeColor="text1"/>
                <w:sz w:val="22"/>
                <w:szCs w:val="22"/>
              </w:rPr>
              <w:t xml:space="preserve"> </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Thôn Cẩm Toại Trung,</w:t>
            </w:r>
            <w:r>
              <w:rPr>
                <w:color w:val="000000" w:themeColor="text1"/>
                <w:sz w:val="22"/>
                <w:szCs w:val="22"/>
              </w:rPr>
              <w:t xml:space="preserve"> xã Hoà Vang, TP Đà Nẵng. </w:t>
            </w:r>
            <w:r>
              <w:rPr>
                <w:color w:val="000000" w:themeColor="text1"/>
                <w:sz w:val="22"/>
                <w:szCs w:val="22"/>
              </w:rPr>
              <w:t xml:space="preserve">Cách trục đường Quốc lộ 14B khoảng 220m. Cách UBND xã Hoà Vang khoảng 1,7km.</w:t>
            </w:r>
            <w:r>
              <w:rPr>
                <w:color w:val="000000" w:themeColor="text1"/>
                <w:sz w:val="22"/>
                <w:szCs w:val="22"/>
              </w:rPr>
              <w:t xml:space="preserve"> </w:t>
            </w:r>
            <w:r>
              <w:rPr>
                <w:color w:val="000000" w:themeColor="text1"/>
                <w:sz w:val="22"/>
                <w:szCs w:val="22"/>
                <w14:ligatures w14:val="none"/>
              </w:rPr>
            </w:r>
            <w:r>
              <w:rPr>
                <w:color w:val="000000" w:themeColor="text1"/>
                <w:sz w:val="22"/>
                <w:szCs w:val="22"/>
                <w14:ligatures w14:val="none"/>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432.415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722.892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375.968</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9.080.717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6.024.097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7.895.323</w:t>
            </w:r>
            <w:r>
              <w:rPr>
                <w:color w:val="000000"/>
                <w:sz w:val="22"/>
                <w:szCs w:val="22"/>
              </w:rPr>
            </w:r>
          </w:p>
        </w:tc>
      </w:tr>
      <w:tr>
        <w:trPr>
          <w:trHeight w:val="20"/>
        </w:trPr>
        <w:tc>
          <w:tcPr>
            <w:shd w:val="clear" w:color="000000" w:fill="ffffff"/>
            <w:tcBorders/>
            <w:tcW w:w="9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-432.415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-240.964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-375.968</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8.648.302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5.783.133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7.519.355</w:t>
            </w:r>
            <w:r>
              <w:rPr>
                <w:color w:val="000000"/>
                <w:sz w:val="22"/>
                <w:szCs w:val="22"/>
              </w:rPr>
            </w:r>
          </w:p>
        </w:tc>
      </w:tr>
      <w:tr>
        <w:trPr>
          <w:trHeight w:val="20"/>
        </w:trPr>
        <w:tc>
          <w:tcPr>
            <w:shd w:val="clear" w:color="000000" w:fill="ffffff"/>
            <w:tcBorders/>
            <w:tcW w:w="9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-259.449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240.964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751.936</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8.388.853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6.024.097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8.271.291</w:t>
            </w:r>
            <w:r>
              <w:rPr>
                <w:color w:val="000000"/>
                <w:sz w:val="22"/>
                <w:szCs w:val="22"/>
              </w:rPr>
            </w:r>
          </w:p>
        </w:tc>
      </w:tr>
      <w:tr>
        <w:trPr>
          <w:trHeight w:val="20"/>
        </w:trPr>
        <w:tc>
          <w:tcPr>
            <w:shd w:val="clear" w:color="000000" w:fill="ffffff"/>
            <w:tcBorders/>
            <w:tcW w:w="9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
              <w:rPr>
                <w:b/>
                <w:bCs/>
                <w:color w:val="000000" w:themeColor="text1"/>
                <w:sz w:val="22"/>
                <w:szCs w:val="22"/>
              </w:rPr>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-432.415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-144.578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-150.387</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7.956.438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5.879.519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8.120.904</w:t>
            </w:r>
            <w:r>
              <w:rPr>
                <w:color w:val="000000"/>
                <w:sz w:val="22"/>
                <w:szCs w:val="22"/>
              </w:rPr>
            </w:r>
          </w:p>
        </w:tc>
      </w:tr>
      <w:tr>
        <w:trPr>
          <w:trHeight w:val="20"/>
        </w:trPr>
        <w:tc>
          <w:tcPr>
            <w:shd w:val="clear" w:color="000000" w:fill="ffffff"/>
            <w:tcBorders/>
            <w:tcW w:w="9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156,1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224,1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155,0</w:t>
            </w:r>
            <w:r>
              <w:rPr>
                <w:b/>
                <w:bCs/>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578.313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7.956.438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6.457.832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8.120.904</w:t>
            </w:r>
            <w:r>
              <w:rPr>
                <w:color w:val="000000"/>
                <w:sz w:val="22"/>
                <w:szCs w:val="22"/>
              </w:rPr>
            </w:r>
          </w:p>
        </w:tc>
      </w:tr>
      <w:tr>
        <w:trPr>
          <w:trHeight w:val="20"/>
        </w:trPr>
        <w:tc>
          <w:tcPr>
            <w:shd w:val="clear" w:color="000000" w:fill="ffffff"/>
            <w:tcBorders/>
            <w:tcW w:w="9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
              <w:rPr>
                <w:b/>
                <w:bCs/>
                <w:color w:val="000000" w:themeColor="text1"/>
                <w:sz w:val="22"/>
                <w:szCs w:val="22"/>
              </w:rPr>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6,46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-240.964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-526.355</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7.956.438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6.216.868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7.594.549</w:t>
            </w:r>
            <w:r>
              <w:rPr>
                <w:color w:val="000000"/>
                <w:sz w:val="22"/>
                <w:szCs w:val="22"/>
              </w:rPr>
            </w:r>
          </w:p>
        </w:tc>
      </w:tr>
      <w:tr>
        <w:trPr>
          <w:trHeight w:val="20"/>
        </w:trPr>
        <w:tc>
          <w:tcPr>
            <w:shd w:val="clear" w:color="000000" w:fill="ffffff"/>
            <w:tcBorders/>
            <w:tcW w:w="9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7.956.438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6.216.868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7.594.549</w:t>
            </w:r>
            <w:r>
              <w:rPr>
                <w:color w:val="000000"/>
                <w:sz w:val="22"/>
                <w:szCs w:val="22"/>
              </w:rPr>
            </w:r>
          </w:p>
        </w:tc>
      </w:tr>
      <w:tr>
        <w:trPr>
          <w:trHeight w:val="20"/>
        </w:trPr>
        <w:tc>
          <w:tcPr>
            <w:shd w:val="clear" w:color="000000" w:fill="ffffff"/>
            <w:tcBorders/>
            <w:tcW w:w="9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172.966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8.129.404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6.216.868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7.594.549</w:t>
            </w:r>
            <w:r>
              <w:rPr>
                <w:color w:val="000000"/>
                <w:sz w:val="22"/>
                <w:szCs w:val="22"/>
              </w:rPr>
            </w:r>
          </w:p>
        </w:tc>
      </w:tr>
      <w:tr>
        <w:trPr>
          <w:trHeight w:val="20"/>
        </w:trPr>
        <w:tc>
          <w:tcPr>
            <w:shd w:val="clear" w:color="000000" w:fill="ffffff"/>
            <w:tcBorders/>
            <w:tcW w:w="95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khác</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
              <w:t xml:space="preserve">Vị trí trực xung &amp; Ngõ cụt</w:t>
            </w:r>
            <w:r/>
            <w:r/>
            <w:r>
              <w:rPr>
                <w:color w:val="000000" w:themeColor="text1"/>
                <w:sz w:val="22"/>
                <w:szCs w:val="22"/>
              </w:rPr>
            </w:r>
            <w:r>
              <w:rPr>
                <w:b/>
                <w:bCs/>
                <w:color w:val="000000"/>
                <w:sz w:val="22"/>
                <w:szCs w:val="22"/>
              </w:rPr>
            </w: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
              <w:t xml:space="preserve">Vị trí trực xung </w:t>
            </w:r>
            <w:r/>
            <w:r>
              <w:rPr>
                <w:color w:val="000000" w:themeColor="text1"/>
                <w:sz w:val="22"/>
                <w:szCs w:val="22"/>
              </w:rPr>
            </w:r>
            <w:r>
              <w:rPr>
                <w:b/>
                <w:bCs/>
                <w:color w:val="000000"/>
                <w:sz w:val="22"/>
                <w:szCs w:val="22"/>
              </w:rPr>
            </w: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-432.415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-96.386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-375.968</w:t>
            </w:r>
            <w:r>
              <w:rPr>
                <w:color w:val="000000"/>
                <w:sz w:val="22"/>
                <w:szCs w:val="22"/>
              </w:rPr>
            </w:r>
          </w:p>
        </w:tc>
      </w:tr>
      <w:tr>
        <w:trPr>
          <w:trHeight w:val="20"/>
        </w:trPr>
        <w:tc>
          <w:tcPr>
            <w:tcBorders/>
            <w:tcW w:w="95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7.696.989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6.120.482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7.218.581</w:t>
            </w:r>
            <w:r>
              <w:rPr>
                <w:color w:val="000000"/>
                <w:sz w:val="22"/>
                <w:szCs w:val="22"/>
              </w:rPr>
            </w:r>
          </w:p>
        </w:tc>
      </w:tr>
      <w:tr>
        <w:trPr>
          <w:trHeight w:val="20"/>
        </w:trPr>
        <w:tc>
          <w:tcPr>
            <w:shd w:val="clear" w:color="000000" w:fill="ffffff"/>
            <w:tcBorders/>
            <w:tcW w:w="958"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7.696.989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6.120.482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7.218.581</w:t>
            </w:r>
            <w:r>
              <w:rPr>
                <w:b/>
                <w:bCs/>
                <w:color w:val="000000"/>
                <w:sz w:val="22"/>
                <w:szCs w:val="22"/>
              </w:rPr>
            </w:r>
          </w:p>
        </w:tc>
      </w:tr>
      <w:tr>
        <w:trPr>
          <w:trHeight w:val="20"/>
        </w:trPr>
        <w:tc>
          <w:tcPr>
            <w:shd w:val="clear" w:color="000000" w:fill="ffffff"/>
            <w:tcBorders/>
            <w:tcW w:w="958"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7.012.017</w:t>
            </w:r>
            <w:r>
              <w:rPr>
                <w:b/>
                <w:bCs/>
                <w:color w:val="000000"/>
                <w:sz w:val="22"/>
                <w:szCs w:val="22"/>
              </w:rPr>
            </w:r>
          </w:p>
        </w:tc>
      </w:tr>
      <w:tr>
        <w:trPr>
          <w:trHeight w:val="20"/>
        </w:trPr>
        <w:tc>
          <w:tcPr>
            <w:shd w:val="clear" w:color="000000" w:fill="ffffff"/>
            <w:tcBorders/>
            <w:tcW w:w="958"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9.77%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-12.71%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2.95%</w:t>
            </w:r>
            <w:r>
              <w:rPr>
                <w:color w:val="000000"/>
                <w:sz w:val="22"/>
                <w:szCs w:val="22"/>
              </w:rPr>
            </w:r>
          </w:p>
        </w:tc>
      </w:tr>
      <w:tr>
        <w:trPr>
          <w:trHeight w:val="20"/>
        </w:trPr>
        <w:tc>
          <w:tcPr>
            <w:shd w:val="clear" w:color="000000" w:fill="ffffff"/>
            <w:tcBorders/>
            <w:tcW w:w="958"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958"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2.162.075</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2.746.989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2.556.582</w:t>
            </w:r>
            <w:r>
              <w:rPr>
                <w:b/>
                <w:bCs/>
                <w:color w:val="000000"/>
                <w:sz w:val="22"/>
                <w:szCs w:val="22"/>
              </w:rPr>
            </w:r>
          </w:p>
        </w:tc>
      </w:tr>
      <w:tr>
        <w:trPr>
          <w:trHeight w:val="20"/>
        </w:trPr>
        <w:tc>
          <w:tcPr>
            <w:shd w:val="clear" w:color="000000" w:fill="ffffff"/>
            <w:tcBorders/>
            <w:tcW w:w="958"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p>
        </w:tc>
      </w:tr>
      <w:tr>
        <w:trPr>
          <w:trHeight w:val="20"/>
        </w:trPr>
        <w:tc>
          <w:tcPr>
            <w:shd w:val="clear" w:color="000000" w:fill="ffffff"/>
            <w:tcBorders/>
            <w:tcW w:w="958"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r>
      <w:tr>
        <w:trPr>
          <w:trHeight w:val="20"/>
        </w:trPr>
        <w:tc>
          <w:tcPr>
            <w:shd w:val="clear" w:color="000000" w:fill="ffffff"/>
            <w:tcBorders/>
            <w:tcW w:w="958"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951.313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1.301.205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300.774</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-12,71</w:t>
      </w:r>
      <w:r>
        <w:t xml:space="preserve">% </w:t>
      </w:r>
      <w:r>
        <w:t xml:space="preserve">đến</w:t>
      </w:r>
      <w:r>
        <w:t xml:space="preserve"> </w:t>
      </w:r>
      <w:r>
        <w:t xml:space="preserve"> </w:t>
      </w:r>
      <w:r>
        <w:t xml:space="preserve">9,77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7.696.989</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2.566.176</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6.120.482</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2.039.957</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7.218.581</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2.405.953</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7.012.086</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7.000.000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7.000.000</w:t>
      </w:r>
      <w:r>
        <w:rPr>
          <w:b/>
          <w:bCs/>
          <w:color w:val="000000" w:themeColor="text1"/>
        </w:rPr>
        <w:t xml:space="preserve"> </w:t>
      </w:r>
      <w:r>
        <w:rPr>
          <w:b/>
          <w:bCs/>
        </w:rPr>
        <w:t xml:space="preserve">đồng</w:t>
      </w:r>
      <w:r>
        <w:rPr>
          <w:b/>
          <w:bCs/>
        </w:rPr>
        <w:t xml:space="preserve">/m².</w:t>
      </w:r>
      <w:r>
        <w:rPr>
          <w:b/>
          <w:bCs/>
        </w:rPr>
      </w:r>
      <w:r>
        <w:rPr>
          <w:b/>
          <w:lang w:val="pt-BR"/>
        </w:rPr>
      </w:r>
      <w:r>
        <w:rPr>
          <w:b/>
          <w:lang w:val="pt-BR"/>
        </w:rPr>
      </w:r>
      <w:r>
        <w:rPr>
          <w:b/>
          <w:bCs/>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6"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659"/>
        <w:gridCol w:w="1802"/>
        <w:gridCol w:w="2166"/>
        <w:gridCol w:w="223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659"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16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28" w:type="dxa"/>
            <w:vAlign w:val="center"/>
            <w:textDirection w:val="lrTb"/>
            <w:noWrap w:val="false"/>
          </w:tcPr>
          <w:p>
            <w:pPr>
              <w:pBdr/>
              <w:spacing w:after="40" w:before="40" w:line="288" w:lineRule="auto"/>
              <w:ind/>
              <w:jc w:val="both"/>
              <w:rPr>
                <w:b/>
                <w:bCs/>
              </w:rPr>
            </w:pPr>
            <w:r>
              <w:rPr>
                <w:b/>
                <w:bCs/>
                <w:color w:val="000000"/>
              </w:rPr>
              <w:t xml:space="preserve">Giá trị quyền sử dụng đất tại Thửa đất số: 1184, tờ bản đồ số: 17, địa chỉ: Thôn Cẩm Toại Trung, (</w:t>
            </w:r>
            <w:r>
              <w:rPr>
                <w:b/>
                <w:bCs/>
                <w:i/>
                <w:iCs/>
                <w:color w:val="000000"/>
              </w:rPr>
              <w:t xml:space="preserve">xã Hoà Phong, huyện Hoà Vang</w:t>
            </w:r>
            <w:r>
              <w:rPr>
                <w:b/>
                <w:bCs/>
                <w:color w:val="000000"/>
              </w:rPr>
              <w:t xml:space="preserve">) nay là xã Hoà </w:t>
            </w:r>
            <w:r>
              <w:rPr>
                <w:b/>
                <w:bCs/>
                <w:color w:val="000000"/>
              </w:rPr>
              <w:t xml:space="preserve">Vang, TP Đà Nẵng theo Giấy chứng nhận quyền sử dụng đất, quyền sở hữu nhà ở và tài sản khác gắn liền với đất số: BO 649694, số vào sổ cấp GCN: CTs 30239 do Sở Tài nguyên và Môi trường thành phố Đà Nẵng cấp ngày 23/12/2013. Chủ tài sản là Bà Trần Thị Thanh.</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659"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150,0</w:t>
            </w:r>
            <w:r>
              <w:rPr>
                <w:color w:val="000000"/>
              </w:rPr>
            </w:r>
            <w:r>
              <w:rPr>
                <w:color w:val="000000"/>
              </w:rPr>
            </w:r>
          </w:p>
        </w:tc>
        <w:tc>
          <w:tcPr>
            <w:shd w:val="clear" w:color="000000" w:fill="ffffff"/>
            <w:tcBorders/>
            <w:tcW w:w="2166" w:type="dxa"/>
            <w:vAlign w:val="center"/>
            <w:textDirection w:val="lrTb"/>
            <w:noWrap w:val="false"/>
          </w:tcPr>
          <w:p>
            <w:pPr>
              <w:pBdr/>
              <w:spacing w:after="40" w:before="40" w:line="288" w:lineRule="auto"/>
              <w:ind/>
              <w:jc w:val="center"/>
              <w:rPr/>
            </w:pPr>
            <w:r>
              <w:rPr>
                <w:color w:val="000000" w:themeColor="text1"/>
              </w:rPr>
              <w:t xml:space="preserve">7.000.000</w:t>
            </w:r>
            <w:r/>
            <w:r/>
          </w:p>
        </w:tc>
        <w:tc>
          <w:tcPr>
            <w:shd w:val="clear" w:color="000000" w:fill="ffffff"/>
            <w:tcBorders/>
            <w:tcW w:w="2234" w:type="dxa"/>
            <w:vAlign w:val="center"/>
            <w:textDirection w:val="lrTb"/>
            <w:noWrap w:val="false"/>
          </w:tcPr>
          <w:p>
            <w:pPr>
              <w:pBdr/>
              <w:spacing w:after="40" w:before="40" w:line="288" w:lineRule="auto"/>
              <w:ind/>
              <w:jc w:val="center"/>
              <w:rPr/>
            </w:pPr>
            <w:r>
              <w:rPr>
                <w:color w:val="000000" w:themeColor="text1"/>
              </w:rPr>
              <w:t xml:space="preserve">1.050.000.000</w:t>
            </w:r>
            <w:r/>
            <w:r/>
          </w:p>
        </w:tc>
      </w:tr>
      <w:tr>
        <w:trPr>
          <w:trHeight w:val="20"/>
        </w:trPr>
        <w:tc>
          <w:tcPr>
            <w:gridSpan w:val="4"/>
            <w:tcBorders/>
            <w:tcW w:w="730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34" w:type="dxa"/>
            <w:vAlign w:val="center"/>
            <w:textDirection w:val="lrTb"/>
            <w:noWrap/>
          </w:tcPr>
          <w:p>
            <w:pPr>
              <w:pBdr/>
              <w:spacing w:after="40" w:before="40" w:line="288" w:lineRule="auto"/>
              <w:ind/>
              <w:jc w:val="center"/>
              <w:rPr>
                <w:b/>
                <w:bCs/>
                <w:color w:val="000000"/>
              </w:rPr>
            </w:pPr>
            <w:r>
              <w:t xml:space="preserve">1.050.000.000</w:t>
            </w:r>
            <w:r>
              <w:rPr>
                <w:b/>
                <w:bCs/>
                <w:color w:val="000000"/>
              </w:rPr>
            </w:r>
            <w:r>
              <w:rPr>
                <w:b/>
                <w:bCs/>
                <w:color w:val="000000"/>
              </w:rPr>
            </w:r>
          </w:p>
        </w:tc>
      </w:tr>
      <w:tr>
        <w:trPr>
          <w:trHeight w:val="20"/>
        </w:trPr>
        <w:tc>
          <w:tcPr>
            <w:gridSpan w:val="4"/>
            <w:tcBorders/>
            <w:tcW w:w="730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34" w:type="dxa"/>
            <w:vAlign w:val="center"/>
            <w:textDirection w:val="lrTb"/>
            <w:noWrap/>
          </w:tcPr>
          <w:p>
            <w:pPr>
              <w:pBdr/>
              <w:spacing w:after="40" w:before="40" w:line="288" w:lineRule="auto"/>
              <w:ind/>
              <w:jc w:val="center"/>
              <w:rPr>
                <w:b/>
                <w:bCs/>
                <w:color w:val="000000"/>
              </w:rPr>
            </w:pPr>
            <w:r>
              <w:rPr>
                <w:b/>
                <w:bCs/>
                <w:color w:val="000000"/>
              </w:rPr>
              <w:t xml:space="preserve">1.050.000.000</w:t>
            </w:r>
            <w:r>
              <w:rPr>
                <w:b/>
                <w:bCs/>
                <w:color w:val="000000"/>
              </w:rPr>
            </w:r>
            <w:r>
              <w:rPr>
                <w:b/>
                <w:bCs/>
                <w:color w:val="000000"/>
              </w:rPr>
            </w:r>
          </w:p>
        </w:tc>
      </w:tr>
      <w:tr>
        <w:trPr>
          <w:trHeight w:val="20"/>
        </w:trPr>
        <w:tc>
          <w:tcPr>
            <w:gridSpan w:val="5"/>
            <w:tcBorders/>
            <w:tcW w:w="9537"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năm mươi triệu đồng</w:t>
            </w:r>
            <w:r>
              <w:rPr>
                <w:b/>
                <w:bCs/>
                <w:i/>
                <w:iCs/>
                <w:color w:val="000000"/>
              </w:rPr>
              <w:t xml:space="preserve">./.)</w:t>
            </w:r>
            <w:r>
              <w:rPr>
                <w:b/>
                <w:bCs/>
                <w:i/>
                <w:iCs/>
                <w:color w:val="000000"/>
              </w:rPr>
            </w:r>
            <w:r>
              <w:rPr>
                <w:b/>
                <w:bCs/>
                <w:i/>
                <w:iCs/>
                <w:color w:val="000000"/>
              </w:rPr>
            </w:r>
          </w:p>
        </w:tc>
      </w:tr>
    </w:tbl>
    <w:p>
      <w:pPr>
        <w:pStyle w:val="856"/>
        <w:pBdr/>
        <w:tabs>
          <w:tab w:val="left" w:leader="none" w:pos="993"/>
        </w:tabs>
        <w:spacing w:after="120" w:before="120" w:line="288" w:lineRule="auto"/>
        <w:ind w:left="0"/>
        <w:jc w:val="both"/>
        <w:rPr>
          <w:b/>
          <w:bCs/>
          <w:lang w:val="pt-BR"/>
        </w:rPr>
      </w:pPr>
      <w:r>
        <w:rPr>
          <w:b/>
          <w:bCs/>
          <w:highlight w:val="none"/>
          <w:lang w:val="pt-BR"/>
        </w:rPr>
      </w:r>
      <w:r>
        <w:rPr>
          <w:b/>
          <w:bCs/>
          <w:highlight w:val="none"/>
          <w:lang w:val="pt-BR"/>
        </w:rPr>
      </w:r>
      <w:r>
        <w:rPr>
          <w:b/>
          <w:bCs/>
          <w:highlight w:val="none"/>
          <w:lang w:val="pt-BR"/>
        </w:rPr>
      </w:r>
    </w:p>
    <w:p>
      <w:pPr>
        <w:pStyle w:val="856"/>
        <w:pBdr/>
        <w:tabs>
          <w:tab w:val="left" w:leader="none" w:pos="993"/>
        </w:tabs>
        <w:spacing w:after="120" w:before="120" w:line="341"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341"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341"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341"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341"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341"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341"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341"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341"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341"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341"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341"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pPr>
        <w:pStyle w:val="856"/>
        <w:numPr>
          <w:ilvl w:val="0"/>
          <w:numId w:val="5"/>
        </w:numPr>
        <w:pBdr/>
        <w:tabs>
          <w:tab w:val="left" w:leader="none" w:pos="993"/>
        </w:tabs>
        <w:spacing w:after="120" w:before="120" w:line="341"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pPr>
        <w:pStyle w:val="856"/>
        <w:numPr>
          <w:ilvl w:val="0"/>
          <w:numId w:val="5"/>
        </w:numPr>
        <w:pBdr/>
        <w:tabs>
          <w:tab w:val="left" w:leader="none" w:pos="993"/>
        </w:tabs>
        <w:spacing w:after="120" w:before="120" w:line="341"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pPr>
        <w:pStyle w:val="856"/>
        <w:numPr>
          <w:ilvl w:val="0"/>
          <w:numId w:val="5"/>
        </w:numPr>
        <w:pBdr/>
        <w:tabs>
          <w:tab w:val="left" w:leader="none" w:pos="993"/>
        </w:tabs>
        <w:spacing w:after="120" w:before="120" w:line="341"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pPr>
        <w:pStyle w:val="856"/>
        <w:numPr>
          <w:ilvl w:val="0"/>
          <w:numId w:val="5"/>
        </w:numPr>
        <w:pBdr/>
        <w:tabs>
          <w:tab w:val="left" w:leader="none" w:pos="993"/>
        </w:tabs>
        <w:spacing w:after="120" w:before="120" w:line="341"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pPr>
        <w:pStyle w:val="856"/>
        <w:numPr>
          <w:ilvl w:val="0"/>
          <w:numId w:val="5"/>
        </w:numPr>
        <w:pBdr/>
        <w:tabs>
          <w:tab w:val="left" w:leader="none" w:pos="993"/>
        </w:tabs>
        <w:spacing w:after="120" w:before="120" w:line="341"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Style w:val="856"/>
        <w:numPr>
          <w:ilvl w:val="0"/>
          <w:numId w:val="5"/>
        </w:numPr>
        <w:pBdr/>
        <w:spacing w:after="120" w:before="120" w:line="341"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341"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pPr>
        <w:pStyle w:val="856"/>
        <w:numPr>
          <w:ilvl w:val="0"/>
          <w:numId w:val="5"/>
        </w:numPr>
        <w:pBdr/>
        <w:spacing w:after="120" w:before="120" w:line="341"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3"/>
        </w:numPr>
        <w:pBdr/>
        <w:tabs>
          <w:tab w:val="left" w:leader="none" w:pos="993"/>
        </w:tabs>
        <w:spacing w:after="120" w:before="120" w:line="341"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341"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5"/>
        </w:numPr>
        <w:pBdr/>
        <w:tabs>
          <w:tab w:val="left" w:leader="none" w:pos="993"/>
        </w:tabs>
        <w:spacing w:after="120" w:before="120" w:line="341"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341"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341"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341"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275/2026/0392/VFI-HĐTĐ.01ĐN.A</w:t>
      </w:r>
      <w:r>
        <w:rPr>
          <w:color w:val="ff0000"/>
          <w:lang w:val="vi-VN"/>
        </w:rPr>
        <w:t xml:space="preserve"> </w:t>
      </w:r>
      <w:r>
        <w:rPr>
          <w:color w:val="000000" w:themeColor="text1"/>
        </w:rPr>
        <w:t xml:space="preserve">ngày 12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GĐ</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gridSpan w:val="2"/>
            <w:tcBorders/>
            <w:tcW w:w="9155"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ind/>
              <w:rPr/>
            </w:pPr>
            <w: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gridSpan w:val="2"/>
            <w:tcBorders/>
            <w:tcW w:w="9155"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lang w:val="pt-BR"/>
              </w:rPr>
            </w:r>
            <w:r>
              <w:rPr>
                <w:rFonts w:eastAsia="Calibri"/>
                <w:b/>
                <w:lang w:val="pt-BR"/>
              </w:rPr>
            </w:r>
            <w:r>
              <w:rPr>
                <w:rFonts w:eastAsia="Calibri"/>
                <w:b/>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275/2026/0392/VFI-HĐTĐ.01ĐN.A</w:t>
      </w:r>
      <w:r>
        <w:rPr>
          <w:i/>
          <w:lang w:val="pt-BR"/>
        </w:rPr>
        <w:t xml:space="preserve"> </w:t>
      </w:r>
      <w:r>
        <w:rPr>
          <w:i/>
          <w:lang w:val="pt-BR"/>
        </w:rPr>
        <w:t xml:space="preserve">ngày 12 tháng 3 năm 2026</w:t>
      </w:r>
      <w:r>
        <w:rPr>
          <w:i/>
          <w:lang w:val="pt-BR"/>
        </w:rPr>
        <w:t xml:space="preserve"> </w:t>
      </w:r>
      <w:r>
        <w:rPr>
          <w:i/>
          <w:lang w:val="pt-BR"/>
        </w:rPr>
        <w:t xml:space="preserve">của</w:t>
      </w:r>
      <w:r>
        <w:rPr>
          <w:i/>
          <w:lang w:val="pt-BR"/>
        </w:rPr>
        <w:t xml:space="preserve"> </w:t>
      </w: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Vị trí</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357168" cy="221512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44143" name=""/>
                              <pic:cNvPicPr>
                                <a:picLocks noChangeAspect="1"/>
                              </pic:cNvPicPr>
                              <pic:nvPr/>
                            </pic:nvPicPr>
                            <pic:blipFill rotWithShape="1">
                              <a:blip r:embed="rId19"/>
                              <a:srcRect l="0" t="5182" r="0" b="11463"/>
                              <a:stretch/>
                            </pic:blipFill>
                            <pic:spPr bwMode="auto">
                              <a:xfrm flipH="0" flipV="0">
                                <a:off x="0" y="0"/>
                                <a:ext cx="1357168" cy="22151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6.86pt;height:174.42pt;mso-wrap-distance-left:0.00pt;mso-wrap-distance-top:0.00pt;mso-wrap-distance-right:0.00pt;mso-wrap-distance-bottom:0.00pt;z-index:1;" stroked="false">
                      <v:imagedata r:id="rId19" o:title="" croptop="3396f" cropleft="0f" cropbottom="7512f" cropright="0f"/>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691413" cy="235136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8677" name=""/>
                              <pic:cNvPicPr>
                                <a:picLocks noChangeAspect="1"/>
                              </pic:cNvPicPr>
                              <pic:nvPr/>
                            </pic:nvPicPr>
                            <pic:blipFill rotWithShape="1">
                              <a:blip r:embed="rId20"/>
                              <a:srcRect l="0" t="16338" r="0" b="15684"/>
                              <a:stretch/>
                            </pic:blipFill>
                            <pic:spPr bwMode="auto">
                              <a:xfrm flipH="0" flipV="0">
                                <a:off x="0" y="0"/>
                                <a:ext cx="1691413" cy="23513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33.18pt;height:185.15pt;mso-wrap-distance-left:0.00pt;mso-wrap-distance-top:0.00pt;mso-wrap-distance-right:0.00pt;mso-wrap-distance-bottom:0.00pt;z-index:1;" stroked="false">
                      <v:imagedata r:id="rId20" o:title="" croptop="10707f" cropleft="0f" cropbottom="10279f" cropright="0f"/>
                      <o:lock v:ext="edit" rotation="t"/>
                    </v:shape>
                  </w:pict>
                </mc:Fallback>
              </mc:AlternateContent>
            </w:r>
            <w:r>
              <w:rPr>
                <w:i/>
                <w:lang w:val="pt-BR"/>
              </w:rPr>
            </w:r>
          </w:p>
        </w:tc>
      </w:tr>
      <w:tr>
        <w:trPr/>
        <w:tc>
          <w:tcPr>
            <w:tcBorders/>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đất trước tài sản rộng 5m (đường bê tông dẫn vào rộng ~3m)</w:t>
            </w:r>
            <w:r/>
          </w:p>
        </w:tc>
        <w:tc>
          <w:tcPr>
            <w:tcBorders/>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đất trước tài sản rộng 5m</w:t>
            </w: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r>
              <w:rPr>
                <w:i/>
                <w:lang w:val="pt-BR"/>
              </w:rPr>
              <mc:AlternateContent>
                <mc:Choice Requires="wpg">
                  <w:drawing>
                    <wp:inline xmlns:wp="http://schemas.openxmlformats.org/drawingml/2006/wordprocessingDrawing" distT="0" distB="0" distL="0" distR="0">
                      <wp:extent cx="2792778" cy="229266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497192" name=""/>
                              <pic:cNvPicPr>
                                <a:picLocks noChangeAspect="1"/>
                              </pic:cNvPicPr>
                              <pic:nvPr/>
                            </pic:nvPicPr>
                            <pic:blipFill rotWithShape="1">
                              <a:blip r:embed="rId21"/>
                              <a:srcRect l="0" t="0" r="0" b="28062"/>
                              <a:stretch/>
                            </pic:blipFill>
                            <pic:spPr bwMode="auto">
                              <a:xfrm flipH="0" flipV="0">
                                <a:off x="0" y="0"/>
                                <a:ext cx="2792778" cy="22926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9.90pt;height:180.53pt;mso-wrap-distance-left:0.00pt;mso-wrap-distance-top:0.00pt;mso-wrap-distance-right:0.00pt;mso-wrap-distance-bottom:0.00pt;z-index:1;" stroked="false">
                      <v:imagedata r:id="rId21" o:title="" croptop="0f" cropleft="0f" cropbottom="18391f" cropright="0f"/>
                      <o:lock v:ext="edit" rotation="t"/>
                    </v:shape>
                  </w:pict>
                </mc:Fallback>
              </mc:AlternateContent>
            </w:r>
            <w:r>
              <w:rPr>
                <w:i/>
                <w:lang w:val="pt-BR"/>
              </w:rPr>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815712" cy="247869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216588" name=""/>
                              <pic:cNvPicPr>
                                <a:picLocks noChangeAspect="1"/>
                              </pic:cNvPicPr>
                              <pic:nvPr/>
                            </pic:nvPicPr>
                            <pic:blipFill rotWithShape="1">
                              <a:blip r:embed="rId22"/>
                              <a:stretch/>
                            </pic:blipFill>
                            <pic:spPr bwMode="auto">
                              <a:xfrm flipH="0" flipV="0">
                                <a:off x="0" y="0"/>
                                <a:ext cx="2815711" cy="24786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1.71pt;height:195.1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72305" cy="245295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7578" name=""/>
                              <pic:cNvPicPr>
                                <a:picLocks noChangeAspect="1"/>
                              </pic:cNvPicPr>
                              <pic:nvPr/>
                            </pic:nvPicPr>
                            <pic:blipFill rotWithShape="1">
                              <a:blip r:embed="rId23"/>
                              <a:stretch/>
                            </pic:blipFill>
                            <pic:spPr bwMode="auto">
                              <a:xfrm flipH="0" flipV="0">
                                <a:off x="0" y="0"/>
                                <a:ext cx="2772304" cy="24529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8.29pt;height:193.15pt;mso-wrap-distance-left:0.00pt;mso-wrap-distance-top:0.00pt;mso-wrap-distance-right:0.00pt;mso-wrap-distance-bottom:0.00pt;z-index:1;" stroked="false">
                      <v:imagedata r:id="rId23"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776024" cy="241844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22070" name=""/>
                              <pic:cNvPicPr>
                                <a:picLocks noChangeAspect="1"/>
                              </pic:cNvPicPr>
                              <pic:nvPr/>
                            </pic:nvPicPr>
                            <pic:blipFill rotWithShape="1">
                              <a:blip r:embed="rId24"/>
                              <a:stretch/>
                            </pic:blipFill>
                            <pic:spPr bwMode="auto">
                              <a:xfrm flipH="0" flipV="0">
                                <a:off x="0" y="0"/>
                                <a:ext cx="2776024" cy="24184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8.58pt;height:190.43pt;mso-wrap-distance-left:0.00pt;mso-wrap-distance-top:0.00pt;mso-wrap-distance-right:0.00pt;mso-wrap-distance-bottom:0.00pt;z-index:1;" stroked="false">
                      <v:imagedata r:id="rId24" o:title=""/>
                      <o:lock v:ext="edit" rotation="t"/>
                    </v:shape>
                  </w:pict>
                </mc:Fallback>
              </mc:AlternateContent>
            </w:r>
            <w:r>
              <w:rPr>
                <w:b/>
                <w:bCs/>
                <w:i/>
                <w:lang w:val="pt-BR"/>
              </w:rP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HỒ SƠ PHÁP LÝ</w:t>
      </w:r>
      <w:r/>
    </w:p>
    <w:tbl>
      <w:tblPr>
        <w:tblStyle w:val="860"/>
        <w:tblW w:w="0" w:type="auto"/>
        <w:tblBorders/>
        <w:tblLook w:val="04A0" w:firstRow="1" w:lastRow="0" w:firstColumn="1" w:lastColumn="0" w:noHBand="0" w:noVBand="1"/>
      </w:tblPr>
      <w:tblGrid>
        <w:gridCol w:w="4762"/>
        <w:gridCol w:w="4762"/>
      </w:tblGrid>
      <w:tr>
        <w:trPr>
          <w:trHeight w:val="6427"/>
        </w:trPr>
        <w:tc>
          <w:tcPr>
            <w:tcBorders>
              <w:top w:val="nil" w:color="000000" w:sz="4" w:space="0"/>
              <w:left w:val="nil" w:color="000000" w:sz="4" w:space="0"/>
              <w:bottom w:val="nil" w:color="000000" w:sz="4" w:space="0"/>
              <w:right w:val="nil" w:color="000000" w:sz="4" w:space="0"/>
            </w:tcBorders>
            <w:tcW w:w="4762" w:type="dxa"/>
            <w:textDirection w:val="lrTb"/>
            <w:noWrap w:val="false"/>
          </w:tcPr>
          <w:p>
            <w:pPr>
              <w:pBdr/>
              <w:spacing w:after="200" w:line="276" w:lineRule="auto"/>
              <w:ind/>
              <w:jc w:val="left"/>
              <w:rPr/>
            </w:pPr>
            <w:r>
              <mc:AlternateContent>
                <mc:Choice Requires="wpg">
                  <w:drawing>
                    <wp:inline xmlns:wp="http://schemas.openxmlformats.org/drawingml/2006/wordprocessingDrawing" distT="0" distB="0" distL="0" distR="0">
                      <wp:extent cx="2950076" cy="410867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349974" name=""/>
                              <pic:cNvPicPr>
                                <a:picLocks noChangeAspect="1"/>
                              </pic:cNvPicPr>
                              <pic:nvPr/>
                            </pic:nvPicPr>
                            <pic:blipFill rotWithShape="1">
                              <a:blip r:embed="rId25"/>
                              <a:stretch/>
                            </pic:blipFill>
                            <pic:spPr bwMode="auto">
                              <a:xfrm flipH="0" flipV="0">
                                <a:off x="0" y="0"/>
                                <a:ext cx="2950075" cy="41086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2.29pt;height:323.52pt;mso-wrap-distance-left:0.00pt;mso-wrap-distance-top:0.00pt;mso-wrap-distance-right:0.00pt;mso-wrap-distance-bottom:0.00pt;z-index:1;" stroked="false">
                      <v:imagedata r:id="rId25" o:title=""/>
                      <o:lock v:ext="edit" rotation="t"/>
                    </v:shape>
                  </w:pict>
                </mc:Fallback>
              </mc:AlternateContent>
            </w:r>
            <w:r/>
          </w:p>
        </w:tc>
        <w:tc>
          <w:tcPr>
            <w:tcBorders>
              <w:top w:val="nil" w:color="000000" w:sz="4" w:space="0"/>
              <w:left w:val="nil" w:color="000000" w:sz="4" w:space="0"/>
              <w:bottom w:val="nil" w:color="000000" w:sz="4" w:space="0"/>
              <w:right w:val="nil" w:color="000000" w:sz="4" w:space="0"/>
            </w:tcBorders>
            <w:tcW w:w="4762" w:type="dxa"/>
            <w:textDirection w:val="lrTb"/>
            <w:noWrap w:val="false"/>
          </w:tcPr>
          <w:p>
            <w:pPr>
              <w:pBdr/>
              <w:spacing w:after="200" w:line="276" w:lineRule="auto"/>
              <w:ind/>
              <w:jc w:val="left"/>
              <w:rPr/>
            </w:pPr>
            <w:r>
              <mc:AlternateContent>
                <mc:Choice Requires="wpg">
                  <w:drawing>
                    <wp:inline xmlns:wp="http://schemas.openxmlformats.org/drawingml/2006/wordprocessingDrawing" distT="0" distB="0" distL="0" distR="0">
                      <wp:extent cx="2950076" cy="4108679"/>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68933" name=""/>
                              <pic:cNvPicPr>
                                <a:picLocks noChangeAspect="1"/>
                              </pic:cNvPicPr>
                              <pic:nvPr/>
                            </pic:nvPicPr>
                            <pic:blipFill rotWithShape="1">
                              <a:blip r:embed="rId26"/>
                              <a:stretch/>
                            </pic:blipFill>
                            <pic:spPr bwMode="auto">
                              <a:xfrm flipH="0" flipV="0">
                                <a:off x="0" y="0"/>
                                <a:ext cx="2950075" cy="41086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2.29pt;height:323.52pt;mso-wrap-distance-left:0.00pt;mso-wrap-distance-top:0.00pt;mso-wrap-distance-right:0.00pt;mso-wrap-distance-bottom:0.00pt;z-index:1;" stroked="false">
                      <v:imagedata r:id="rId26" o:title=""/>
                      <o:lock v:ext="edit" rotation="t"/>
                    </v:shape>
                  </w:pict>
                </mc:Fallback>
              </mc:AlternateContent>
            </w:r>
            <w:r/>
          </w:p>
        </w:tc>
      </w:tr>
      <w:tr>
        <w:trPr/>
        <w:tc>
          <w:tcPr>
            <w:gridSpan w:val="2"/>
            <w:tcBorders>
              <w:top w:val="nil" w:color="000000" w:sz="4" w:space="0"/>
              <w:left w:val="nil" w:color="000000" w:sz="4" w:space="0"/>
              <w:bottom w:val="nil" w:color="000000" w:sz="4" w:space="0"/>
              <w:right w:val="nil" w:color="000000" w:sz="4" w:space="0"/>
            </w:tcBorders>
            <w:tcW w:w="9525" w:type="dxa"/>
            <w:textDirection w:val="lrTb"/>
            <w:noWrap w:val="false"/>
          </w:tcPr>
          <w:p>
            <w:pPr>
              <w:pBdr/>
              <w:spacing w:after="200" w:line="276" w:lineRule="auto"/>
              <w:ind/>
              <w:jc w:val="center"/>
              <w:rPr/>
            </w:pPr>
            <w:r>
              <mc:AlternateContent>
                <mc:Choice Requires="wpg">
                  <w:drawing>
                    <wp:inline xmlns:wp="http://schemas.openxmlformats.org/drawingml/2006/wordprocessingDrawing" distT="0" distB="0" distL="0" distR="0">
                      <wp:extent cx="6130391" cy="425423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945648" name=""/>
                              <pic:cNvPicPr>
                                <a:picLocks noChangeAspect="1"/>
                              </pic:cNvPicPr>
                              <pic:nvPr/>
                            </pic:nvPicPr>
                            <pic:blipFill rotWithShape="1">
                              <a:blip r:embed="rId27"/>
                              <a:srcRect l="0" t="2002" r="0" b="5252"/>
                              <a:stretch/>
                            </pic:blipFill>
                            <pic:spPr bwMode="auto">
                              <a:xfrm flipH="0" flipV="0">
                                <a:off x="0" y="0"/>
                                <a:ext cx="6130390" cy="42542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82.71pt;height:334.98pt;mso-wrap-distance-left:0.00pt;mso-wrap-distance-top:0.00pt;mso-wrap-distance-right:0.00pt;mso-wrap-distance-bottom:0.00pt;z-index:1;" stroked="false">
                      <v:imagedata r:id="rId27" o:title="" croptop="1312f" cropleft="0f" cropbottom="3442f" cropright="0f"/>
                      <o:lock v:ext="edit" rotation="t"/>
                    </v:shape>
                  </w:pict>
                </mc:Fallback>
              </mc:AlternateContent>
            </w:r>
            <w:r/>
          </w:p>
        </w:tc>
      </w:tr>
    </w:tbl>
    <w:p>
      <w:pPr>
        <w:pBdr/>
        <w:spacing w:after="200" w:line="276" w:lineRule="auto"/>
        <w:ind/>
        <w:jc w:val="left"/>
        <w:rPr/>
      </w:p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275/2026/0392/VFI-BC.01ĐN.A</w:t>
      </w:r>
      <w:r>
        <w:rPr>
          <w:i/>
          <w:lang w:val="pt-BR"/>
        </w:rPr>
        <w:t xml:space="preserve"> </w:t>
      </w:r>
      <w:r>
        <w:rPr>
          <w:i/>
          <w:lang w:val="pt-BR"/>
        </w:rPr>
        <w:t xml:space="preserve">ngày 12 tháng 3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https://batdongsan.com.vn/ban-dat-duong-so-6-xa-hoa-tien-51/ban-lo-mat-chinh-la-chau-vi-tri-dep-gia-sieu-mem-pr44235584</w:t>
            </w:r>
            <w:r>
              <w:rPr>
                <w:color w:val="000000" w:themeColor="text1"/>
                <w:sz w:val="22"/>
                <w:szCs w:val="22"/>
              </w:rPr>
              <w:br/>
              <w:t xml:space="preserve">0775.435916</w:t>
            </w:r>
            <w:r>
              <w:rPr>
                <w:sz w:val="22"/>
                <w:szCs w:val="22"/>
              </w:rPr>
              <w:t xml:space="preserve"> </w:t>
            </w:r>
            <w:r>
              <w:rPr>
                <w:sz w:val="22"/>
                <w:szCs w:val="22"/>
              </w:rPr>
              <w:br/>
              <w:t xml:space="preserve">(Minh Uyên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(156.1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Thôn La Châu, xã Hoà Tiến, thành phố Đà Nẵng. </w:t>
            </w:r>
            <w:r>
              <w:rPr>
                <w:color w:val="000000" w:themeColor="text1"/>
                <w:sz w:val="22"/>
                <w:szCs w:val="22"/>
              </w:rPr>
              <w:t xml:space="preserve">Cách trục đường Quốc lộ 14B khoảng 1,15km. Cách UBND xã Hoà Vang khoảng 1,96km.</w:t>
            </w:r>
            <w:r>
              <w:rPr>
                <w:color w:val="000000" w:themeColor="text1"/>
                <w:sz w:val="22"/>
                <w:szCs w:val="22"/>
                <w14:ligatures w14:val="none"/>
              </w:rPr>
            </w:r>
            <w:r>
              <w:rPr>
                <w:color w:val="000000" w:themeColor="text1"/>
                <w:sz w:val="22"/>
                <w:szCs w:val="22"/>
                <w14:ligatures w14:val="none"/>
              </w:rPr>
            </w:r>
            <w:r>
              <w:rPr>
                <w:color w:val="000000" w:themeColor="text1"/>
                <w:sz w:val="22"/>
                <w:szCs w:val="22"/>
              </w:rPr>
            </w:r>
            <w:r>
              <w:rPr>
                <w:sz w:val="22"/>
                <w:szCs w:val="22"/>
              </w:rPr>
            </w:r>
            <w:r>
              <w:rPr>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156,1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19290" cy="331166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rcRect l="17637" t="8054" r="5943" b="13141"/>
                              <a:stretch/>
                            </pic:blipFill>
                            <pic:spPr bwMode="auto">
                              <a:xfrm flipH="0" flipV="0">
                                <a:off x="0" y="0"/>
                                <a:ext cx="5319289" cy="33116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18.84pt;height:260.76pt;mso-wrap-distance-left:0.00pt;mso-wrap-distance-top:0.00pt;mso-wrap-distance-right:0.00pt;mso-wrap-distance-bottom:0.00pt;z-index:1;" stroked="false">
                      <v:imagedata r:id="rId28" o:title="" croptop="5278f" cropleft="11559f" cropbottom="8612f" cropright="3895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60790" cy="2403072"/>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360789" cy="24030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5.89pt;height:189.22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3101980" cy="240307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738859" name=""/>
                              <pic:cNvPicPr>
                                <a:picLocks noChangeAspect="1"/>
                              </pic:cNvPicPr>
                              <pic:nvPr/>
                            </pic:nvPicPr>
                            <pic:blipFill rotWithShape="1">
                              <a:blip r:embed="rId30"/>
                              <a:srcRect l="5258" t="16097" r="4922" b="2449"/>
                              <a:stretch/>
                            </pic:blipFill>
                            <pic:spPr bwMode="auto">
                              <a:xfrm flipH="0" flipV="0">
                                <a:off x="0" y="0"/>
                                <a:ext cx="3101979" cy="2403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44.25pt;height:189.22pt;mso-wrap-distance-left:0.00pt;mso-wrap-distance-top:0.00pt;mso-wrap-distance-right:0.00pt;mso-wrap-distance-bottom:0.00pt;z-index:1;" stroked="false">
                      <v:imagedata r:id="rId30" o:title="" croptop="10549f" cropleft="3446f" cropbottom="1605f" cropright="3226f"/>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
              <w:rPr>
                <w:color w:val="000000"/>
                <w:sz w:val="22"/>
                <w:szCs w:val="22"/>
              </w:rPr>
            </w:r>
          </w:p>
        </w:tc>
      </w:tr>
    </w:tbl>
    <w:tbl>
      <w:tblPr>
        <w:tblInd w:w="108" w:type="dxa"/>
        <w:tblW w:w="9531" w:type="dxa"/>
        <w:tblBorders/>
        <w:tblLook w:val="04A0" w:firstRow="1" w:lastRow="0" w:firstColumn="1" w:lastColumn="0" w:noHBand="0" w:noVBand="1"/>
      </w:tblPr>
      <w:tblGrid>
        <w:gridCol w:w="4585"/>
        <w:gridCol w:w="4946"/>
      </w:tblGrid>
      <w:tr>
        <w:trPr>
          <w:trHeight w:val="1645"/>
        </w:trPr>
        <w:tc>
          <w:tcPr>
            <w:tcBorders/>
            <w:tcW w:w="4585" w:type="dxa"/>
            <w:vAlign w:val="center"/>
            <w:textDirection w:val="lrTb"/>
            <w:noWrap w:val="false"/>
          </w:tcPr>
          <w:p>
            <w:pPr>
              <w:pBdr/>
              <w:spacing/>
              <w:ind/>
              <w:jc w:val="center"/>
              <w:rPr>
                <w:b/>
                <w:bCs/>
              </w:rPr>
            </w:pPr>
            <w:r>
              <w:rPr>
                <w:b/>
                <w:bCs/>
              </w:rPr>
            </w:r>
            <w:r>
              <w:rPr>
                <w:b/>
                <w:bCs/>
              </w:rPr>
            </w:r>
          </w:p>
        </w:tc>
        <w:tc>
          <w:tcPr>
            <w:tcBorders/>
            <w:tcW w:w="494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6"/>
        </w:trPr>
        <w:tc>
          <w:tcPr>
            <w:tcBorders/>
            <w:tcW w:w="4585" w:type="dxa"/>
            <w:vAlign w:val="center"/>
            <w:textDirection w:val="lrTb"/>
            <w:noWrap w:val="false"/>
          </w:tcPr>
          <w:p>
            <w:pPr>
              <w:pBdr/>
              <w:spacing/>
              <w:ind/>
              <w:jc w:val="center"/>
              <w:rPr>
                <w:b/>
                <w:bCs/>
              </w:rPr>
            </w:pPr>
            <w:r>
              <w:rPr>
                <w:b/>
                <w:bCs/>
              </w:rPr>
            </w:r>
            <w:r>
              <w:rPr>
                <w:b/>
                <w:bCs/>
              </w:rPr>
            </w:r>
          </w:p>
        </w:tc>
        <w:tc>
          <w:tcPr>
            <w:tcBorders/>
            <w:tcW w:w="4946" w:type="dxa"/>
            <w:vAlign w:val="center"/>
            <w:textDirection w:val="lrTb"/>
            <w:noWrap/>
          </w:tcPr>
          <w:p>
            <w:pPr>
              <w:pBdr/>
              <w:spacing/>
              <w:ind/>
              <w:jc w:val="center"/>
              <w:rPr/>
            </w:pPr>
            <w:r>
              <w:t xml:space="preserve">Lê Thị Thịnh</w:t>
            </w: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Phỏng vấn qua Zalo</w:t>
            </w:r>
            <w:r>
              <w:rPr>
                <w:color w:val="000000" w:themeColor="text1"/>
                <w:sz w:val="22"/>
                <w:szCs w:val="22"/>
              </w:rPr>
              <w:br/>
              <w:t xml:space="preserve">0398.224102</w:t>
            </w:r>
            <w:r>
              <w:rPr>
                <w:sz w:val="22"/>
                <w:szCs w:val="22"/>
              </w:rPr>
              <w:t xml:space="preserve"> </w:t>
            </w:r>
            <w:r>
              <w:rPr>
                <w:sz w:val="22"/>
                <w:szCs w:val="22"/>
              </w:rPr>
              <w:br/>
              <w:t xml:space="preserve">(Huỳnh Hiếu</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1.080.000.000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ONT (140 m²), Đất HNK (84,1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ONT: Lâu dài; Đất HNK: Có thời hạn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Thôn Cẩm Toại Tây,</w:t>
            </w:r>
            <w:r>
              <w:rPr>
                <w:color w:val="000000" w:themeColor="text1"/>
                <w:sz w:val="22"/>
                <w:szCs w:val="22"/>
              </w:rPr>
              <w:t xml:space="preserve"> xã Hoà Vang, TP Đà Nẵng. </w:t>
            </w:r>
            <w:r>
              <w:rPr>
                <w:color w:val="000000" w:themeColor="text1"/>
                <w:sz w:val="22"/>
                <w:szCs w:val="22"/>
              </w:rPr>
              <w:t xml:space="preserve">Cách trục đường Quốc lộ 14B khoảng 2,5km.</w:t>
            </w:r>
            <w:r>
              <w:rPr>
                <w:color w:val="000000" w:themeColor="text1"/>
                <w:sz w:val="22"/>
                <w:szCs w:val="22"/>
              </w:rPr>
              <w:t xml:space="preserve">Cách trục đường Nam Kỳ Khởi Nghĩa khoảng 600m. Cách UBND xã Hoà Vang khoảng 2,95km.</w:t>
            </w:r>
            <w:r>
              <w:rPr>
                <w:color w:val="000000" w:themeColor="text1"/>
                <w:sz w:val="22"/>
                <w:szCs w:val="22"/>
              </w:rPr>
              <w:t xml:space="preserve"> </w:t>
            </w:r>
            <w:r>
              <w:rPr>
                <w:color w:val="000000" w:themeColor="text1"/>
                <w:sz w:val="22"/>
                <w:szCs w:val="22"/>
                <w14:ligatures w14:val="none"/>
              </w:rPr>
            </w:r>
            <w:r>
              <w:rPr>
                <w:color w:val="000000" w:themeColor="text1"/>
                <w:sz w:val="22"/>
                <w:szCs w:val="22"/>
                <w14:ligatures w14:val="none"/>
              </w:rPr>
            </w:r>
            <w:r>
              <w:rPr>
                <w:color w:val="000000" w:themeColor="text1"/>
                <w:sz w:val="22"/>
                <w:szCs w:val="22"/>
              </w:rPr>
            </w:r>
            <w:r>
              <w:rPr>
                <w:sz w:val="22"/>
                <w:szCs w:val="22"/>
              </w:rPr>
            </w:r>
            <w:r>
              <w:rPr>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224,1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Vị trí trực xung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91601" cy="4026559"/>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rcRect l="0" t="4320" r="0" b="7179"/>
                              <a:stretch/>
                            </pic:blipFill>
                            <pic:spPr bwMode="auto">
                              <a:xfrm flipH="0" flipV="0">
                                <a:off x="0" y="0"/>
                                <a:ext cx="2591601" cy="40265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4.06pt;height:317.05pt;mso-wrap-distance-left:0.00pt;mso-wrap-distance-top:0.00pt;mso-wrap-distance-right:0.00pt;mso-wrap-distance-bottom:0.00pt;z-index:1;" stroked="false">
                      <v:imagedata r:id="rId31" o:title="" croptop="2831f" cropleft="0f" cropbottom="4705f" cropright="0f"/>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33878" cy="4026559"/>
                      <wp:effectExtent l="0" t="0" r="0" b="0"/>
                      <wp:docPr id="19" name=""/>
                      <wp:cNvGraphicFramePr/>
                      <a:graphic xmlns:a="http://schemas.openxmlformats.org/drawingml/2006/main">
                        <a:graphicData uri="http://schemas.openxmlformats.org/drawingml/2006/picture">
                          <pic:pic xmlns:pic="http://schemas.openxmlformats.org/drawingml/2006/picture">
                            <pic:nvPicPr>
                              <pic:cNvPr id="346835076" name="" descr=""/>
                              <pic:cNvPicPr/>
                              <pic:nvPr/>
                            </pic:nvPicPr>
                            <pic:blipFill rotWithShape="1">
                              <a:blip r:embed="rId32"/>
                              <a:srcRect l="0" t="4320" r="0" b="10358"/>
                              <a:stretch/>
                            </pic:blipFill>
                            <pic:spPr bwMode="auto">
                              <a:xfrm flipH="0" flipV="0">
                                <a:off x="0" y="0"/>
                                <a:ext cx="2533878" cy="40265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9.52pt;height:317.05pt;mso-wrap-distance-left:0.00pt;mso-wrap-distance-top:0.00pt;mso-wrap-distance-right:0.00pt;mso-wrap-distance-bottom:0.00pt;z-index:1;" stroked="false">
                      <v:imagedata r:id="rId32" o:title="" croptop="2831f" cropleft="0f" cropbottom="6788f" cropright="0f"/>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924227" cy="2276072"/>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1924227" cy="22760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51.51pt;height:179.22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1720855" cy="227607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053325" name=""/>
                              <pic:cNvPicPr>
                                <a:picLocks noChangeAspect="1"/>
                              </pic:cNvPicPr>
                              <pic:nvPr/>
                            </pic:nvPicPr>
                            <pic:blipFill rotWithShape="1">
                              <a:blip r:embed="rId34"/>
                              <a:srcRect l="7004" t="5796" r="7312" b="3989"/>
                              <a:stretch/>
                            </pic:blipFill>
                            <pic:spPr bwMode="auto">
                              <a:xfrm flipH="0" flipV="0">
                                <a:off x="0" y="0"/>
                                <a:ext cx="1720854" cy="22760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35.50pt;height:179.22pt;mso-wrap-distance-left:0.00pt;mso-wrap-distance-top:0.00pt;mso-wrap-distance-right:0.00pt;mso-wrap-distance-bottom:0.00pt;z-index:1;" stroked="false">
                      <v:imagedata r:id="rId34" o:title="" croptop="3798f" cropleft="4590f" cropbottom="2614f" cropright="4792f"/>
                      <o:lock v:ext="edit" rotation="t"/>
                    </v:shape>
                  </w:pict>
                </mc:Fallback>
              </mc:AlternateContent>
              <w:t xml:space="preserve">  </w:t>
              <mc:AlternateContent>
                <mc:Choice Requires="wpg">
                  <w:drawing>
                    <wp:inline xmlns:wp="http://schemas.openxmlformats.org/drawingml/2006/wordprocessingDrawing" distT="0" distB="0" distL="0" distR="0">
                      <wp:extent cx="1670227" cy="2319909"/>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79548" name=""/>
                              <pic:cNvPicPr>
                                <a:picLocks noChangeAspect="1"/>
                              </pic:cNvPicPr>
                              <pic:nvPr/>
                            </pic:nvPicPr>
                            <pic:blipFill rotWithShape="1">
                              <a:blip r:embed="rId35"/>
                              <a:srcRect l="6396" t="0" r="4845" b="5729"/>
                              <a:stretch/>
                            </pic:blipFill>
                            <pic:spPr bwMode="auto">
                              <a:xfrm flipH="0" flipV="0">
                                <a:off x="0" y="0"/>
                                <a:ext cx="1670227" cy="23199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31.51pt;height:182.67pt;mso-wrap-distance-left:0.00pt;mso-wrap-distance-top:0.00pt;mso-wrap-distance-right:0.00pt;mso-wrap-distance-bottom:0.00pt;z-index:1;" stroked="false">
                      <v:imagedata r:id="rId35" o:title="" croptop="0f" cropleft="4192f" cropbottom="3755f" cropright="3175f"/>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p>
    <w:tbl>
      <w:tblPr>
        <w:tblInd w:w="108" w:type="dxa"/>
        <w:tblW w:w="9569" w:type="dxa"/>
        <w:tblBorders/>
        <w:tblLook w:val="04A0" w:firstRow="1" w:lastRow="0" w:firstColumn="1" w:lastColumn="0" w:noHBand="0" w:noVBand="1"/>
      </w:tblPr>
      <w:tblGrid>
        <w:gridCol w:w="4603"/>
        <w:gridCol w:w="4966"/>
      </w:tblGrid>
      <w:tr>
        <w:trPr>
          <w:trHeight w:val="2155"/>
        </w:trPr>
        <w:tc>
          <w:tcPr>
            <w:tcBorders/>
            <w:tcW w:w="4603" w:type="dxa"/>
            <w:vAlign w:val="center"/>
            <w:textDirection w:val="lrTb"/>
            <w:noWrap w:val="false"/>
          </w:tcPr>
          <w:p>
            <w:pPr>
              <w:pBdr/>
              <w:spacing/>
              <w:ind/>
              <w:jc w:val="center"/>
              <w:rPr>
                <w:b/>
                <w:bCs/>
              </w:rPr>
            </w:pPr>
            <w:r>
              <w:rPr>
                <w:b/>
                <w:bCs/>
              </w:rPr>
            </w:r>
            <w:r>
              <w:rPr>
                <w:b/>
                <w:bCs/>
              </w:rPr>
            </w:r>
          </w:p>
        </w:tc>
        <w:tc>
          <w:tcPr>
            <w:tcBorders/>
            <w:tcW w:w="496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14"/>
        </w:trPr>
        <w:tc>
          <w:tcPr>
            <w:tcBorders/>
            <w:tcW w:w="4603" w:type="dxa"/>
            <w:vAlign w:val="center"/>
            <w:textDirection w:val="lrTb"/>
            <w:noWrap w:val="false"/>
          </w:tcPr>
          <w:p>
            <w:pPr>
              <w:pBdr/>
              <w:spacing/>
              <w:ind/>
              <w:jc w:val="center"/>
              <w:rPr>
                <w:b/>
                <w:bCs/>
              </w:rPr>
            </w:pPr>
            <w:r>
              <w:rPr>
                <w:b/>
                <w:bCs/>
              </w:rPr>
            </w:r>
            <w:r>
              <w:rPr>
                <w:b/>
                <w:bCs/>
              </w:rPr>
            </w:r>
          </w:p>
        </w:tc>
        <w:tc>
          <w:tcPr>
            <w:tcBorders/>
            <w:tcW w:w="4966" w:type="dxa"/>
            <w:vAlign w:val="center"/>
            <w:textDirection w:val="lrTb"/>
            <w:noWrap/>
          </w:tcPr>
          <w:p>
            <w:pPr>
              <w:pBdr/>
              <w:spacing/>
              <w:ind/>
              <w:jc w:val="center"/>
              <w:rPr/>
            </w:pPr>
            <w:r>
              <w:t xml:space="preserve">Lê Thị Thịnh</w:t>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https://www.facebook.com/share/p/1N7Drzik9J/</w:t>
            </w:r>
            <w:r>
              <w:rPr>
                <w:color w:val="000000" w:themeColor="text1"/>
                <w:sz w:val="22"/>
                <w:szCs w:val="22"/>
              </w:rPr>
              <w:br/>
            </w:r>
            <w:r>
              <w:rPr>
                <w:sz w:val="22"/>
                <w:szCs w:val="22"/>
              </w:rPr>
              <w:t xml:space="preserve">SĐT: </w:t>
            </w:r>
            <w:r>
              <w:rPr>
                <w:color w:val="000000" w:themeColor="text1"/>
                <w:sz w:val="22"/>
                <w:szCs w:val="22"/>
              </w:rPr>
              <w:t xml:space="preserve">0705.235.045</w:t>
            </w:r>
            <w:r>
              <w:rPr>
                <w:sz w:val="22"/>
                <w:szCs w:val="22"/>
              </w:rPr>
              <w:t xml:space="preserve"> </w:t>
            </w:r>
            <w:r>
              <w:rPr>
                <w:sz w:val="22"/>
                <w:szCs w:val="22"/>
              </w:rPr>
              <w:br/>
              <w:t xml:space="preserve">(Chính Văn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1.295.000.000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1.165.500.000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(155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Thôn Cẩm Toại Trung,</w:t>
            </w:r>
            <w:r>
              <w:rPr>
                <w:color w:val="000000" w:themeColor="text1"/>
                <w:sz w:val="22"/>
                <w:szCs w:val="22"/>
              </w:rPr>
              <w:t xml:space="preserve"> xã Hoà Vang, TP Đà Nẵng. </w:t>
            </w:r>
            <w:r>
              <w:rPr>
                <w:color w:val="000000" w:themeColor="text1"/>
                <w:sz w:val="22"/>
                <w:szCs w:val="22"/>
              </w:rPr>
              <w:t xml:space="preserve">Cách trục đường Quốc lộ 14B khoảng 220m. Cách UBND xã Hoà Vang khoảng 1,7km.</w:t>
            </w:r>
            <w:r>
              <w:rPr>
                <w:color w:val="000000" w:themeColor="text1"/>
                <w:sz w:val="22"/>
                <w:szCs w:val="22"/>
              </w:rPr>
              <w:t xml:space="preserve"> </w:t>
            </w:r>
            <w:r>
              <w:rPr>
                <w:color w:val="000000" w:themeColor="text1"/>
                <w:sz w:val="22"/>
                <w:szCs w:val="22"/>
                <w14:ligatures w14:val="none"/>
              </w:rPr>
            </w:r>
            <w:r>
              <w:rPr>
                <w:color w:val="000000" w:themeColor="text1"/>
                <w:sz w:val="22"/>
                <w:szCs w:val="22"/>
                <w14:ligatures w14:val="none"/>
              </w:rPr>
            </w:r>
            <w:r>
              <w:rPr>
                <w:color w:val="000000" w:themeColor="text1"/>
                <w:sz w:val="22"/>
                <w:szCs w:val="22"/>
              </w:rPr>
            </w:r>
            <w:r>
              <w:rPr>
                <w:sz w:val="22"/>
                <w:szCs w:val="22"/>
              </w:rPr>
            </w:r>
            <w:r>
              <w:rPr>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155,0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66640" cy="4420518"/>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rcRect l="0" t="4978" r="0" b="17535"/>
                              <a:stretch/>
                            </pic:blipFill>
                            <pic:spPr bwMode="auto">
                              <a:xfrm flipH="0" flipV="0">
                                <a:off x="0" y="0"/>
                                <a:ext cx="3966639" cy="442051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12.33pt;height:348.07pt;mso-wrap-distance-left:0.00pt;mso-wrap-distance-top:0.00pt;mso-wrap-distance-right:0.00pt;mso-wrap-distance-bottom:0.00pt;z-index:1;" stroked="false">
                      <v:imagedata r:id="rId36" o:title="" croptop="3262f" cropleft="0f" cropbottom="11492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52852" cy="2339572"/>
                      <wp:effectExtent l="0" t="0" r="0" b="0"/>
                      <wp:docPr id="24" name=""/>
                      <wp:cNvGraphicFramePr/>
                      <a:graphic xmlns:a="http://schemas.openxmlformats.org/drawingml/2006/main">
                        <a:graphicData uri="http://schemas.openxmlformats.org/drawingml/2006/picture">
                          <pic:pic xmlns:pic="http://schemas.openxmlformats.org/drawingml/2006/picture">
                            <pic:nvPicPr>
                              <pic:cNvPr id="660786232" name="" descr=""/>
                              <pic:cNvPicPr/>
                              <pic:nvPr/>
                            </pic:nvPicPr>
                            <pic:blipFill rotWithShape="1">
                              <a:blip r:embed="rId37"/>
                              <a:stretch/>
                            </pic:blipFill>
                            <pic:spPr bwMode="auto">
                              <a:xfrm flipH="0" flipV="0">
                                <a:off x="0" y="0"/>
                                <a:ext cx="2352852" cy="23395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5.26pt;height:184.22pt;mso-wrap-distance-left:0.00pt;mso-wrap-distance-top:0.00pt;mso-wrap-distance-right:0.00pt;mso-wrap-distance-bottom:0.00pt;z-index:1;" stroked="false">
                      <v:imagedata r:id="rId37"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86105" cy="233957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431839" name=""/>
                              <pic:cNvPicPr>
                                <a:picLocks noChangeAspect="1"/>
                              </pic:cNvPicPr>
                              <pic:nvPr/>
                            </pic:nvPicPr>
                            <pic:blipFill rotWithShape="1">
                              <a:blip r:embed="rId38"/>
                              <a:stretch/>
                            </pic:blipFill>
                            <pic:spPr bwMode="auto">
                              <a:xfrm flipH="0" flipV="0">
                                <a:off x="0" y="0"/>
                                <a:ext cx="3086104" cy="23395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43.00pt;height:184.22pt;mso-wrap-distance-left:0.00pt;mso-wrap-distance-top:0.00pt;mso-wrap-distance-right:0.00pt;mso-wrap-distance-bottom:0.00pt;z-index:1;" stroked="false">
                      <v:imagedata r:id="rId38"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p>
    <w:tbl>
      <w:tblPr>
        <w:tblInd w:w="108" w:type="dxa"/>
        <w:tblW w:w="9531" w:type="dxa"/>
        <w:tblBorders/>
        <w:tblLook w:val="04A0" w:firstRow="1" w:lastRow="0" w:firstColumn="1" w:lastColumn="0" w:noHBand="0" w:noVBand="1"/>
      </w:tblPr>
      <w:tblGrid>
        <w:gridCol w:w="4585"/>
        <w:gridCol w:w="4946"/>
      </w:tblGrid>
      <w:tr>
        <w:trPr>
          <w:trHeight w:val="303"/>
        </w:trPr>
        <w:tc>
          <w:tcPr>
            <w:tcBorders/>
            <w:tcW w:w="4585" w:type="dxa"/>
            <w:vAlign w:val="center"/>
            <w:textDirection w:val="lrTb"/>
            <w:noWrap w:val="false"/>
          </w:tcPr>
          <w:p>
            <w:pPr>
              <w:pBdr/>
              <w:spacing/>
              <w:ind/>
              <w:jc w:val="center"/>
              <w:rPr>
                <w:b/>
                <w:bCs/>
              </w:rPr>
            </w:pPr>
            <w:r>
              <w:rPr>
                <w:b/>
                <w:bCs/>
              </w:rPr>
            </w:r>
            <w:r>
              <w:rPr>
                <w:b/>
                <w:bCs/>
              </w:rPr>
            </w:r>
          </w:p>
        </w:tc>
        <w:tc>
          <w:tcPr>
            <w:tcBorders/>
            <w:tcW w:w="494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1339"/>
        </w:trPr>
        <w:tc>
          <w:tcPr>
            <w:tcBorders/>
            <w:tcW w:w="4585" w:type="dxa"/>
            <w:vAlign w:val="center"/>
            <w:textDirection w:val="lrTb"/>
            <w:noWrap w:val="false"/>
          </w:tcPr>
          <w:p>
            <w:pPr>
              <w:pBdr/>
              <w:spacing/>
              <w:ind/>
              <w:jc w:val="center"/>
              <w:rPr>
                <w:b/>
                <w:bCs/>
              </w:rPr>
            </w:pPr>
            <w:r>
              <w:rPr>
                <w:b/>
                <w:bCs/>
              </w:rPr>
            </w:r>
            <w:r>
              <w:rPr>
                <w:b/>
                <w:bCs/>
              </w:rPr>
            </w:r>
          </w:p>
        </w:tc>
        <w:tc>
          <w:tcPr>
            <w:tcBorders/>
            <w:tcW w:w="494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536"/>
        </w:trPr>
        <w:tc>
          <w:tcPr>
            <w:tcBorders/>
            <w:tcW w:w="4585" w:type="dxa"/>
            <w:vAlign w:val="bottom"/>
            <w:textDirection w:val="lrTb"/>
            <w:noWrap w:val="false"/>
          </w:tcPr>
          <w:p>
            <w:pPr>
              <w:pBdr/>
              <w:spacing/>
              <w:ind/>
              <w:jc w:val="center"/>
              <w:rPr>
                <w:b/>
                <w:bCs/>
              </w:rPr>
            </w:pPr>
            <w:r>
              <w:rPr>
                <w:b/>
                <w:bCs/>
              </w:rPr>
            </w:r>
            <w:r>
              <w:rPr>
                <w:b/>
                <w:bCs/>
              </w:rPr>
            </w:r>
          </w:p>
        </w:tc>
        <w:tc>
          <w:tcPr>
            <w:tcBorders/>
            <w:tcW w:w="4946" w:type="dxa"/>
            <w:vAlign w:val="center"/>
            <w:textDirection w:val="lrTb"/>
            <w:noWrap/>
          </w:tcPr>
          <w:p>
            <w:pPr>
              <w:pBdr/>
              <w:spacing/>
              <w:ind/>
              <w:jc w:val="center"/>
              <w:rPr/>
            </w:pPr>
            <w:r>
              <w:t xml:space="preserve">Lê Thị Thịnh</w:t>
            </w:r>
            <w:r/>
            <w:r/>
          </w:p>
        </w:tc>
      </w:tr>
    </w:tbl>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BIÊN BẢN KHẢO SÁT</w:t>
      </w:r>
      <w:r/>
    </w:p>
    <w:p>
      <w:pPr>
        <w:pBdr/>
        <w:spacing w:after="200" w:line="276" w:lineRule="auto"/>
        <w:ind/>
        <w:jc w:val="center"/>
        <w:rPr>
          <w:lang w:val="pt-BR"/>
        </w:rPr>
      </w:pPr>
      <w:r>
        <w:rPr>
          <w:iCs/>
          <w:lang w:val="pt-BR"/>
        </w:rPr>
        <mc:AlternateContent>
          <mc:Choice Requires="wpg">
            <w:drawing>
              <wp:inline xmlns:wp="http://schemas.openxmlformats.org/drawingml/2006/wordprocessingDrawing" distT="0" distB="0" distL="0" distR="0">
                <wp:extent cx="5942190" cy="8806128"/>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14955" name=""/>
                        <pic:cNvPicPr>
                          <a:picLocks noChangeAspect="1"/>
                        </pic:cNvPicPr>
                        <pic:nvPr/>
                      </pic:nvPicPr>
                      <pic:blipFill rotWithShape="1">
                        <a:blip r:embed="rId39"/>
                        <a:srcRect l="4806" t="2109" r="6004" b="4343"/>
                        <a:stretch/>
                      </pic:blipFill>
                      <pic:spPr bwMode="auto">
                        <a:xfrm flipH="0" flipV="0">
                          <a:off x="0" y="0"/>
                          <a:ext cx="5942189" cy="88061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67.89pt;height:693.40pt;mso-wrap-distance-left:0.00pt;mso-wrap-distance-top:0.00pt;mso-wrap-distance-right:0.00pt;mso-wrap-distance-bottom:0.00pt;z-index:1;" stroked="false">
                <v:imagedata r:id="rId39" o:title="" croptop="1382f" cropleft="3150f" cropbottom="2846f" cropright="3935f"/>
                <o:lock v:ext="edit" rotation="t"/>
              </v:shape>
            </w:pict>
          </mc:Fallback>
        </mc:AlternateContent>
      </w:r>
      <w:r>
        <w:rPr>
          <w:iCs/>
          <w:lang w:val="pt-BR"/>
        </w:rPr>
      </w:r>
      <w:r>
        <w:rPr>
          <w:iCs/>
          <w:lang w:val="pt-BR"/>
        </w:rPr>
      </w:r>
      <w:r>
        <w:rPr>
          <w:iCs/>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tienphong.vn/giai-ma-suc-hut-cua-bat-dong-san-trong-khu-do-thi-khi-dong-tien-tim-ve-gia-tri-thuc-post1815172.html"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jpg"/><Relationship Id="rId34" Type="http://schemas.openxmlformats.org/officeDocument/2006/relationships/image" Target="media/image19.jpg"/><Relationship Id="rId35" Type="http://schemas.openxmlformats.org/officeDocument/2006/relationships/image" Target="media/image20.jpg"/><Relationship Id="rId36" Type="http://schemas.openxmlformats.org/officeDocument/2006/relationships/image" Target="media/image21.jpg"/><Relationship Id="rId37" Type="http://schemas.openxmlformats.org/officeDocument/2006/relationships/image" Target="media/image22.jpg"/><Relationship Id="rId38" Type="http://schemas.openxmlformats.org/officeDocument/2006/relationships/image" Target="media/image23.jpg"/><Relationship Id="rId39" Type="http://schemas.openxmlformats.org/officeDocument/2006/relationships/image" Target="media/image24.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271</cp:revision>
  <dcterms:created xsi:type="dcterms:W3CDTF">2025-09-15T09:58:00Z</dcterms:created>
  <dcterms:modified xsi:type="dcterms:W3CDTF">2026-03-12T14:18:06Z</dcterms:modified>
</cp:coreProperties>
</file>