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826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826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275/2026/0377/VFI-CT.24.A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Đặng Thị Hiền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sở hữu căn hộ chung cư số L05-205, Toà nhà L05-The Link cụm nhà cao tầng tổng hợp chung cư CT1 tại ô đất IC32-Khu đô thị Nam Thăng Long, phường Đông Ngạc, quận Bắc Từ Liêm, Thành phố Hà Nội </w:t>
                            </w:r>
                            <w:r>
                              <w:rPr>
                                <w:i/>
                                <w:iCs/>
                                <w:color w:val="000000"/>
                              </w:rPr>
                              <w:t xml:space="preserve">(Nay là phường Đông Ngạc,</w:t>
                            </w:r>
                            <w:r>
                              <w:rPr>
                                <w:i/>
                                <w:iCs/>
                                <w:color w:val="000000"/>
                              </w:rPr>
                              <w:t xml:space="preserve"> thành phố Hà Nội)</w:t>
                            </w:r>
                            <w:r>
                              <w:rPr>
                                <w:color w:val="000000"/>
                              </w:rPr>
                              <w:t xml:space="preserve"> theo Giấy chứng nhận quyền sử dụng đất quyền sở hữu nhà ở và tài sản gắn liền với đất số DI 247184 số vào sổ cấp GCN CS 00208 do Sở Tài nguyên và Môi trường thành phố Hà Nội cấp ngày 04/01/2025 cho bà Đặng Thị Hiền và ông Nguyễn Đức Minh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2.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275/2026/0377/VFI-CT.24.A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Đặng Thị Hiền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sở hữu căn hộ chung cư số L05-205, Toà nhà L05-The Link cụm nhà cao tầng tổng hợp chung cư CT1 tại ô đất IC32-Khu đô thị Nam Thăng Long, phường Đông Ngạc, quận Bắc Từ Liêm, Thành phố Hà Nội </w:t>
                      </w:r>
                      <w:r>
                        <w:rPr>
                          <w:i/>
                          <w:iCs/>
                          <w:color w:val="000000"/>
                        </w:rPr>
                        <w:t xml:space="preserve">(Nay là phường Đông Ngạc,</w:t>
                      </w:r>
                      <w:r>
                        <w:rPr>
                          <w:i/>
                          <w:iCs/>
                          <w:color w:val="000000"/>
                        </w:rPr>
                        <w:t xml:space="preserve"> thành phố Hà Nội)</w:t>
                      </w:r>
                      <w:r>
                        <w:rPr>
                          <w:color w:val="000000"/>
                        </w:rPr>
                        <w:t xml:space="preserve"> theo Giấy chứng nhận quyền sử dụng đất quyền sở hữu nhà ở và tài sản gắn liền với đất số DI 247184 số vào sổ cấp GCN CS 00208 do Sở Tài nguyên và Môi trường thành phố Hà Nội cấp ngày 04/01/2025 cho bà Đặng Thị Hiền và ông Nguyễn Đức Minh</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21-22</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23-28</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1701"/>
        <w:gridCol w:w="2268"/>
        <w:gridCol w:w="5953"/>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2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3969"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275/2026/0377/VFI-CT.24.A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953"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10 tháng 3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Đặng Thị Hiền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275/2026/0377/VFI-HĐTĐ.24.A</w:t>
      </w:r>
      <w:r>
        <w:rPr>
          <w:spacing w:val="-4"/>
          <w:lang w:val="vi-VN"/>
        </w:rPr>
        <w:t xml:space="preserve"> ký ngày </w:t>
      </w:r>
      <w:r>
        <w:rPr>
          <w:color w:val="000000" w:themeColor="text1"/>
          <w:spacing w:val="-4"/>
        </w:rPr>
        <w:t xml:space="preserve">10 tháng 3 năm 2026</w:t>
      </w:r>
      <w:r>
        <w:rPr>
          <w:spacing w:val="-4"/>
          <w:lang w:val="vi-VN"/>
        </w:rPr>
        <w:t xml:space="preserve"> </w:t>
      </w:r>
      <w:r>
        <w:rPr>
          <w:spacing w:val="-4"/>
          <w:lang w:val="vi-VN"/>
        </w:rPr>
        <w:t xml:space="preserve">giữa </w:t>
      </w:r>
      <w:r>
        <w:rPr>
          <w:color w:val="000000" w:themeColor="text1"/>
          <w:spacing w:val="-4"/>
        </w:rPr>
        <w:t xml:space="preserve">Bà Đặng Thị Hiền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275/2026/0377/VFI-BC.24.A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10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Bà Đặng Thị Hiền</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001173013867</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Đia chỉ</w:t>
            </w: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Số 13 Thuỵ Khuê, Phường Thuỵ Khuê, quận Tây Hồ, Hà Nội</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Giá trị quyền sở hữu căn hộ chung cư số L05-205, Toà nhà L05-The Link cụm nhà cao tầng tổng hợp chung cư CT1 tại ô đất IC32-Khu đô thị Nam Thăng Long, phường Đông Ngạc, quận Bắc Từ Liêm, Thành phố Hà Nội </w:t>
      </w:r>
      <w:r>
        <w:rPr>
          <w:i/>
          <w:iCs/>
          <w:color w:val="000000" w:themeColor="text1"/>
        </w:rPr>
        <w:t xml:space="preserve">(Nay là phường Đông Ngạc,</w:t>
      </w:r>
      <w:r>
        <w:rPr>
          <w:i/>
          <w:iCs/>
          <w:color w:val="000000" w:themeColor="text1"/>
        </w:rPr>
        <w:t xml:space="preserve"> thành phố Hà Nội) </w:t>
      </w:r>
      <w:r>
        <w:rPr>
          <w:color w:val="000000" w:themeColor="text1"/>
        </w:rPr>
        <w:t xml:space="preserve">theo Giấy chứng nhận quyền sử dụng đất quyền sở hữu nhà ở và tài sản gắn liền với đất số DI 247184 số vào sổ cấp GCN CS 00208 do Sở Tài nguyên và Môi trường thành phố Hà Nội cấp ngày 04/01/2025 cho bà Đặng Thị Hiền và ông Nguyễn Đức Minh</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tham khảo giá trị tài sản phục vụ công tác mua bán, chuyển nhượng tài sản</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257"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0"/>
        <w:gridCol w:w="3528"/>
        <w:gridCol w:w="1530"/>
        <w:gridCol w:w="2340"/>
        <w:gridCol w:w="1917"/>
      </w:tblGrid>
      <w:tr>
        <w:trPr>
          <w:trHeight w:val="20"/>
        </w:trPr>
        <w:tc>
          <w:tcPr>
            <w:shd w:val="clear" w:color="000000" w:fill="ffffff"/>
            <w:tcBorders/>
            <w:tcW w:w="700"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528"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530"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340"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917"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00"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398" w:type="dxa"/>
            <w:vAlign w:val="center"/>
            <w:textDirection w:val="lrTb"/>
            <w:noWrap w:val="false"/>
          </w:tcPr>
          <w:p>
            <w:pPr>
              <w:pBdr/>
              <w:spacing w:after="40" w:before="40" w:line="288" w:lineRule="auto"/>
              <w:ind/>
              <w:jc w:val="both"/>
              <w:rPr>
                <w:b/>
                <w:bCs/>
              </w:rPr>
            </w:pPr>
            <w:r>
              <w:rPr>
                <w:b/>
                <w:bCs/>
                <w:color w:val="000000"/>
              </w:rPr>
              <w:t xml:space="preserve">Giá trị quyền sở hữu căn hộ chung cư số L05-205, Toà nhà L05-The Link cụm nhà cao tầng tổng hợp chung cư CT1 tại ô đất IC32-Khu đô thị Nam Thăng Long, phường Đông Ngạc, quận Bắc Từ Liêm, Thành phố Hà Nội </w:t>
            </w:r>
            <w:r>
              <w:rPr>
                <w:b/>
                <w:bCs/>
                <w:i/>
                <w:iCs/>
                <w:color w:val="000000"/>
              </w:rPr>
              <w:t xml:space="preserve">(Nay là phường Đông Ngạc,</w:t>
            </w:r>
            <w:r>
              <w:rPr>
                <w:b/>
                <w:bCs/>
                <w:i/>
                <w:iCs/>
                <w:color w:val="000000"/>
              </w:rPr>
              <w:t xml:space="preserve"> thành phố Hà Nội) </w:t>
            </w:r>
            <w:r>
              <w:rPr>
                <w:b/>
                <w:bCs/>
                <w:color w:val="000000"/>
              </w:rPr>
              <w:t xml:space="preserve">theo Giấy chứng nhận quyền sử dụng đất quyền sở hữu nhà ở và tài sản gắn liền với đất số DI 247184 số vào sổ cấp GCN CS 00208 do Sở Tài nguyên và Môi trường thành phố Hà Nội cấp ngày 04/01/2025 cho bà Đặng Thị Hiền và ông Nguyễn Đức Minh</w:t>
            </w:r>
            <w:r>
              <w:rPr>
                <w:b/>
                <w:bCs/>
              </w:rPr>
              <w:t xml:space="preserve">.</w:t>
            </w:r>
            <w:r>
              <w:rPr>
                <w:b/>
                <w:bCs/>
              </w:rPr>
            </w:r>
            <w:r>
              <w:rPr>
                <w:b/>
                <w:bCs/>
              </w:rPr>
            </w:r>
          </w:p>
        </w:tc>
        <w:tc>
          <w:tcPr>
            <w:shd w:val="clear" w:color="000000" w:fill="ffffff"/>
            <w:tcBorders/>
            <w:tcW w:w="191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00"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528" w:type="dxa"/>
            <w:vAlign w:val="center"/>
            <w:textDirection w:val="lrTb"/>
            <w:noWrap w:val="false"/>
          </w:tcPr>
          <w:p>
            <w:pPr>
              <w:pBdr/>
              <w:spacing w:after="40" w:before="40" w:line="288" w:lineRule="auto"/>
              <w:ind/>
              <w:jc w:val="both"/>
              <w:rPr>
                <w:b w:val="0"/>
                <w:bCs w:val="0"/>
              </w:rPr>
            </w:pPr>
            <w:r>
              <w:rPr>
                <w:b w:val="0"/>
                <w:bCs w:val="0"/>
              </w:rPr>
              <w:t xml:space="preserve">Quyền sở hữu căn hộ chung cư</w:t>
            </w:r>
            <w:r>
              <w:rPr>
                <w:b w:val="0"/>
                <w:bCs w:val="0"/>
              </w:rPr>
            </w:r>
            <w:r>
              <w:rPr>
                <w:b w:val="0"/>
                <w:bCs w:val="0"/>
              </w:rPr>
            </w:r>
          </w:p>
        </w:tc>
        <w:tc>
          <w:tcPr>
            <w:tcBorders/>
            <w:tcW w:w="1530" w:type="dxa"/>
            <w:vAlign w:val="center"/>
            <w:textDirection w:val="lrTb"/>
            <w:noWrap/>
          </w:tcPr>
          <w:p>
            <w:pPr>
              <w:pBdr/>
              <w:spacing w:after="40" w:before="40" w:line="288" w:lineRule="auto"/>
              <w:ind/>
              <w:jc w:val="center"/>
              <w:rPr>
                <w:color w:val="000000"/>
              </w:rPr>
            </w:pPr>
            <w:r>
              <w:rPr>
                <w:color w:val="000000" w:themeColor="text1"/>
              </w:rPr>
              <w:t xml:space="preserve">105,6</w:t>
            </w:r>
            <w:r>
              <w:rPr>
                <w:color w:val="000000"/>
              </w:rPr>
            </w:r>
            <w:r>
              <w:rPr>
                <w:color w:val="000000"/>
              </w:rPr>
            </w:r>
          </w:p>
        </w:tc>
        <w:tc>
          <w:tcPr>
            <w:shd w:val="clear" w:color="000000" w:fill="ffffff"/>
            <w:tcBorders/>
            <w:tcW w:w="2340" w:type="dxa"/>
            <w:vAlign w:val="center"/>
            <w:textDirection w:val="lrTb"/>
            <w:noWrap w:val="false"/>
          </w:tcPr>
          <w:p>
            <w:pPr>
              <w:pBdr/>
              <w:spacing w:after="40" w:before="40" w:line="288" w:lineRule="auto"/>
              <w:ind/>
              <w:jc w:val="center"/>
              <w:rPr/>
            </w:pPr>
            <w:r>
              <w:rPr>
                <w:color w:val="000000" w:themeColor="text1"/>
              </w:rPr>
              <w:t xml:space="preserve">104.500.000</w:t>
            </w:r>
            <w:r/>
          </w:p>
        </w:tc>
        <w:tc>
          <w:tcPr>
            <w:shd w:val="clear" w:color="000000" w:fill="ffffff"/>
            <w:tcBorders/>
            <w:tcW w:w="1917" w:type="dxa"/>
            <w:vAlign w:val="center"/>
            <w:textDirection w:val="lrTb"/>
            <w:noWrap w:val="false"/>
          </w:tcPr>
          <w:p>
            <w:pPr>
              <w:pBdr/>
              <w:spacing w:after="40" w:before="40" w:line="288" w:lineRule="auto"/>
              <w:ind/>
              <w:jc w:val="center"/>
              <w:rPr/>
            </w:pPr>
            <w:r>
              <w:rPr>
                <w:color w:val="000000" w:themeColor="text1"/>
              </w:rPr>
              <w:t xml:space="preserve">11.035.200.000</w:t>
            </w:r>
            <w:r/>
          </w:p>
        </w:tc>
      </w:tr>
      <w:tr>
        <w:trPr>
          <w:trHeight w:val="20"/>
        </w:trPr>
        <w:tc>
          <w:tcPr>
            <w:gridSpan w:val="4"/>
            <w:tcBorders/>
            <w:tcW w:w="80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17" w:type="dxa"/>
            <w:vAlign w:val="center"/>
            <w:textDirection w:val="lrTb"/>
            <w:noWrap/>
          </w:tcPr>
          <w:p>
            <w:pPr>
              <w:pBdr/>
              <w:spacing w:after="40" w:before="40" w:line="288" w:lineRule="auto"/>
              <w:ind/>
              <w:jc w:val="center"/>
              <w:rPr>
                <w:b/>
                <w:bCs/>
                <w:color w:val="000000"/>
              </w:rPr>
            </w:pPr>
            <w:r>
              <w:t xml:space="preserve">11.035.200.000</w:t>
            </w:r>
            <w:r>
              <w:rPr>
                <w:b/>
                <w:bCs/>
                <w:color w:val="000000"/>
              </w:rPr>
            </w:r>
            <w:r>
              <w:rPr>
                <w:b/>
                <w:bCs/>
                <w:color w:val="000000"/>
              </w:rPr>
            </w:r>
          </w:p>
        </w:tc>
      </w:tr>
      <w:tr>
        <w:trPr>
          <w:trHeight w:val="20"/>
        </w:trPr>
        <w:tc>
          <w:tcPr>
            <w:gridSpan w:val="4"/>
            <w:tcBorders/>
            <w:tcW w:w="809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17" w:type="dxa"/>
            <w:vAlign w:val="center"/>
            <w:textDirection w:val="lrTb"/>
            <w:noWrap/>
          </w:tcPr>
          <w:p>
            <w:pPr>
              <w:pBdr/>
              <w:spacing w:after="40" w:before="40" w:line="288" w:lineRule="auto"/>
              <w:ind/>
              <w:jc w:val="center"/>
              <w:rPr>
                <w:b/>
                <w:bCs/>
                <w:color w:val="000000"/>
              </w:rPr>
            </w:pPr>
            <w:r>
              <w:rPr>
                <w:b/>
                <w:bCs/>
                <w:color w:val="000000"/>
              </w:rPr>
              <w:t xml:space="preserve">11.035.000.000</w:t>
            </w:r>
            <w:r>
              <w:rPr>
                <w:b/>
                <w:bCs/>
                <w:color w:val="000000"/>
              </w:rPr>
            </w:r>
            <w:r>
              <w:rPr>
                <w:b/>
                <w:bCs/>
                <w:color w:val="000000"/>
              </w:rPr>
            </w:r>
          </w:p>
        </w:tc>
      </w:tr>
      <w:tr>
        <w:trPr>
          <w:trHeight w:val="20"/>
        </w:trPr>
        <w:tc>
          <w:tcPr>
            <w:gridSpan w:val="5"/>
            <w:tcBorders/>
            <w:tcW w:w="10015"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một tỷ, không trăm ba mươi lăm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29"/>
        <w:gridCol w:w="1559"/>
        <w:gridCol w:w="3118"/>
        <w:gridCol w:w="5244"/>
      </w:tblGrid>
      <w:tr>
        <w:trPr>
          <w:trHeight w:val="115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467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275/2026/0377/VFI-</w:t>
            </w:r>
            <w:r>
              <w:rPr>
                <w:rStyle w:val="1025"/>
                <w:rFonts w:ascii="Times New Roman" w:hAnsi="Times New Roman"/>
                <w:color w:val="000000" w:themeColor="text1"/>
                <w:lang w:val="pt-BR"/>
              </w:rPr>
              <w:t xml:space="preserve">BC</w:t>
            </w:r>
            <w:r>
              <w:rPr>
                <w:rStyle w:val="1025"/>
                <w:rFonts w:ascii="Times New Roman" w:hAnsi="Times New Roman"/>
                <w:color w:val="ff0000"/>
                <w:lang w:val="pt-BR"/>
              </w:rPr>
              <w:t xml:space="preserve">.</w:t>
            </w:r>
            <w:r>
              <w:rPr>
                <w:rStyle w:val="1025"/>
                <w:rFonts w:ascii="Times New Roman" w:hAnsi="Times New Roman"/>
                <w:color w:val="000000" w:themeColor="text1"/>
                <w:lang w:val="pt-BR"/>
              </w:rPr>
              <w:t xml:space="preserve">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24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10 tháng 3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275/2026/0377/VFI-CT.24.A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00" w:type="dxa"/>
        <w:tblBorders/>
        <w:tblLayout w:type="fixed"/>
        <w:tblLook w:val="04A0" w:firstRow="1" w:lastRow="0" w:firstColumn="1" w:lastColumn="0" w:noHBand="0" w:noVBand="1"/>
      </w:tblPr>
      <w:tblGrid>
        <w:gridCol w:w="2330"/>
        <w:gridCol w:w="425"/>
        <w:gridCol w:w="6945"/>
      </w:tblGrid>
      <w:tr>
        <w:trPr>
          <w:trHeight w:val="20"/>
        </w:trPr>
        <w:tc>
          <w:tcPr>
            <w:tcBorders/>
            <w:tcW w:w="2330"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425"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330"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425"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397"/>
        </w:trPr>
        <w:tc>
          <w:tcPr>
            <w:tcBorders/>
            <w:tcW w:w="2330"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425"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5"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330"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425"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330"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425"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330"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425"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5"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330"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425"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5"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p>
            <w:pPr>
              <w:pBdr/>
              <w:spacing w:after="60" w:before="6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Bà Đặng Thị Hiền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CCCD</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001173013867</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Đia chỉ</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13 Thuỵ Khuê, Phường Thuỵ Khuê, quận Tây Hồ,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Số hợp đồng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Style w:val="1025"/>
                <w:rFonts w:ascii="Times New Roman" w:hAnsi="Times New Roman"/>
                <w:color w:val="000000" w:themeColor="text1"/>
                <w:lang w:val="pt-BR"/>
              </w:rPr>
              <w:t xml:space="preserve">275/2026/0377/VFI-HĐTĐ.24.A</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sở hữu căn hộ chung cư số L05-205, Toà nhà L05-The Link cụm nhà cao tầng tổng hợp chung cư CT1 tại ô đất IC32-Khu đô thị Nam Thăng Long, phường Đông Ngạc, quận Bắc Từ Liêm, Thành phố Hà Nội</w:t>
            </w:r>
            <w:r>
              <w:rPr>
                <w:bCs/>
                <w:i/>
                <w:iCs/>
                <w:color w:val="000000" w:themeColor="text1"/>
                <w:lang w:val="pt-BR"/>
              </w:rPr>
              <w:t xml:space="preserve"> (Nay là phường Đông Ngạc,</w:t>
            </w:r>
            <w:r>
              <w:rPr>
                <w:bCs/>
                <w:i/>
                <w:iCs/>
                <w:color w:val="000000" w:themeColor="text1"/>
                <w:lang w:val="pt-BR"/>
              </w:rPr>
              <w:t xml:space="preserve"> thành phố Hà Nội)</w:t>
            </w:r>
            <w:r>
              <w:rPr>
                <w:bCs/>
                <w:color w:val="000000" w:themeColor="text1"/>
                <w:lang w:val="pt-BR"/>
              </w:rPr>
              <w:t xml:space="preserve"> theo Giấy chứng nhận quyền sử dụng đất quyền sở hữu nhà ở và tài sản gắn liền với đất số DI 247184 số vào sổ cấp GCN CS 00208 do Sở Tài nguyên và Môi trường thành phố Hà Nội cấp ngày 04/01/2025 cho bà Đặng Thị Hiền và ông Nguyễn Đức Minh</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tham khảo giá trị tài sản phục vụ công tác mua bán, chuyển nhượng tài sản</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Cụm nhà cao tầng tổ hợp chung cư CT1 tại ô đất 1C32, Khu đô thị Nam Thăng Long, phường Đông Ngạc,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21.082735, 105.792175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gắn liền với đất số DI 247184 số vào sổ cấp GCN CS 00208 có địa chỉ căn hộ chung cư số L05-205, Toà nhà L0</w:t>
      </w:r>
      <w:r>
        <w:rPr>
          <w:bCs/>
          <w:color w:val="000000" w:themeColor="text1"/>
          <w:lang w:val="pt-BR"/>
        </w:rPr>
        <w:t xml:space="preserve">5-The Link cụm nhà cao tầng tổng hợp chung cư CT1 tại ô đất IC32-Khu đô thị Nam Thăng Long, phường Đông Ngạc, quận Bắc Từ Liêm, Thành phố Hà Nội do Sở Tài nguyên và Môi trường thành phố Hà Nội cấp ngày 04/01/2025 cho bà Đặng Thị Hiền và ông Nguyễn Đức Minh</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275/2026/0377/VFI-HĐTĐ.24.A ngày 10/03/2026 giữa Bà Đặng Thị Hiền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lang w:val="pt-BR"/>
        </w:rPr>
        <w:tab/>
      </w: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905"/>
        <w:gridCol w:w="1905"/>
        <w:gridCol w:w="1905"/>
        <w:gridCol w:w="1905"/>
        <w:gridCol w:w="1905"/>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G</w:t>
            </w:r>
            <w:r>
              <w:rPr>
                <w:rFonts w:ascii="Times New Roman" w:hAnsi="Times New Roman" w:eastAsia="Times New Roman" w:cs="Times New Roman"/>
                <w:b/>
                <w:color w:val="000000"/>
                <w:sz w:val="24"/>
              </w:rPr>
              <w:t xml:space="preserve">iá trị quyền sở hữu căn hộ chung cư số L05-205, Toà nhà L05-The Link cụm nhà cao tầng tổng hợp chung cư CT1 tại ô đất IC32-Khu đô thị Nam Thăng Long, phường Đông Ngạc, quận Bắc Từ Liêm, Thành phố Hà Nội (Nay là phường Đông Ngạc, thành phố Hà Nội) theo Giấy</w:t>
            </w:r>
            <w:r>
              <w:rPr>
                <w:rFonts w:ascii="Times New Roman" w:hAnsi="Times New Roman" w:eastAsia="Times New Roman" w:cs="Times New Roman"/>
                <w:b/>
                <w:color w:val="000000"/>
                <w:sz w:val="24"/>
              </w:rPr>
              <w:t xml:space="preserve"> chứng nhận quyền sử dụng đất quyền sở hữu nhà ở và tài sản gắn liền với đất số DI 247184 số vào sổ cấp GCN CS 00208 do Sở Tài nguyên và Môi trường thành phố Hà Nội cấp ngày 04/01/2025 cho bà Đặng Thị Hiền và ông Nguyễn Đức Minh.</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pPr>
            <w:r>
              <w:rPr>
                <w:rFonts w:ascii="Times New Roman" w:hAnsi="Times New Roman" w:eastAsia="Times New Roman" w:cs="Times New Roman"/>
                <w:color w:val="000000"/>
                <w:sz w:val="24"/>
              </w:rPr>
              <w:t xml:space="preserve">Cụm nhà cao tầng tổ hợp chung cư CT1 tại ô đất IC32, Khu đô thị Nam Thăng Long, phường Đông Ngạc, quận Bắc Từ Liêm, Thành phố Hà Nội </w:t>
            </w:r>
            <w:r>
              <w:rPr>
                <w:rFonts w:ascii="Times New Roman" w:hAnsi="Times New Roman" w:eastAsia="Times New Roman" w:cs="Times New Roman"/>
                <w:i/>
                <w:color w:val="000000"/>
                <w:sz w:val="24"/>
              </w:rPr>
              <w:t xml:space="preserve">(Nay là phường Đông Ngạc, Hà Nội)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1290</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Sử dụng chung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Lâu dài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Nguồn gốc sử dụng:</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Nhà nước giao đất có thu tiền sử dụng đất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i/>
                <w:color w:val="000000"/>
                <w:sz w:val="24"/>
              </w:rPr>
              <w:t xml:space="preserve">- Số tờ, số thửa và sơ đồ sẽ được điều chỉnh khi có bản đồ địa chính chính quy</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tài sản thẩm định trên bản đồ vệ tinh (21.063369, 105.796308)</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mc:AlternateContent>
                <mc:Choice Requires="wpg">
                  <w:drawing>
                    <wp:inline xmlns:wp="http://schemas.openxmlformats.org/drawingml/2006/wordprocessingDrawing" distT="0" distB="0" distL="0" distR="0">
                      <wp:extent cx="5570838" cy="315858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70873" name=""/>
                              <pic:cNvPicPr>
                                <a:picLocks noChangeAspect="1"/>
                              </pic:cNvPicPr>
                              <pic:nvPr/>
                            </pic:nvPicPr>
                            <pic:blipFill rotWithShape="1">
                              <a:blip r:embed="rId17"/>
                              <a:stretch/>
                            </pic:blipFill>
                            <pic:spPr bwMode="auto">
                              <a:xfrm flipH="0" flipV="0">
                                <a:off x="0" y="0"/>
                                <a:ext cx="5570837" cy="3158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8.65pt;height:248.71pt;mso-wrap-distance-left:0.00pt;mso-wrap-distance-top:0.00pt;mso-wrap-distance-right:0.00pt;mso-wrap-distance-bottom:0.00pt;z-index:1;" stroked="false">
                      <v:imagedata r:id="rId17" o:title=""/>
                      <o:lock v:ext="edit" rotation="t"/>
                    </v:shape>
                  </w:pict>
                </mc:Fallback>
              </mc:AlternateConten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Địa chỉ thực tế:</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both"/>
              <w:rPr/>
            </w:pPr>
            <w:r>
              <w:rPr>
                <w:rFonts w:ascii="Times New Roman" w:hAnsi="Times New Roman" w:eastAsia="Times New Roman" w:cs="Times New Roman"/>
                <w:color w:val="000000"/>
                <w:sz w:val="24"/>
              </w:rPr>
              <w:t xml:space="preserve">Cụm nhà cao tầng tổ hợp chung cư CT1 tại ô đất IC32, Khu đô thị Nam Thăng Long, phường Đông Ngạc, quận Bắc Từ Liêm, Thành phố Hà Nội </w:t>
            </w:r>
            <w:r>
              <w:rPr>
                <w:rFonts w:ascii="Times New Roman" w:hAnsi="Times New Roman" w:eastAsia="Times New Roman" w:cs="Times New Roman"/>
                <w:i/>
                <w:color w:val="000000"/>
                <w:sz w:val="24"/>
              </w:rPr>
              <w:t xml:space="preserve">(Nay là phường Đông Ngạc, Hà Nội)</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Đường tiếp giáp:</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Đường nội bộ cách đường Nguyễn Hoàng Tôn khoảng 800m</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Thông tin về căn hộ</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Loại nhà ở:</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hộ chung cư số L05-205</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căn hộ:</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góc trong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Diện tích sàn (m²):</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195,6</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Hình thức sở hữu:</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Tòa nhà:</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Toà L05 – The Link</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Vị trí tầng: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30/35</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cửa:</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Nam</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Hướng ban công: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Bắc – view vườn hoa</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Cấu trúc: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 ngủ, 2 vệ sinh, khách, bếp</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Nội thất:</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Nội thất cơ bản. </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Ổn định</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Thích hợp để ở</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Tốt</w:t>
            </w: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Hiện trạng:</w:t>
            </w:r>
            <w:r/>
          </w:p>
        </w:tc>
        <w:tc>
          <w:tcPr>
            <w:gridSpan w:val="3"/>
            <w:tcBorders>
              <w:bottom w:val="single" w:color="000000" w:sz="8" w:space="0"/>
              <w:right w:val="single" w:color="000000" w:sz="8" w:space="0"/>
            </w:tcBorders>
            <w:tcMar>
              <w:left w:w="108" w:type="dxa"/>
              <w:top w:w="0" w:type="dxa"/>
              <w:right w:w="108" w:type="dxa"/>
              <w:bottom w:w="0" w:type="dxa"/>
            </w:tcMar>
            <w:tcW w:w="57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Đang sử dụng bình thường.</w:t>
            </w: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Cụm nhà cao tầng tổ hợp chung cư CT1 tại ô đất 1C32, Khu đô thị Nam Thăng Long, phường Đông Ngạc, quận Bắc Từ Liêm, Thành phố Hà Nội ✔</w:t>
            </w:r>
            <w:r/>
          </w:p>
        </w:tc>
        <w:tc>
          <w:tcPr>
            <w:tcBorders/>
            <w:tcW w:w="1605" w:type="dxa"/>
            <w:vAlign w:val="center"/>
            <w:textDirection w:val="lrTb"/>
            <w:noWrap w:val="false"/>
          </w:tcPr>
          <w:p>
            <w:pPr>
              <w:pBdr/>
              <w:spacing/>
              <w:ind/>
              <w:jc w:val="center"/>
              <w:rPr/>
            </w:pPr>
            <w:r>
              <w:t xml:space="preserve">Cụm nhà cao tầng tổ hợp chung cư CT1 tại ô đất 1C32, Khu đô thị Nam Thăng Long, phường Đông Ngạc, quận Bắc Từ Liêm, Thành phố Hà Nội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Quận Bắc Từ Liêm, Thành phố Hà Nội</w:t>
            </w:r>
            <w:r/>
          </w:p>
        </w:tc>
        <w:tc>
          <w:tcPr>
            <w:tcBorders/>
            <w:tcW w:w="1605" w:type="dxa"/>
            <w:vAlign w:val="center"/>
            <w:textDirection w:val="lrTb"/>
            <w:noWrap w:val="false"/>
          </w:tcPr>
          <w:p>
            <w:pPr>
              <w:pBdr/>
              <w:spacing/>
              <w:ind/>
              <w:jc w:val="center"/>
              <w:rPr/>
            </w:pPr>
            <w:r>
              <w:t xml:space="preserve">Phường Đông Ngạc, Thành phố Hà Nội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Sau sáp nhập</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đô thị, khu phân lô/tái định cư ✔</w:t>
            </w:r>
            <w:r/>
          </w:p>
        </w:tc>
        <w:tc>
          <w:tcPr>
            <w:tcBorders/>
            <w:tcW w:w="1605" w:type="dxa"/>
            <w:vAlign w:val="center"/>
            <w:textDirection w:val="lrTb"/>
            <w:noWrap w:val="false"/>
          </w:tcPr>
          <w:p>
            <w:pPr>
              <w:pBdr/>
              <w:spacing/>
              <w:ind/>
              <w:jc w:val="center"/>
              <w:rPr/>
            </w:pPr>
            <w:r>
              <w:t xml:space="preserve">Hạ tầng khu đô thị, khu phân lô/tái định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 ✔</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105,6</w:t>
            </w:r>
            <w:r/>
          </w:p>
        </w:tc>
        <w:tc>
          <w:tcPr>
            <w:tcBorders/>
            <w:tcW w:w="1605" w:type="dxa"/>
            <w:vAlign w:val="center"/>
            <w:textDirection w:val="lrTb"/>
            <w:noWrap w:val="false"/>
          </w:tcPr>
          <w:p>
            <w:pPr>
              <w:pBdr/>
              <w:spacing/>
              <w:ind/>
              <w:jc w:val="center"/>
              <w:rPr/>
            </w:pPr>
            <w:r>
              <w:t xml:space="preserve">105,6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2 mặt ✔</w:t>
            </w:r>
            <w:r/>
          </w:p>
        </w:tc>
        <w:tc>
          <w:tcPr>
            <w:tcBorders/>
            <w:tcW w:w="1605" w:type="dxa"/>
            <w:vAlign w:val="center"/>
            <w:textDirection w:val="lrTb"/>
            <w:noWrap w:val="false"/>
          </w:tcPr>
          <w:p>
            <w:pPr>
              <w:pBdr/>
              <w:spacing/>
              <w:ind/>
              <w:jc w:val="center"/>
              <w:rPr/>
            </w:pPr>
            <w:r>
              <w:t xml:space="preserve">2 mặt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 ban công</w:t>
            </w:r>
            <w:r/>
          </w:p>
        </w:tc>
        <w:tc>
          <w:tcPr>
            <w:tcBorders/>
            <w:tcW w:w="1560" w:type="dxa"/>
            <w:vAlign w:val="center"/>
            <w:textDirection w:val="lrTb"/>
            <w:noWrap w:val="false"/>
          </w:tcPr>
          <w:p>
            <w:pPr>
              <w:pBdr/>
              <w:spacing/>
              <w:ind/>
              <w:jc w:val="center"/>
              <w:rPr/>
            </w:pPr>
            <w:r>
              <w:t xml:space="preserve">Đông Bắc ✔</w:t>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t xml:space="preserve">Hồ sơ pháp lý khách hàng cung cấp tổ thẩm định chỉ nhận được 3 trang của GCN số </w:t>
      </w:r>
      <w:r>
        <w:rPr>
          <w:rFonts w:ascii="Times New Roman" w:hAnsi="Times New Roman" w:eastAsia="Times New Roman" w:cs="Times New Roman"/>
          <w:color w:val="000000"/>
          <w:sz w:val="24"/>
        </w:rPr>
        <w:t xml:space="preserve">DI 247184, khách hàng không cung cấp các trang còn lại của GCN. Do dó, tổ thẩm định xác định giá trị tài sản theo giả định Quyền sở hữu căn hộ chung cư được cấp theo GCN số </w:t>
      </w:r>
      <w:r>
        <w:rPr>
          <w:rFonts w:ascii="Times New Roman" w:hAnsi="Times New Roman" w:eastAsia="Times New Roman" w:cs="Times New Roman"/>
          <w:color w:val="000000"/>
          <w:sz w:val="24"/>
        </w:rPr>
        <w:t xml:space="preserve">DI 247184 </w:t>
      </w:r>
      <w:r>
        <w:rPr>
          <w:spacing w:val="-2"/>
          <w:highlight w:val="none"/>
          <w:lang w:val="pt-BR" w:bidi="pt-BR"/>
        </w:rPr>
        <w:t xml:space="preserve">thuộc sở hữu của </w:t>
      </w:r>
      <w:r>
        <w:rPr>
          <w:rFonts w:ascii="Times New Roman" w:hAnsi="Times New Roman" w:eastAsia="Times New Roman" w:cs="Times New Roman"/>
          <w:color w:val="000000"/>
          <w:sz w:val="24"/>
        </w:rPr>
        <w:t xml:space="preserve">bà Đặng Thị Hiền và ông Nguyễn Đức Minh</w:t>
      </w:r>
      <w:r>
        <w:rPr>
          <w:spacing w:val="-2"/>
          <w:highlight w:val="none"/>
          <w:lang w:val="pt-BR" w:bidi="pt-BR"/>
        </w:rPr>
        <w:t xml:space="preserve"> không có tranh chấp và không có đính chính, thay đổi nào khác tại các trang còn lại của GCN. Mọi trách nhiệm phát sinh do có sự thay đổi nội dung tại các trang GCN do khách hàng chưa cung cấp không thuộc phạm vi trách nhiệm của chúng tôi.</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Căn hộ chung cư toà The Link, cụm nhà ở cao tầng tổng hợp chung cư CT1 tại ô đất IC32, Khu đô thị Nam Thăng Long, phường Đông Ngạc,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Căn hộ chung cư toà The Link, </w:t>
            </w:r>
            <w:r>
              <w:rPr>
                <w:color w:val="000000" w:themeColor="text1"/>
                <w:sz w:val="22"/>
                <w:szCs w:val="22"/>
              </w:rPr>
              <w:t xml:space="preserve">cụm nhà ở cao tầng tổng hợp chung cư CT1 tại ô đất IC32, Khu đô thị Nam Thăng Long, phường Đông Ngạc,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CHCC tầng 7 toà L5, The Link, </w:t>
            </w:r>
            <w:r>
              <w:rPr>
                <w:color w:val="000000" w:themeColor="text1"/>
                <w:sz w:val="22"/>
                <w:szCs w:val="22"/>
              </w:rPr>
              <w:t xml:space="preserve">cụm nhà ở cao tầng tổng hợp chung cư CT1 tại ô đất IC32, Khu đô thị Nam Thăng Long, phường Đông Ngạc,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CHCC tầng 21 toà L4, The Link, </w:t>
            </w:r>
            <w:r>
              <w:rPr>
                <w:color w:val="000000" w:themeColor="text1"/>
                <w:sz w:val="22"/>
                <w:szCs w:val="22"/>
              </w:rPr>
              <w:t xml:space="preserve">cụm nhà ở cao tầng tổng hợp chung cư CT1 tại ô đất IC32, Khu đô thị Nam Thăng Long, phường Đông Ngạc, Thành phố Hà Nội</w:t>
            </w:r>
            <w:r>
              <w:rPr>
                <w:sz w:val="22"/>
                <w:szCs w:val="22"/>
              </w:rPr>
            </w:r>
            <w:r>
              <w:rPr>
                <w:sz w:val="22"/>
                <w:szCs w:val="22"/>
              </w:rPr>
            </w:r>
          </w:p>
        </w:tc>
      </w:tr>
      <w:tr>
        <w:trPr>
          <w:trHeight w:val="148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https://www.facebook.com/groups/batdongsanciputra/posts/2096779807740830/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https://www.facebook.com/groups/batdongsanciputra/posts/2100728207345990/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https://www.facebook.com/groups/batdongsanciputra/posts/2100728207345990/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0988 613 960</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0916252992</w:t>
            </w:r>
            <w:r>
              <w:rPr>
                <w:sz w:val="22"/>
                <w:szCs w:val="22"/>
              </w:rPr>
              <w:br/>
            </w:r>
            <w:r>
              <w:rPr>
                <w:sz w:val="22"/>
                <w:szCs w:val="22"/>
              </w:rPr>
              <w:t xml:space="preserve">(</w:t>
            </w:r>
            <w:r>
              <w:rPr>
                <w:sz w:val="22"/>
                <w:szCs w:val="22"/>
              </w:rPr>
              <w:t xml:space="preserve">Vũ</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0916252992</w:t>
            </w:r>
            <w:r>
              <w:rPr>
                <w:sz w:val="22"/>
                <w:szCs w:val="22"/>
              </w:rPr>
              <w:br/>
            </w:r>
            <w:r>
              <w:rPr>
                <w:sz w:val="22"/>
                <w:szCs w:val="22"/>
              </w:rPr>
              <w:t xml:space="preserve">(</w:t>
            </w:r>
            <w:r>
              <w:rPr>
                <w:sz w:val="22"/>
                <w:szCs w:val="22"/>
              </w:rPr>
              <w:t xml:space="preserve">Vũ</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Căn hộ chung cư toà The Link, cụm nhà ở cao tầng tổng hợp chung cư CT1 tại ô đất IC32, Khu đô thị Nam Thăng Long, phường Đông Ngạc,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Căn hộ chung cư toà The Link, </w:t>
            </w:r>
            <w:r>
              <w:rPr>
                <w:color w:val="000000" w:themeColor="text1"/>
                <w:sz w:val="22"/>
                <w:szCs w:val="22"/>
              </w:rPr>
              <w:t xml:space="preserve">cụm nhà ở cao tầng tổng hợp chung cư CT1 tại ô đất IC32, Khu đô thị Nam Thăng Long, phường Đông Ngạc,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CHCC tầng 7 toà L5, The Link, </w:t>
            </w:r>
            <w:r>
              <w:rPr>
                <w:color w:val="000000" w:themeColor="text1"/>
                <w:sz w:val="22"/>
                <w:szCs w:val="22"/>
              </w:rPr>
              <w:t xml:space="preserve">cụm nhà ở cao tầng tổng hợp chung cư CT1 tại ô đất IC32, Khu đô thị Nam Thăng Long, phường Đông Ngạc,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CHCC tầng 21 toà L4, The Link, </w:t>
            </w:r>
            <w:r>
              <w:rPr>
                <w:color w:val="000000" w:themeColor="text1"/>
                <w:sz w:val="22"/>
                <w:szCs w:val="22"/>
              </w:rPr>
              <w:t xml:space="preserve">cụm nhà ở cao tầng tổng hợp chung cư CT1 tại ô đất IC32, Khu đô thị Nam Thăng Long, phường Đông Ngạc, Thành phố Hà Nội</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Diện tích</w:t>
            </w:r>
            <w:r>
              <w:rPr>
                <w:color w:val="000000" w:themeColor="text1"/>
                <w:sz w:val="22"/>
                <w:szCs w:val="22"/>
                <w:highlight w:val="white"/>
              </w:rPr>
              <w:t xml:space="preserve"> sàn</w:t>
            </w:r>
            <w:r>
              <w:rPr>
                <w:color w:val="000000" w:themeColor="text1"/>
                <w:sz w:val="22"/>
                <w:szCs w:val="22"/>
                <w:highlight w:val="white"/>
              </w:rPr>
              <w:t xml:space="preserve"> (m²)</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Tầng cao</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trung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21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Vị trí căn</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Căn góc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t xml:space="preserve">Cảnh quan</w:t>
            </w: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công viên, vườn hoa, quảng trường</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none"/>
              </w:rPr>
              <w:t xml:space="preserve">Nội thất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b/>
                <w:bCs/>
                <w:color w:val="000000"/>
                <w:sz w:val="22"/>
                <w:szCs w:val="22"/>
              </w:rPr>
            </w:pPr>
            <w:r>
              <w:rPr>
                <w:color w:val="000000" w:themeColor="text1"/>
                <w:sz w:val="22"/>
                <w:szCs w:val="22"/>
              </w:rPr>
              <w:t xml:space="preserve">Nội thất cơ bản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Nội thất đầy đủ (</w:t>
            </w:r>
            <w:r>
              <w:rPr>
                <w:color w:val="000000" w:themeColor="text1"/>
                <w:sz w:val="22"/>
                <w:szCs w:val="22"/>
              </w:rPr>
              <w:t xml:space="preserve">Chưa </w:t>
            </w:r>
            <w:r>
              <w:rPr>
                <w:color w:val="000000" w:themeColor="text1"/>
                <w:sz w:val="22"/>
                <w:szCs w:val="22"/>
              </w:rPr>
              <w:t xml:space="preserve">có thiết bị điện tử)</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Nội thất đầy đủ (</w:t>
            </w:r>
            <w:r>
              <w:rPr>
                <w:color w:val="000000" w:themeColor="text1"/>
                <w:sz w:val="22"/>
                <w:szCs w:val="22"/>
              </w:rPr>
              <w:t xml:space="preserve">Chưa </w:t>
            </w:r>
            <w:r>
              <w:rPr>
                <w:color w:val="000000" w:themeColor="text1"/>
                <w:sz w:val="22"/>
                <w:szCs w:val="22"/>
              </w:rPr>
              <w:t xml:space="preserve">có thiết bị điện tử)</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Nội thất đầy đủ (</w:t>
            </w:r>
            <w:r>
              <w:rPr>
                <w:color w:val="000000" w:themeColor="text1"/>
                <w:sz w:val="22"/>
                <w:szCs w:val="22"/>
              </w:rPr>
              <w:t xml:space="preserve">Chưa </w:t>
            </w:r>
            <w:r>
              <w:rPr>
                <w:color w:val="000000" w:themeColor="text1"/>
                <w:sz w:val="22"/>
                <w:szCs w:val="22"/>
              </w:rPr>
              <w:t xml:space="preserve">có thiết bị điện tử)</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6.300.000.000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13.000.000.000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12.500.000.000</w:t>
            </w:r>
            <w:r>
              <w:rPr>
                <w:b w:val="0"/>
                <w:bCs w:val="0"/>
                <w:color w:val="000000"/>
                <w:sz w:val="22"/>
                <w:szCs w:val="22"/>
              </w:rPr>
            </w:r>
            <w:r>
              <w:rPr>
                <w:b w:val="0"/>
                <w:bCs w:val="0"/>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6.174.000.000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12.740.000.000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sz w:val="22"/>
                <w:szCs w:val="22"/>
              </w:rPr>
            </w:pPr>
            <w:r>
              <w:rPr>
                <w:b w:val="0"/>
                <w:bCs w:val="0"/>
                <w:color w:val="000000" w:themeColor="text1"/>
                <w:sz w:val="22"/>
                <w:szCs w:val="22"/>
              </w:rPr>
              <w:t xml:space="preserve">12.250.000.000</w:t>
            </w:r>
            <w:r>
              <w:rPr>
                <w:b w:val="0"/>
                <w:bCs w:val="0"/>
                <w:color w:val="000000"/>
                <w:sz w:val="22"/>
                <w:szCs w:val="22"/>
              </w:rPr>
            </w:r>
            <w:r>
              <w:rPr>
                <w:b w:val="0"/>
                <w:bCs w:val="0"/>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b/>
                <w:bCs/>
              </w:rPr>
            </w:pPr>
            <w:r>
              <w:rPr>
                <w:rFonts w:ascii="Times New Roman" w:hAnsi="Times New Roman" w:eastAsia="Times New Roman" w:cs="Times New Roman"/>
                <w:b/>
                <w:bCs/>
                <w:color w:val="000000"/>
                <w:sz w:val="22"/>
              </w:rPr>
              <w:t xml:space="preserve">Giá thương lượng/bán (đồng)</w:t>
            </w:r>
            <w:r>
              <w:rPr>
                <w:b/>
                <w:bCs/>
              </w:rPr>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6.174.000.000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12.740.000.000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12.250.000.000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b/>
                <w:bCs/>
              </w:rPr>
            </w:pPr>
            <w:r>
              <w:rPr>
                <w:rFonts w:ascii="Times New Roman" w:hAnsi="Times New Roman" w:eastAsia="Times New Roman" w:cs="Times New Roman"/>
                <w:b/>
                <w:bCs/>
                <w:color w:val="000000"/>
                <w:sz w:val="22"/>
              </w:rPr>
              <w:t xml:space="preserve">Đơn giá QSH căn hộ (đồng/m2)</w:t>
            </w:r>
            <w:r>
              <w:rPr>
                <w:b/>
                <w:bCs/>
              </w:rPr>
            </w:r>
            <w:r>
              <w:rPr>
                <w:b/>
                <w:bCs/>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106.448.276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111.754.386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107.456.140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căn hộ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Nội thất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636"/>
        <w:gridCol w:w="1701"/>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636"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BĐS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6.174.000.000</w:t>
            </w:r>
            <w:r>
              <w:rPr>
                <w:color w:val="000000"/>
                <w:sz w:val="20"/>
                <w:szCs w:val="20"/>
              </w:rPr>
            </w:r>
            <w:r>
              <w:rPr>
                <w:color w:val="000000"/>
                <w:sz w:val="20"/>
                <w:szCs w:val="20"/>
              </w:rPr>
            </w:r>
          </w:p>
        </w:tc>
        <w:tc>
          <w:tcPr>
            <w:shd w:val="clear" w:color="000000" w:fill="ffffff"/>
            <w:tcBorders/>
            <w:tcW w:w="1636" w:type="dxa"/>
            <w:vAlign w:val="center"/>
            <w:textDirection w:val="lrTb"/>
            <w:noWrap w:val="false"/>
          </w:tcPr>
          <w:p>
            <w:pPr>
              <w:pBdr/>
              <w:spacing/>
              <w:ind/>
              <w:jc w:val="center"/>
              <w:rPr>
                <w:color w:val="000000"/>
                <w:sz w:val="20"/>
                <w:szCs w:val="20"/>
              </w:rPr>
            </w:pPr>
            <w:r>
              <w:rPr>
                <w:color w:val="000000" w:themeColor="text1"/>
                <w:sz w:val="22"/>
                <w:szCs w:val="22"/>
              </w:rPr>
              <w:t xml:space="preserve">12.740.000.000</w:t>
            </w:r>
            <w:r>
              <w:rPr>
                <w:color w:val="000000"/>
                <w:sz w:val="20"/>
                <w:szCs w:val="20"/>
              </w:rPr>
            </w:r>
            <w:r>
              <w:rPr>
                <w:color w:val="000000"/>
                <w:sz w:val="20"/>
                <w:szCs w:val="20"/>
              </w:rPr>
            </w:r>
          </w:p>
        </w:tc>
        <w:tc>
          <w:tcPr>
            <w:shd w:val="clear" w:color="000000" w:fill="ffffff"/>
            <w:tcBorders/>
            <w:tcW w:w="1701" w:type="dxa"/>
            <w:vAlign w:val="center"/>
            <w:textDirection w:val="lrTb"/>
            <w:noWrap w:val="false"/>
          </w:tcPr>
          <w:p>
            <w:pPr>
              <w:pBdr/>
              <w:spacing/>
              <w:ind/>
              <w:jc w:val="center"/>
              <w:rPr>
                <w:color w:val="000000"/>
                <w:sz w:val="20"/>
                <w:szCs w:val="20"/>
              </w:rPr>
            </w:pPr>
            <w:r>
              <w:rPr>
                <w:color w:val="000000" w:themeColor="text1"/>
                <w:sz w:val="22"/>
                <w:szCs w:val="22"/>
              </w:rPr>
              <w:t xml:space="preserve">12.250.000.000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106.448.276</w:t>
            </w:r>
            <w:r>
              <w:rPr>
                <w:color w:val="000000"/>
                <w:sz w:val="22"/>
                <w:szCs w:val="22"/>
              </w:rPr>
            </w:r>
            <w:r>
              <w:rPr>
                <w:color w:val="000000"/>
                <w:sz w:val="22"/>
                <w:szCs w:val="22"/>
              </w:rPr>
            </w:r>
          </w:p>
        </w:tc>
        <w:tc>
          <w:tcPr>
            <w:shd w:val="clear" w:color="000000" w:fill="ffffff"/>
            <w:tcBorders/>
            <w:tcW w:w="1636" w:type="dxa"/>
            <w:vAlign w:val="center"/>
            <w:textDirection w:val="lrTb"/>
            <w:noWrap w:val="false"/>
          </w:tcPr>
          <w:p>
            <w:pPr>
              <w:pBdr/>
              <w:spacing/>
              <w:ind/>
              <w:jc w:val="center"/>
              <w:rPr>
                <w:color w:val="000000"/>
                <w:sz w:val="22"/>
                <w:szCs w:val="22"/>
              </w:rPr>
            </w:pPr>
            <w:r>
              <w:rPr>
                <w:color w:val="000000" w:themeColor="text1"/>
                <w:sz w:val="22"/>
                <w:szCs w:val="22"/>
              </w:rPr>
              <w:t xml:space="preserve">111.754.386</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107.456.140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36"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636"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3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106.448.276</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ind/>
              <w:jc w:val="center"/>
              <w:rPr>
                <w:color w:val="000000"/>
                <w:sz w:val="22"/>
                <w:szCs w:val="22"/>
              </w:rPr>
            </w:pPr>
            <w:r>
              <w:rPr>
                <w:color w:val="000000" w:themeColor="text1"/>
                <w:sz w:val="22"/>
                <w:szCs w:val="22"/>
              </w:rPr>
              <w:t xml:space="preserve">111.754.386</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107.456.140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 toà The Link, cụm nhà ở cao tầng tổng hợp chung cư CT1 tại ô đất IC32, Khu đô thị Nam Thăng Long, phường Đông Ngạc, Thành phố Hà Nội</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 toà The Link, cụm nhà ở cao tầng tổng hợp chung cư CT1 tại ô đất IC32, Khu đô thị Nam Thăng Long, phường Đông Ngạc, Thành phố Hà Nội</w:t>
            </w:r>
            <w:r/>
          </w:p>
        </w:tc>
        <w:tc>
          <w:tcPr>
            <w:shd w:val="clear" w:color="000000" w:fill="ffffff"/>
            <w:tcBorders/>
            <w:tcW w:w="16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CHCC tầng 7 toà L5, The Link, cụm nhà ở cao tầng tổng hợp chung cư CT1 tại ô đất IC32, Khu đô thị Nam Thăng Long, phường Đông Ngạc, Thành phố Hà Nội</w:t>
            </w:r>
            <w:r/>
          </w:p>
        </w:tc>
        <w:tc>
          <w:tcPr>
            <w:shd w:val="clear" w:color="000000" w:fill="ffffff"/>
            <w:tcBorders/>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CHCC tầng 21 toà L4, The Link, cụm nhà ở cao tầng tổng hợp chung cư CT1 tại ô đất IC32, Khu đô thị Nam Thăng Long, phường Đông Ngạc, Thành phố Hà Nội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3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106.448.276</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ind/>
              <w:jc w:val="center"/>
              <w:rPr>
                <w:color w:val="000000"/>
                <w:sz w:val="22"/>
                <w:szCs w:val="22"/>
              </w:rPr>
            </w:pPr>
            <w:r>
              <w:rPr>
                <w:color w:val="000000" w:themeColor="text1"/>
                <w:sz w:val="22"/>
                <w:szCs w:val="22"/>
              </w:rPr>
              <w:t xml:space="preserve">111.754.386</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107.456.140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636"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3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106.448.276</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ind/>
              <w:jc w:val="center"/>
              <w:rPr>
                <w:color w:val="000000"/>
                <w:sz w:val="22"/>
                <w:szCs w:val="22"/>
              </w:rPr>
            </w:pPr>
            <w:r>
              <w:rPr>
                <w:color w:val="000000" w:themeColor="text1"/>
                <w:sz w:val="22"/>
                <w:szCs w:val="22"/>
              </w:rPr>
              <w:t xml:space="preserve">111.754.386</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107.456.140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636"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3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106.448.276</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ind/>
              <w:jc w:val="center"/>
              <w:rPr>
                <w:color w:val="000000"/>
                <w:sz w:val="22"/>
                <w:szCs w:val="22"/>
              </w:rPr>
            </w:pPr>
            <w:r>
              <w:rPr>
                <w:color w:val="000000" w:themeColor="text1"/>
                <w:sz w:val="22"/>
                <w:szCs w:val="22"/>
              </w:rPr>
              <w:t xml:space="preserve">111.754.386</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107.456.140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636"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36"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106.448.276</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ind/>
              <w:jc w:val="center"/>
              <w:rPr>
                <w:color w:val="000000"/>
                <w:sz w:val="22"/>
                <w:szCs w:val="22"/>
              </w:rPr>
            </w:pPr>
            <w:r>
              <w:rPr>
                <w:color w:val="000000" w:themeColor="text1"/>
                <w:sz w:val="22"/>
                <w:szCs w:val="22"/>
              </w:rPr>
              <w:t xml:space="preserve">111.754.386</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ind/>
              <w:jc w:val="center"/>
              <w:rPr>
                <w:color w:val="000000"/>
                <w:sz w:val="22"/>
                <w:szCs w:val="22"/>
              </w:rPr>
            </w:pPr>
            <w:r>
              <w:rPr>
                <w:color w:val="000000" w:themeColor="text1"/>
                <w:sz w:val="22"/>
                <w:szCs w:val="22"/>
              </w:rPr>
              <w:t xml:space="preserve">107.456.140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themeColor="text1"/>
                <w:sz w:val="22"/>
                <w:szCs w:val="22"/>
              </w:rPr>
              <w:t xml:space="preserve">Diện tích căn hộ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color w:val="000000" w:themeColor="text1"/>
                <w:sz w:val="22"/>
                <w:szCs w:val="22"/>
              </w:rPr>
              <w:t xml:space="preserve">105,6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color w:val="000000" w:themeColor="text1"/>
                <w:sz w:val="22"/>
                <w:szCs w:val="22"/>
              </w:rPr>
              <w:t xml:space="preserve">58</w:t>
            </w:r>
            <w:r>
              <w:rPr>
                <w:b/>
                <w:bCs/>
                <w:color w:val="000000"/>
                <w:sz w:val="22"/>
                <w:szCs w:val="22"/>
              </w:rPr>
            </w:r>
            <w:r>
              <w:rPr>
                <w:b/>
                <w:bCs/>
                <w:color w:val="000000"/>
                <w:sz w:val="22"/>
                <w:szCs w:val="22"/>
              </w:rPr>
            </w:r>
          </w:p>
        </w:tc>
        <w:tc>
          <w:tcPr>
            <w:shd w:val="clear" w:color="000000" w:fill="ffffff"/>
            <w:tcBorders/>
            <w:tcW w:w="1636" w:type="dxa"/>
            <w:vAlign w:val="center"/>
            <w:textDirection w:val="lrTb"/>
            <w:noWrap w:val="false"/>
          </w:tcPr>
          <w:p>
            <w:pPr>
              <w:pBdr/>
              <w:spacing w:line="264" w:lineRule="auto"/>
              <w:ind/>
              <w:jc w:val="center"/>
              <w:rPr>
                <w:b/>
                <w:bCs/>
                <w:color w:val="000000"/>
                <w:sz w:val="22"/>
                <w:szCs w:val="22"/>
              </w:rPr>
            </w:pPr>
            <w:r>
              <w:rPr>
                <w:color w:val="000000" w:themeColor="text1"/>
                <w:sz w:val="22"/>
                <w:szCs w:val="22"/>
              </w:rPr>
              <w:t xml:space="preserve">114</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line="264" w:lineRule="auto"/>
              <w:ind/>
              <w:jc w:val="center"/>
              <w:rPr>
                <w:b/>
                <w:bCs/>
                <w:color w:val="000000"/>
                <w:sz w:val="22"/>
                <w:szCs w:val="22"/>
              </w:rPr>
            </w:pPr>
            <w:r>
              <w:rPr>
                <w:color w:val="000000" w:themeColor="text1"/>
                <w:sz w:val="22"/>
                <w:szCs w:val="22"/>
              </w:rPr>
              <w:t xml:space="preserve">114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636"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-6.386.897</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100.061.379</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111.754.386</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107.456.140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themeColor="text1"/>
                <w:sz w:val="22"/>
                <w:szCs w:val="22"/>
              </w:rPr>
              <w:t xml:space="preserve">Vị trí căn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color w:val="000000" w:themeColor="text1"/>
                <w:sz w:val="22"/>
                <w:szCs w:val="22"/>
              </w:rPr>
              <w:t xml:space="preserve">Căn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pPr>
            <w:r>
              <w:rPr>
                <w:color w:val="000000" w:themeColor="text1"/>
                <w:sz w:val="22"/>
                <w:szCs w:val="22"/>
              </w:rPr>
              <w:t xml:space="preserve">Căn thường</w:t>
            </w:r>
            <w:r/>
          </w:p>
        </w:tc>
        <w:tc>
          <w:tcPr>
            <w:shd w:val="clear" w:color="000000" w:fill="ffffff"/>
            <w:tcBorders/>
            <w:tcW w:w="1636" w:type="dxa"/>
            <w:vAlign w:val="center"/>
            <w:textDirection w:val="lrTb"/>
            <w:noWrap w:val="false"/>
          </w:tcPr>
          <w:p>
            <w:pPr>
              <w:pBdr/>
              <w:spacing w:line="264" w:lineRule="auto"/>
              <w:ind/>
              <w:jc w:val="center"/>
              <w:rPr/>
            </w:pPr>
            <w:r>
              <w:rPr>
                <w:color w:val="000000" w:themeColor="text1"/>
                <w:sz w:val="22"/>
                <w:szCs w:val="22"/>
              </w:rPr>
              <w:t xml:space="preserve">Căn góc</w:t>
            </w:r>
            <w:r>
              <w:rPr>
                <w:b/>
                <w:bCs/>
                <w:color w:val="000000"/>
                <w:sz w:val="22"/>
                <w:szCs w:val="22"/>
              </w:rPr>
            </w:r>
            <w:r/>
          </w:p>
        </w:tc>
        <w:tc>
          <w:tcPr>
            <w:shd w:val="clear" w:color="000000" w:fill="ffffff"/>
            <w:tcBorders/>
            <w:tcW w:w="1701" w:type="dxa"/>
            <w:vAlign w:val="center"/>
            <w:textDirection w:val="lrTb"/>
            <w:noWrap w:val="false"/>
          </w:tcPr>
          <w:p>
            <w:pPr>
              <w:pBdr/>
              <w:spacing w:line="264" w:lineRule="auto"/>
              <w:ind/>
              <w:jc w:val="center"/>
              <w:rPr/>
            </w:pPr>
            <w:r>
              <w:rPr>
                <w:color w:val="000000" w:themeColor="text1"/>
                <w:sz w:val="22"/>
                <w:szCs w:val="22"/>
              </w:rPr>
              <w:t xml:space="preserve">Căn góc</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36"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5.322.414</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105.383.793</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111.754.386</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107.456.140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b/>
                <w:bCs/>
                <w:color w:val="000000"/>
                <w:sz w:val="22"/>
                <w:szCs w:val="22"/>
              </w:rPr>
            </w:pPr>
            <w:r>
              <w:rPr>
                <w:color w:val="000000" w:themeColor="text1"/>
                <w:sz w:val="22"/>
                <w:szCs w:val="22"/>
              </w:rPr>
              <w:t xml:space="preserve">View công viên, vườn hoa, quảng trường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636" w:type="dxa"/>
            <w:vAlign w:val="center"/>
            <w:textDirection w:val="lrTb"/>
            <w:noWrap w:val="false"/>
          </w:tcPr>
          <w:p>
            <w:pPr>
              <w:pBdr/>
              <w:spacing w:line="288" w:lineRule="auto"/>
              <w:ind/>
              <w:jc w:val="center"/>
              <w:rPr>
                <w:b/>
                <w:bCs/>
                <w:color w:val="000000"/>
                <w:sz w:val="22"/>
                <w:szCs w:val="22"/>
              </w:rPr>
            </w:pPr>
            <w:r>
              <w:rPr>
                <w:color w:val="000000" w:themeColor="text1"/>
                <w:sz w:val="22"/>
                <w:szCs w:val="22"/>
              </w:rPr>
              <w:t xml:space="preserve">View công viên, vườn hoa, quảng trường</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line="288" w:lineRule="auto"/>
              <w:ind/>
              <w:jc w:val="center"/>
              <w:rPr>
                <w:b/>
                <w:bCs/>
                <w:color w:val="000000"/>
                <w:sz w:val="22"/>
                <w:szCs w:val="22"/>
              </w:rPr>
            </w:pPr>
            <w:r>
              <w:rPr>
                <w:color w:val="000000" w:themeColor="text1"/>
                <w:sz w:val="22"/>
                <w:szCs w:val="22"/>
              </w:rPr>
              <w:t xml:space="preserve">View công viên, vườn hoa, quảng trường</w:t>
            </w:r>
            <w:r>
              <w:rPr>
                <w:b/>
                <w:bCs/>
                <w:color w:val="000000"/>
                <w:sz w:val="22"/>
                <w:szCs w:val="22"/>
              </w:rPr>
            </w:r>
            <w:r>
              <w:rPr>
                <w:b/>
                <w:bCs/>
                <w:color w:val="000000"/>
                <w:sz w:val="22"/>
                <w:szCs w:val="22"/>
              </w:rPr>
            </w:r>
          </w:p>
        </w:tc>
      </w:tr>
      <w:tr>
        <w:trPr>
          <w:trHeight w:val="439"/>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36"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409"/>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5.322.414</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110.706.207</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111.754.386</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107.456.140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b/>
                <w:bCs/>
                <w:color w:val="000000"/>
                <w:sz w:val="22"/>
                <w:szCs w:val="22"/>
              </w:rPr>
            </w:pPr>
            <w:r>
              <w:rPr>
                <w:b/>
                <w:bCs/>
                <w:color w:val="000000" w:themeColor="text1"/>
                <w:sz w:val="22"/>
                <w:szCs w:val="22"/>
              </w:rPr>
              <w:t xml:space="preserve">Nội thất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88"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b/>
                <w:bCs/>
                <w:color w:val="000000"/>
                <w:sz w:val="22"/>
                <w:szCs w:val="22"/>
              </w:rPr>
            </w:pPr>
            <w:r>
              <w:rPr>
                <w:color w:val="000000" w:themeColor="text1"/>
                <w:sz w:val="22"/>
                <w:szCs w:val="22"/>
              </w:rPr>
              <w:t xml:space="preserve">Nội thất cơ bản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Nội thất đầy đủ (</w:t>
            </w:r>
            <w:r>
              <w:rPr>
                <w:color w:val="000000" w:themeColor="text1"/>
                <w:sz w:val="22"/>
                <w:szCs w:val="22"/>
              </w:rPr>
              <w:t xml:space="preserve">Chưa </w:t>
            </w:r>
            <w:r>
              <w:rPr>
                <w:color w:val="000000" w:themeColor="text1"/>
                <w:sz w:val="22"/>
                <w:szCs w:val="22"/>
              </w:rPr>
              <w:t xml:space="preserve">có thiết bị điện tử)</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636" w:type="dxa"/>
            <w:vAlign w:val="center"/>
            <w:textDirection w:val="lrTb"/>
            <w:noWrap w:val="false"/>
          </w:tcPr>
          <w:p>
            <w:pPr>
              <w:pBdr/>
              <w:spacing w:line="288" w:lineRule="auto"/>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Nội thất đầy đủ (</w:t>
            </w:r>
            <w:r>
              <w:rPr>
                <w:color w:val="000000" w:themeColor="text1"/>
                <w:sz w:val="22"/>
                <w:szCs w:val="22"/>
              </w:rPr>
              <w:t xml:space="preserve">Chưa </w:t>
            </w:r>
            <w:r>
              <w:rPr>
                <w:color w:val="000000" w:themeColor="text1"/>
                <w:sz w:val="22"/>
                <w:szCs w:val="22"/>
              </w:rPr>
              <w:t xml:space="preserve">có thiết bị điện tử)</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701" w:type="dxa"/>
            <w:vAlign w:val="center"/>
            <w:textDirection w:val="lrTb"/>
            <w:noWrap w:val="false"/>
          </w:tcPr>
          <w:p>
            <w:pPr>
              <w:pBdr/>
              <w:spacing w:line="288" w:lineRule="auto"/>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Nội thất đầy đủ (</w:t>
            </w:r>
            <w:r>
              <w:rPr>
                <w:color w:val="000000" w:themeColor="text1"/>
                <w:sz w:val="22"/>
                <w:szCs w:val="22"/>
              </w:rPr>
              <w:t xml:space="preserve">Chưa </w:t>
            </w:r>
            <w:r>
              <w:rPr>
                <w:color w:val="000000" w:themeColor="text1"/>
                <w:sz w:val="22"/>
                <w:szCs w:val="22"/>
              </w:rPr>
              <w:t xml:space="preserve">có thiết bị điện tử)</w:t>
            </w:r>
            <w:r>
              <w:rPr>
                <w:color w:val="000000" w:themeColor="text1"/>
                <w:sz w:val="22"/>
                <w:szCs w:val="22"/>
                <w14:ligatures w14:val="none"/>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88"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36"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line="288"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-5.322.414</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-5.587.719</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-5.372.807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105.383.793</w:t>
            </w:r>
            <w:r>
              <w:rPr>
                <w:color w:val="000000"/>
                <w:sz w:val="22"/>
                <w:szCs w:val="22"/>
              </w:rPr>
            </w:r>
            <w:r>
              <w:rPr>
                <w:color w:val="000000"/>
                <w:sz w:val="22"/>
                <w:szCs w:val="22"/>
              </w:rPr>
            </w:r>
          </w:p>
        </w:tc>
        <w:tc>
          <w:tcPr>
            <w:shd w:val="clear" w:color="000000" w:fill="ffffff"/>
            <w:tcBorders/>
            <w:tcW w:w="1636"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106.166.667</w:t>
            </w:r>
            <w:r>
              <w:rPr>
                <w:color w:val="000000"/>
                <w:sz w:val="22"/>
                <w:szCs w:val="22"/>
              </w:rPr>
            </w:r>
            <w:r>
              <w:rPr>
                <w:color w:val="000000"/>
                <w:sz w:val="22"/>
                <w:szCs w:val="22"/>
              </w:rPr>
            </w:r>
          </w:p>
        </w:tc>
        <w:tc>
          <w:tcPr>
            <w:shd w:val="clear" w:color="000000" w:fill="ffffff"/>
            <w:tcBorders/>
            <w:tcW w:w="1701" w:type="dxa"/>
            <w:vAlign w:val="center"/>
            <w:textDirection w:val="lrTb"/>
            <w:noWrap/>
          </w:tcPr>
          <w:p>
            <w:pPr>
              <w:pBdr/>
              <w:spacing w:line="288" w:lineRule="auto"/>
              <w:ind/>
              <w:jc w:val="center"/>
              <w:rPr>
                <w:color w:val="000000"/>
                <w:sz w:val="22"/>
                <w:szCs w:val="22"/>
              </w:rPr>
            </w:pPr>
            <w:r>
              <w:rPr>
                <w:color w:val="000000" w:themeColor="text1"/>
                <w:sz w:val="22"/>
                <w:szCs w:val="22"/>
              </w:rPr>
              <w:t xml:space="preserve">102.083.333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line="288" w:lineRule="auto"/>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88"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88"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88" w:lineRule="auto"/>
              <w:ind/>
              <w:jc w:val="center"/>
              <w:rPr>
                <w:b/>
                <w:bCs/>
                <w:color w:val="000000"/>
                <w:sz w:val="22"/>
                <w:szCs w:val="22"/>
              </w:rPr>
            </w:pPr>
            <w:r>
              <w:rPr>
                <w:b/>
                <w:bCs/>
                <w:color w:val="000000" w:themeColor="text1"/>
                <w:sz w:val="22"/>
                <w:szCs w:val="22"/>
              </w:rPr>
              <w:t xml:space="preserve">105.383.793</w:t>
            </w:r>
            <w:r>
              <w:rPr>
                <w:b/>
                <w:bCs/>
                <w:color w:val="000000"/>
                <w:sz w:val="22"/>
                <w:szCs w:val="22"/>
              </w:rPr>
            </w:r>
            <w:r>
              <w:rPr>
                <w:b/>
                <w:bCs/>
                <w:color w:val="000000"/>
                <w:sz w:val="22"/>
                <w:szCs w:val="22"/>
              </w:rPr>
            </w:r>
          </w:p>
        </w:tc>
        <w:tc>
          <w:tcPr>
            <w:shd w:val="clear" w:color="000000" w:fill="ffffff"/>
            <w:tcBorders/>
            <w:tcW w:w="1636" w:type="dxa"/>
            <w:vAlign w:val="center"/>
            <w:textDirection w:val="lrTb"/>
            <w:noWrap w:val="false"/>
          </w:tcPr>
          <w:p>
            <w:pPr>
              <w:pBdr/>
              <w:spacing w:line="288" w:lineRule="auto"/>
              <w:ind/>
              <w:jc w:val="center"/>
              <w:rPr>
                <w:b/>
                <w:bCs/>
                <w:color w:val="000000"/>
                <w:sz w:val="22"/>
                <w:szCs w:val="22"/>
              </w:rPr>
            </w:pPr>
            <w:r>
              <w:rPr>
                <w:b/>
                <w:bCs/>
                <w:color w:val="000000" w:themeColor="text1"/>
                <w:sz w:val="22"/>
                <w:szCs w:val="22"/>
              </w:rPr>
              <w:t xml:space="preserve">106.166.667</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line="288" w:lineRule="auto"/>
              <w:ind/>
              <w:jc w:val="center"/>
              <w:rPr>
                <w:b/>
                <w:bCs/>
                <w:color w:val="000000"/>
                <w:sz w:val="22"/>
                <w:szCs w:val="22"/>
              </w:rPr>
            </w:pPr>
            <w:r>
              <w:rPr>
                <w:b/>
                <w:bCs/>
                <w:color w:val="000000" w:themeColor="text1"/>
                <w:sz w:val="22"/>
                <w:szCs w:val="22"/>
              </w:rPr>
              <w:t xml:space="preserve">102.083.333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88"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88"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88"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859" w:type="dxa"/>
            <w:vAlign w:val="center"/>
            <w:textDirection w:val="lrTb"/>
            <w:noWrap w:val="false"/>
          </w:tcPr>
          <w:p>
            <w:pPr>
              <w:pBdr/>
              <w:spacing w:line="288" w:lineRule="auto"/>
              <w:ind/>
              <w:jc w:val="center"/>
              <w:rPr>
                <w:b/>
                <w:bCs/>
                <w:color w:val="000000"/>
                <w:sz w:val="22"/>
                <w:szCs w:val="22"/>
              </w:rPr>
            </w:pPr>
            <w:r>
              <w:rPr>
                <w:b/>
                <w:bCs/>
                <w:color w:val="000000" w:themeColor="text1"/>
                <w:sz w:val="22"/>
                <w:szCs w:val="22"/>
              </w:rPr>
              <w:t xml:space="preserve">104.544.598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0,8%</w:t>
            </w:r>
            <w:r>
              <w:rPr>
                <w:color w:val="000000"/>
                <w:sz w:val="22"/>
                <w:szCs w:val="22"/>
              </w:rPr>
            </w:r>
            <w:r>
              <w:rPr>
                <w:color w:val="000000"/>
                <w:sz w:val="22"/>
                <w:szCs w:val="22"/>
              </w:rPr>
            </w:r>
          </w:p>
        </w:tc>
        <w:tc>
          <w:tcPr>
            <w:shd w:val="clear" w:color="000000" w:fill="ffffff"/>
            <w:tcBorders/>
            <w:tcW w:w="1636"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1,55%</w:t>
            </w:r>
            <w:r>
              <w:rPr>
                <w:color w:val="000000"/>
                <w:sz w:val="22"/>
                <w:szCs w:val="22"/>
              </w:rPr>
            </w:r>
            <w:r>
              <w:rPr>
                <w:color w:val="000000"/>
                <w:sz w:val="22"/>
                <w:szCs w:val="22"/>
              </w:rPr>
            </w:r>
          </w:p>
        </w:tc>
        <w:tc>
          <w:tcPr>
            <w:shd w:val="clear" w:color="000000" w:fill="ffffff"/>
            <w:tcBorders/>
            <w:tcW w:w="1701"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-2,35%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64" w:lineRule="auto"/>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64"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64"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36"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b/>
                <w:bCs/>
                <w:color w:val="000000"/>
                <w:sz w:val="22"/>
                <w:szCs w:val="22"/>
              </w:rPr>
            </w:pPr>
            <w:r>
              <w:rPr>
                <w:color w:val="000000" w:themeColor="text1"/>
                <w:sz w:val="22"/>
                <w:szCs w:val="22"/>
              </w:rPr>
              <w:t xml:space="preserve">22.354.139</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36" w:type="dxa"/>
            <w:vAlign w:val="center"/>
            <w:textDirection w:val="lrTb"/>
            <w:noWrap w:val="false"/>
          </w:tcPr>
          <w:p>
            <w:pPr>
              <w:pBdr/>
              <w:spacing w:line="264" w:lineRule="auto"/>
              <w:ind/>
              <w:jc w:val="center"/>
              <w:rPr>
                <w:b/>
                <w:bCs/>
                <w:color w:val="000000"/>
                <w:sz w:val="22"/>
                <w:szCs w:val="22"/>
              </w:rPr>
            </w:pPr>
            <w:r>
              <w:rPr>
                <w:color w:val="000000" w:themeColor="text1"/>
                <w:sz w:val="22"/>
                <w:szCs w:val="22"/>
              </w:rPr>
              <w:t xml:space="preserve">5.587.719</w:t>
            </w:r>
            <w:r>
              <w:rPr>
                <w:b/>
                <w:bCs/>
                <w:color w:val="000000"/>
                <w:sz w:val="22"/>
                <w:szCs w:val="22"/>
              </w:rPr>
            </w:r>
            <w:r>
              <w:rPr>
                <w:b/>
                <w:bCs/>
                <w:color w:val="000000"/>
                <w:sz w:val="22"/>
                <w:szCs w:val="22"/>
              </w:rPr>
            </w:r>
          </w:p>
        </w:tc>
        <w:tc>
          <w:tcPr>
            <w:shd w:val="clear" w:color="000000" w:fill="ffffff"/>
            <w:tcBorders/>
            <w:tcW w:w="1701" w:type="dxa"/>
            <w:vAlign w:val="center"/>
            <w:textDirection w:val="lrTb"/>
            <w:noWrap w:val="false"/>
          </w:tcPr>
          <w:p>
            <w:pPr>
              <w:pBdr/>
              <w:spacing w:line="264" w:lineRule="auto"/>
              <w:ind/>
              <w:jc w:val="center"/>
              <w:rPr>
                <w:b/>
                <w:bCs/>
                <w:color w:val="000000"/>
                <w:sz w:val="22"/>
                <w:szCs w:val="22"/>
              </w:rPr>
            </w:pPr>
            <w:r>
              <w:rPr>
                <w:color w:val="000000" w:themeColor="text1"/>
                <w:sz w:val="22"/>
                <w:szCs w:val="22"/>
              </w:rPr>
              <w:t xml:space="preserve">5.372.807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636" w:type="dxa"/>
            <w:vAlign w:val="center"/>
            <w:textDirection w:val="lrTb"/>
            <w:noWrap/>
          </w:tcPr>
          <w:p>
            <w:pPr>
              <w:pBdr/>
              <w:spacing w:line="264" w:lineRule="auto"/>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701" w:type="dxa"/>
            <w:vAlign w:val="center"/>
            <w:textDirection w:val="lrTb"/>
            <w:noWrap/>
          </w:tcPr>
          <w:p>
            <w:pPr>
              <w:pBdr/>
              <w:spacing w:line="264" w:lineRule="auto"/>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sz w:val="22"/>
                <w:szCs w:val="22"/>
              </w:rPr>
            </w:pPr>
            <w:r>
              <w:rPr>
                <w:color w:val="000000" w:themeColor="text1"/>
                <w:sz w:val="22"/>
                <w:szCs w:val="22"/>
              </w:rPr>
              <w:t xml:space="preserve">0% - 6%</w:t>
            </w:r>
            <w:r>
              <w:rPr>
                <w:sz w:val="22"/>
                <w:szCs w:val="22"/>
              </w:rPr>
            </w:r>
            <w:r>
              <w:rPr>
                <w:sz w:val="22"/>
                <w:szCs w:val="22"/>
              </w:rPr>
            </w:r>
          </w:p>
        </w:tc>
        <w:tc>
          <w:tcPr>
            <w:shd w:val="clear" w:color="000000" w:fill="ffffff"/>
            <w:tcBorders/>
            <w:tcW w:w="1636" w:type="dxa"/>
            <w:vAlign w:val="center"/>
            <w:textDirection w:val="lrTb"/>
            <w:noWrap/>
          </w:tcPr>
          <w:p>
            <w:pPr>
              <w:pBdr/>
              <w:spacing w:line="264" w:lineRule="auto"/>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701" w:type="dxa"/>
            <w:vAlign w:val="center"/>
            <w:textDirection w:val="lrTb"/>
            <w:noWrap/>
          </w:tcPr>
          <w:p>
            <w:pPr>
              <w:pBdr/>
              <w:spacing w:line="264" w:lineRule="auto"/>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64"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64" w:lineRule="auto"/>
              <w:ind/>
              <w:jc w:val="center"/>
              <w:rPr>
                <w:sz w:val="22"/>
                <w:szCs w:val="22"/>
              </w:rPr>
            </w:pPr>
            <w:r>
              <w:rPr>
                <w:color w:val="000000" w:themeColor="text1"/>
                <w:sz w:val="22"/>
                <w:szCs w:val="22"/>
              </w:rPr>
              <w:t xml:space="preserve">1.064.483</w:t>
            </w:r>
            <w:r>
              <w:rPr>
                <w:sz w:val="22"/>
                <w:szCs w:val="22"/>
              </w:rPr>
            </w:r>
            <w:r>
              <w:rPr>
                <w:sz w:val="22"/>
                <w:szCs w:val="22"/>
              </w:rPr>
            </w:r>
          </w:p>
        </w:tc>
        <w:tc>
          <w:tcPr>
            <w:shd w:val="clear" w:color="000000" w:fill="ffffff"/>
            <w:tcBorders/>
            <w:tcW w:w="1636" w:type="dxa"/>
            <w:vAlign w:val="center"/>
            <w:textDirection w:val="lrTb"/>
            <w:noWrap/>
          </w:tcPr>
          <w:p>
            <w:pPr>
              <w:pBdr/>
              <w:spacing w:line="264" w:lineRule="auto"/>
              <w:ind/>
              <w:jc w:val="center"/>
              <w:rPr>
                <w:sz w:val="22"/>
                <w:szCs w:val="22"/>
              </w:rPr>
            </w:pPr>
            <w:r>
              <w:rPr>
                <w:color w:val="000000" w:themeColor="text1"/>
                <w:sz w:val="22"/>
                <w:szCs w:val="22"/>
              </w:rPr>
              <w:t xml:space="preserve">5.587.719</w:t>
            </w:r>
            <w:r>
              <w:rPr>
                <w:sz w:val="22"/>
                <w:szCs w:val="22"/>
              </w:rPr>
            </w:r>
            <w:r>
              <w:rPr>
                <w:sz w:val="22"/>
                <w:szCs w:val="22"/>
              </w:rPr>
            </w:r>
          </w:p>
        </w:tc>
        <w:tc>
          <w:tcPr>
            <w:shd w:val="clear" w:color="000000" w:fill="ffffff"/>
            <w:tcBorders/>
            <w:tcW w:w="1701" w:type="dxa"/>
            <w:vAlign w:val="center"/>
            <w:textDirection w:val="lrTb"/>
            <w:noWrap/>
          </w:tcPr>
          <w:p>
            <w:pPr>
              <w:pBdr/>
              <w:spacing w:line="264" w:lineRule="auto"/>
              <w:ind/>
              <w:jc w:val="center"/>
              <w:rPr>
                <w:sz w:val="22"/>
                <w:szCs w:val="22"/>
              </w:rPr>
            </w:pPr>
            <w:r>
              <w:rPr>
                <w:color w:val="000000" w:themeColor="text1"/>
                <w:sz w:val="22"/>
                <w:szCs w:val="22"/>
              </w:rPr>
              <w:t xml:space="preserve">5.372.807</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-2,35</w:t>
      </w:r>
      <w:r>
        <w:t xml:space="preserve">% </w:t>
      </w:r>
      <w:r>
        <w:t xml:space="preserve">đến</w:t>
      </w:r>
      <w:r>
        <w:t xml:space="preserve"> </w:t>
      </w:r>
      <w:r>
        <w:t xml:space="preserve"> </w:t>
      </w:r>
      <w:r>
        <w:t xml:space="preserve">1,55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240"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240"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240"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240"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240"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40"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40"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40" w:lineRule="auto"/>
              <w:ind/>
              <w:jc w:val="center"/>
              <w:rPr>
                <w:color w:val="000000"/>
              </w:rPr>
            </w:pPr>
            <w:r>
              <w:rPr>
                <w:color w:val="000000"/>
              </w:rPr>
              <w:t xml:space="preserve">105.383.793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40" w:lineRule="auto"/>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40" w:lineRule="auto"/>
              <w:ind/>
              <w:jc w:val="center"/>
              <w:rPr>
                <w:color w:val="000000"/>
              </w:rPr>
            </w:pPr>
            <w:r>
              <w:rPr>
                <w:color w:val="000000"/>
              </w:rPr>
              <w:t xml:space="preserve">35.134.957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40"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40"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40" w:lineRule="auto"/>
              <w:ind/>
              <w:jc w:val="center"/>
              <w:rPr>
                <w:color w:val="000000"/>
              </w:rPr>
            </w:pPr>
            <w:r>
              <w:rPr>
                <w:color w:val="000000"/>
              </w:rPr>
              <w:t xml:space="preserve">106.166.667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40"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40" w:lineRule="auto"/>
              <w:ind/>
              <w:jc w:val="center"/>
              <w:rPr>
                <w:color w:val="000000"/>
              </w:rPr>
            </w:pPr>
            <w:r>
              <w:rPr>
                <w:color w:val="000000"/>
              </w:rPr>
              <w:t xml:space="preserve">35.385.350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40"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40"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40" w:lineRule="auto"/>
              <w:ind/>
              <w:jc w:val="center"/>
              <w:rPr>
                <w:color w:val="000000"/>
              </w:rPr>
            </w:pPr>
            <w:r>
              <w:rPr>
                <w:color w:val="000000"/>
              </w:rPr>
              <w:t xml:space="preserve">102.083.333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40" w:lineRule="auto"/>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40" w:lineRule="auto"/>
              <w:ind/>
              <w:jc w:val="center"/>
              <w:rPr>
                <w:color w:val="000000"/>
              </w:rPr>
            </w:pPr>
            <w:r>
              <w:rPr>
                <w:color w:val="000000"/>
              </w:rPr>
              <w:t xml:space="preserve">34.024.375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40"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40" w:lineRule="auto"/>
              <w:ind/>
              <w:jc w:val="center"/>
              <w:rPr>
                <w:b/>
                <w:bCs/>
                <w:color w:val="000000"/>
              </w:rPr>
            </w:pPr>
            <w:r>
              <w:rPr>
                <w:b/>
                <w:bCs/>
                <w:color w:val="000000" w:themeColor="text1"/>
                <w:lang w:val="vi-VN"/>
              </w:rPr>
              <w:t xml:space="preserve">104.544.682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40"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40" w:lineRule="auto"/>
              <w:ind/>
              <w:jc w:val="center"/>
              <w:rPr>
                <w:b/>
                <w:bCs/>
                <w:color w:val="000000"/>
              </w:rPr>
            </w:pPr>
            <w:r>
              <w:rPr>
                <w:b/>
                <w:bCs/>
                <w:color w:val="000000" w:themeColor="text1"/>
                <w:lang w:val="vi-VN"/>
              </w:rPr>
              <w:t xml:space="preserve">104.500.000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104.500.000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12/2025</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257"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00"/>
        <w:gridCol w:w="3528"/>
        <w:gridCol w:w="1530"/>
        <w:gridCol w:w="2340"/>
        <w:gridCol w:w="1917"/>
      </w:tblGrid>
      <w:tr>
        <w:trPr>
          <w:trHeight w:val="20"/>
        </w:trPr>
        <w:tc>
          <w:tcPr>
            <w:shd w:val="clear" w:color="000000" w:fill="ffffff"/>
            <w:tcBorders/>
            <w:tcW w:w="700" w:type="dxa"/>
            <w:vAlign w:val="center"/>
            <w:textDirection w:val="lrTb"/>
            <w:noWrap w:val="false"/>
          </w:tcPr>
          <w:p>
            <w:pPr>
              <w:pBdr/>
              <w:spacing w:after="14" w:afterAutospacing="0" w:before="0" w:beforeAutospacing="0" w:line="288" w:lineRule="auto"/>
              <w:ind/>
              <w:jc w:val="center"/>
              <w:rPr>
                <w:b/>
                <w:bCs/>
              </w:rPr>
            </w:pPr>
            <w:r>
              <w:rPr>
                <w:b/>
                <w:bCs/>
              </w:rPr>
              <w:t xml:space="preserve">TT</w:t>
            </w:r>
            <w:r>
              <w:rPr>
                <w:b/>
                <w:bCs/>
              </w:rPr>
            </w:r>
            <w:r>
              <w:rPr>
                <w:b/>
                <w:bCs/>
              </w:rPr>
            </w:r>
          </w:p>
        </w:tc>
        <w:tc>
          <w:tcPr>
            <w:shd w:val="clear" w:color="000000" w:fill="ffffff"/>
            <w:tcBorders/>
            <w:tcW w:w="3528" w:type="dxa"/>
            <w:vAlign w:val="center"/>
            <w:textDirection w:val="lrTb"/>
            <w:noWrap w:val="false"/>
          </w:tcPr>
          <w:p>
            <w:pPr>
              <w:pBdr/>
              <w:spacing w:after="14" w:afterAutospacing="0" w:before="0" w:beforeAutospacing="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530" w:type="dxa"/>
            <w:vAlign w:val="center"/>
            <w:textDirection w:val="lrTb"/>
            <w:noWrap w:val="false"/>
          </w:tcPr>
          <w:p>
            <w:pPr>
              <w:pBdr/>
              <w:spacing w:after="14" w:afterAutospacing="0" w:before="0" w:beforeAutospacing="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340" w:type="dxa"/>
            <w:vAlign w:val="center"/>
            <w:textDirection w:val="lrTb"/>
            <w:noWrap w:val="false"/>
          </w:tcPr>
          <w:p>
            <w:pPr>
              <w:pBdr/>
              <w:spacing w:after="14" w:afterAutospacing="0" w:before="0" w:beforeAutospacing="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917" w:type="dxa"/>
            <w:vAlign w:val="center"/>
            <w:textDirection w:val="lrTb"/>
            <w:noWrap w:val="false"/>
          </w:tcPr>
          <w:p>
            <w:pPr>
              <w:pBdr/>
              <w:spacing w:after="14" w:afterAutospacing="0" w:before="0" w:beforeAutospacing="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00" w:type="dxa"/>
            <w:vAlign w:val="center"/>
            <w:textDirection w:val="lrTb"/>
            <w:noWrap w:val="false"/>
          </w:tcPr>
          <w:p>
            <w:pPr>
              <w:pBdr/>
              <w:spacing w:after="14" w:afterAutospacing="0" w:before="0" w:beforeAutospacing="0" w:line="288" w:lineRule="auto"/>
              <w:ind/>
              <w:jc w:val="center"/>
              <w:rPr>
                <w:b/>
                <w:bCs/>
              </w:rPr>
            </w:pPr>
            <w:r>
              <w:rPr>
                <w:b/>
                <w:bCs/>
              </w:rPr>
              <w:t xml:space="preserve"> </w:t>
            </w:r>
            <w:r>
              <w:rPr>
                <w:b/>
                <w:bCs/>
              </w:rPr>
            </w:r>
            <w:r>
              <w:rPr>
                <w:b/>
                <w:bCs/>
              </w:rPr>
            </w:r>
          </w:p>
        </w:tc>
        <w:tc>
          <w:tcPr>
            <w:gridSpan w:val="3"/>
            <w:shd w:val="clear" w:color="000000" w:fill="ffffff"/>
            <w:tcBorders/>
            <w:tcW w:w="7398" w:type="dxa"/>
            <w:vAlign w:val="center"/>
            <w:textDirection w:val="lrTb"/>
            <w:noWrap w:val="false"/>
          </w:tcPr>
          <w:p>
            <w:pPr>
              <w:pBdr/>
              <w:spacing w:after="14" w:afterAutospacing="0" w:before="0" w:beforeAutospacing="0" w:line="288" w:lineRule="auto"/>
              <w:ind/>
              <w:jc w:val="both"/>
              <w:rPr>
                <w:b/>
                <w:bCs/>
              </w:rPr>
            </w:pPr>
            <w:r>
              <w:rPr>
                <w:b/>
                <w:bCs/>
                <w:color w:val="000000"/>
              </w:rPr>
              <w:t xml:space="preserve">Giá trị quyền sở hữu căn hộ chung cư số L05-205, Toà nhà L05-The Link cụm nhà cao tầng tổng hợp chung cư CT1 tại ô đất IC32-Khu đô thị Nam Thăng Long, phường Đông Ngạc, quận Bắc Từ Liêm, Thành phố Hà Nội </w:t>
            </w:r>
            <w:r>
              <w:rPr>
                <w:b/>
                <w:bCs/>
                <w:i/>
                <w:iCs/>
                <w:color w:val="000000"/>
              </w:rPr>
              <w:t xml:space="preserve">(Nay là phường Đông Ngạc,</w:t>
            </w:r>
            <w:r>
              <w:rPr>
                <w:b/>
                <w:bCs/>
                <w:i/>
                <w:iCs/>
                <w:color w:val="000000"/>
              </w:rPr>
              <w:t xml:space="preserve"> thành phố Hà Nội) </w:t>
            </w:r>
            <w:r>
              <w:rPr>
                <w:b/>
                <w:bCs/>
                <w:color w:val="000000"/>
              </w:rPr>
              <w:t xml:space="preserve">theo Giấy chứng nhận quyền sử dụng đất quyền sở hữu nhà ở và tài sản gắn liền với đất số DI 247184 số vào sổ cấp GCN CS 00208 do Sở Tài nguyên và Môi trường thành phố Hà Nội cấp ngày 04/01/2025 cho bà Đặng Thị Hiền và ông Nguyễn Đức Minh</w:t>
            </w:r>
            <w:r>
              <w:rPr>
                <w:b/>
                <w:bCs/>
              </w:rPr>
              <w:t xml:space="preserve">.</w:t>
            </w:r>
            <w:r>
              <w:rPr>
                <w:b/>
                <w:bCs/>
              </w:rPr>
            </w:r>
            <w:r>
              <w:rPr>
                <w:b/>
                <w:bCs/>
              </w:rPr>
            </w:r>
          </w:p>
        </w:tc>
        <w:tc>
          <w:tcPr>
            <w:shd w:val="clear" w:color="000000" w:fill="ffffff"/>
            <w:tcBorders/>
            <w:tcW w:w="1917" w:type="dxa"/>
            <w:vAlign w:val="center"/>
            <w:textDirection w:val="lrTb"/>
            <w:noWrap w:val="false"/>
          </w:tcPr>
          <w:p>
            <w:pPr>
              <w:pBdr/>
              <w:spacing w:after="14" w:afterAutospacing="0" w:before="0" w:beforeAutospacing="0" w:line="288" w:lineRule="auto"/>
              <w:ind/>
              <w:jc w:val="right"/>
              <w:rPr>
                <w:b/>
                <w:bCs/>
              </w:rPr>
            </w:pPr>
            <w:r>
              <w:rPr>
                <w:b/>
                <w:bCs/>
              </w:rPr>
              <w:t xml:space="preserve"> </w:t>
            </w:r>
            <w:r>
              <w:rPr>
                <w:b/>
                <w:bCs/>
              </w:rPr>
            </w:r>
            <w:r>
              <w:rPr>
                <w:b/>
                <w:bCs/>
              </w:rPr>
            </w:r>
          </w:p>
        </w:tc>
      </w:tr>
      <w:tr>
        <w:trPr>
          <w:trHeight w:val="20"/>
        </w:trPr>
        <w:tc>
          <w:tcPr>
            <w:shd w:val="clear" w:color="000000" w:fill="ffffff"/>
            <w:tcBorders/>
            <w:tcW w:w="700" w:type="dxa"/>
            <w:vAlign w:val="center"/>
            <w:textDirection w:val="lrTb"/>
            <w:noWrap w:val="false"/>
          </w:tcPr>
          <w:p>
            <w:pPr>
              <w:pBdr/>
              <w:spacing w:after="14" w:afterAutospacing="0" w:before="0" w:beforeAutospacing="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528" w:type="dxa"/>
            <w:vAlign w:val="center"/>
            <w:textDirection w:val="lrTb"/>
            <w:noWrap w:val="false"/>
          </w:tcPr>
          <w:p>
            <w:pPr>
              <w:pBdr/>
              <w:spacing w:after="14" w:afterAutospacing="0" w:before="0" w:beforeAutospacing="0" w:line="288" w:lineRule="auto"/>
              <w:ind/>
              <w:jc w:val="both"/>
              <w:rPr>
                <w:b w:val="0"/>
                <w:bCs w:val="0"/>
              </w:rPr>
            </w:pPr>
            <w:r>
              <w:rPr>
                <w:b w:val="0"/>
                <w:bCs w:val="0"/>
              </w:rPr>
              <w:t xml:space="preserve">Quyền sở hữu căn hộ chung cư</w:t>
            </w:r>
            <w:r>
              <w:rPr>
                <w:b w:val="0"/>
                <w:bCs w:val="0"/>
              </w:rPr>
            </w:r>
            <w:r>
              <w:rPr>
                <w:b w:val="0"/>
                <w:bCs w:val="0"/>
              </w:rPr>
            </w:r>
          </w:p>
        </w:tc>
        <w:tc>
          <w:tcPr>
            <w:tcBorders/>
            <w:tcW w:w="1530" w:type="dxa"/>
            <w:vAlign w:val="center"/>
            <w:textDirection w:val="lrTb"/>
            <w:noWrap/>
          </w:tcPr>
          <w:p>
            <w:pPr>
              <w:pBdr/>
              <w:spacing w:after="14" w:afterAutospacing="0" w:before="0" w:beforeAutospacing="0" w:line="288" w:lineRule="auto"/>
              <w:ind/>
              <w:jc w:val="center"/>
              <w:rPr>
                <w:color w:val="000000"/>
              </w:rPr>
            </w:pPr>
            <w:r>
              <w:rPr>
                <w:color w:val="000000" w:themeColor="text1"/>
              </w:rPr>
              <w:t xml:space="preserve">105,6</w:t>
            </w:r>
            <w:r>
              <w:rPr>
                <w:color w:val="000000"/>
              </w:rPr>
            </w:r>
            <w:r>
              <w:rPr>
                <w:color w:val="000000"/>
              </w:rPr>
            </w:r>
          </w:p>
        </w:tc>
        <w:tc>
          <w:tcPr>
            <w:shd w:val="clear" w:color="000000" w:fill="ffffff"/>
            <w:tcBorders/>
            <w:tcW w:w="2340" w:type="dxa"/>
            <w:vAlign w:val="center"/>
            <w:textDirection w:val="lrTb"/>
            <w:noWrap w:val="false"/>
          </w:tcPr>
          <w:p>
            <w:pPr>
              <w:pBdr/>
              <w:spacing w:after="14" w:afterAutospacing="0" w:before="0" w:beforeAutospacing="0" w:line="288" w:lineRule="auto"/>
              <w:ind/>
              <w:jc w:val="center"/>
              <w:rPr/>
            </w:pPr>
            <w:r>
              <w:rPr>
                <w:color w:val="000000" w:themeColor="text1"/>
              </w:rPr>
              <w:t xml:space="preserve">104.500.000</w:t>
            </w:r>
            <w:r/>
          </w:p>
        </w:tc>
        <w:tc>
          <w:tcPr>
            <w:shd w:val="clear" w:color="000000" w:fill="ffffff"/>
            <w:tcBorders/>
            <w:tcW w:w="1917" w:type="dxa"/>
            <w:vAlign w:val="center"/>
            <w:textDirection w:val="lrTb"/>
            <w:noWrap w:val="false"/>
          </w:tcPr>
          <w:p>
            <w:pPr>
              <w:pBdr/>
              <w:spacing w:after="14" w:afterAutospacing="0" w:before="0" w:beforeAutospacing="0" w:line="288" w:lineRule="auto"/>
              <w:ind/>
              <w:jc w:val="center"/>
              <w:rPr/>
            </w:pPr>
            <w:r>
              <w:rPr>
                <w:color w:val="000000" w:themeColor="text1"/>
              </w:rPr>
              <w:t xml:space="preserve">11.035.200.000</w:t>
            </w:r>
            <w:r/>
          </w:p>
        </w:tc>
      </w:tr>
      <w:tr>
        <w:trPr>
          <w:trHeight w:val="20"/>
        </w:trPr>
        <w:tc>
          <w:tcPr>
            <w:gridSpan w:val="4"/>
            <w:tcBorders/>
            <w:tcW w:w="8099" w:type="dxa"/>
            <w:vAlign w:val="center"/>
            <w:textDirection w:val="lrTb"/>
            <w:noWrap/>
          </w:tcPr>
          <w:p>
            <w:pPr>
              <w:pBdr/>
              <w:spacing w:after="14" w:afterAutospacing="0" w:before="0" w:beforeAutospacing="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917" w:type="dxa"/>
            <w:vAlign w:val="center"/>
            <w:textDirection w:val="lrTb"/>
            <w:noWrap/>
          </w:tcPr>
          <w:p>
            <w:pPr>
              <w:pBdr/>
              <w:spacing w:after="14" w:afterAutospacing="0" w:before="0" w:beforeAutospacing="0" w:line="288" w:lineRule="auto"/>
              <w:ind/>
              <w:jc w:val="center"/>
              <w:rPr>
                <w:b/>
                <w:bCs/>
                <w:color w:val="000000"/>
              </w:rPr>
            </w:pPr>
            <w:r>
              <w:t xml:space="preserve">11.035.200.000</w:t>
            </w:r>
            <w:r>
              <w:rPr>
                <w:b/>
                <w:bCs/>
                <w:color w:val="000000"/>
              </w:rPr>
            </w:r>
            <w:r>
              <w:rPr>
                <w:b/>
                <w:bCs/>
                <w:color w:val="000000"/>
              </w:rPr>
            </w:r>
          </w:p>
        </w:tc>
      </w:tr>
      <w:tr>
        <w:trPr>
          <w:trHeight w:val="20"/>
        </w:trPr>
        <w:tc>
          <w:tcPr>
            <w:gridSpan w:val="4"/>
            <w:tcBorders/>
            <w:tcW w:w="8099" w:type="dxa"/>
            <w:vAlign w:val="center"/>
            <w:textDirection w:val="lrTb"/>
            <w:noWrap/>
          </w:tcPr>
          <w:p>
            <w:pPr>
              <w:pBdr/>
              <w:spacing w:after="14" w:afterAutospacing="0" w:before="0" w:beforeAutospacing="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917" w:type="dxa"/>
            <w:vAlign w:val="center"/>
            <w:textDirection w:val="lrTb"/>
            <w:noWrap/>
          </w:tcPr>
          <w:p>
            <w:pPr>
              <w:pBdr/>
              <w:spacing w:after="14" w:afterAutospacing="0" w:before="0" w:beforeAutospacing="0" w:line="288" w:lineRule="auto"/>
              <w:ind/>
              <w:jc w:val="center"/>
              <w:rPr>
                <w:b/>
                <w:bCs/>
                <w:color w:val="000000"/>
              </w:rPr>
            </w:pPr>
            <w:r>
              <w:rPr>
                <w:b/>
                <w:bCs/>
                <w:color w:val="000000"/>
              </w:rPr>
              <w:t xml:space="preserve">11.035.000.000</w:t>
            </w:r>
            <w:r>
              <w:rPr>
                <w:b/>
                <w:bCs/>
                <w:color w:val="000000"/>
              </w:rPr>
            </w:r>
            <w:r>
              <w:rPr>
                <w:b/>
                <w:bCs/>
                <w:color w:val="000000"/>
              </w:rPr>
            </w:r>
          </w:p>
        </w:tc>
      </w:tr>
      <w:tr>
        <w:trPr>
          <w:trHeight w:val="20"/>
        </w:trPr>
        <w:tc>
          <w:tcPr>
            <w:gridSpan w:val="5"/>
            <w:tcBorders/>
            <w:tcW w:w="10015" w:type="dxa"/>
            <w:vAlign w:val="center"/>
            <w:textDirection w:val="lrTb"/>
            <w:noWrap w:val="false"/>
          </w:tcPr>
          <w:p>
            <w:pPr>
              <w:pBdr/>
              <w:spacing w:after="14" w:afterAutospacing="0" w:before="0" w:beforeAutospacing="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Mười một tỷ, không trăm ba mươi lăm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39"/>
        </w:numPr>
        <w:pBdr/>
        <w:tabs>
          <w:tab w:val="left" w:leader="none" w:pos="993"/>
        </w:tabs>
        <w:spacing w:after="120" w:before="120" w:line="264" w:lineRule="auto"/>
        <w:ind/>
        <w:jc w:val="both"/>
        <w:rPr>
          <w:spacing w:val="-2"/>
          <w:lang w:val="pt-BR"/>
        </w:rPr>
      </w:pPr>
      <w:r>
        <w:rPr>
          <w:spacing w:val="-2"/>
          <w:highlight w:val="none"/>
          <w:lang w:val="pt-BR" w:bidi="pt-BR"/>
        </w:rPr>
        <w:t xml:space="preserve">Hồ sơ pháp lý khách hàng cung cấp tổ thẩm định chỉ nhận được 3 trang của GCN số </w:t>
      </w:r>
      <w:r>
        <w:rPr>
          <w:rFonts w:ascii="Times New Roman" w:hAnsi="Times New Roman" w:eastAsia="Times New Roman" w:cs="Times New Roman"/>
          <w:color w:val="000000"/>
          <w:sz w:val="24"/>
        </w:rPr>
        <w:t xml:space="preserve">DI 247184, khách hàng không cung cấp các trang còn lại của GCN. Do dó, tổ thẩm định xác định giá trị tài sản theo giả định Quyền sở hữu căn hộ chung cư được cấp theo GCN số </w:t>
      </w:r>
      <w:r>
        <w:rPr>
          <w:rFonts w:ascii="Times New Roman" w:hAnsi="Times New Roman" w:eastAsia="Times New Roman" w:cs="Times New Roman"/>
          <w:color w:val="000000"/>
          <w:sz w:val="24"/>
        </w:rPr>
        <w:t xml:space="preserve">DI 247184 </w:t>
      </w:r>
      <w:r>
        <w:rPr>
          <w:spacing w:val="-2"/>
          <w:highlight w:val="none"/>
          <w:lang w:val="pt-BR" w:bidi="pt-BR"/>
        </w:rPr>
        <w:t xml:space="preserve">thuộc sở hữu của </w:t>
      </w:r>
      <w:r>
        <w:rPr>
          <w:rFonts w:ascii="Times New Roman" w:hAnsi="Times New Roman" w:eastAsia="Times New Roman" w:cs="Times New Roman"/>
          <w:color w:val="000000"/>
          <w:sz w:val="24"/>
        </w:rPr>
        <w:t xml:space="preserve">bà Đặng Thị Hiền và ông Nguyễn Đức Minh</w:t>
      </w:r>
      <w:r>
        <w:rPr>
          <w:spacing w:val="-2"/>
          <w:highlight w:val="none"/>
          <w:lang w:val="pt-BR" w:bidi="pt-BR"/>
        </w:rPr>
        <w:t xml:space="preserve"> không có tranh chấp và không có đính chính, thay đổi nào khác tại các trang còn lại của GCN. Mọi trách nhiệm phát sinh do có sự thay đổi nội dung tại các trang GCN do khách hàng chưa cung cấp không thuộc phạm vi trách nhiệm của chúng tôi.</w:t>
      </w:r>
      <w:r>
        <w:rPr>
          <w:spacing w:val="-2"/>
          <w:lang w:val="pt-BR"/>
        </w:rPr>
      </w:r>
      <w:r>
        <w:rPr>
          <w:spacing w:val="-2"/>
          <w:lang w:val="pt-BR"/>
        </w:rPr>
      </w:r>
    </w:p>
    <w:p>
      <w:pPr>
        <w:pStyle w:val="1027"/>
        <w:numPr>
          <w:ilvl w:val="0"/>
          <w:numId w:val="39"/>
        </w:numPr>
        <w:pBdr/>
        <w:tabs>
          <w:tab w:val="left" w:leader="none" w:pos="993"/>
        </w:tabs>
        <w:spacing w:after="120" w:before="120" w:line="264" w:lineRule="auto"/>
        <w:ind/>
        <w:jc w:val="both"/>
        <w:rPr>
          <w:spacing w:val="-2"/>
          <w:lang w:val="pt-BR"/>
        </w:rPr>
      </w:pPr>
      <w:r>
        <w:rPr>
          <w:spacing w:val="-2"/>
          <w:lang w:val="pt-BR"/>
        </w:rPr>
      </w: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spacing w:val="-2"/>
          <w:lang w:val="pt-BR"/>
        </w:rPr>
      </w:r>
      <w:r>
        <w:rPr>
          <w:spacing w:val="-2"/>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275/2026/0377/VFI-CT.24.A</w:t>
      </w:r>
      <w:r>
        <w:rPr>
          <w:color w:val="ff0000"/>
          <w:lang w:val="vi-VN"/>
        </w:rPr>
        <w:t xml:space="preserve"> </w:t>
      </w:r>
      <w:r>
        <w:rPr>
          <w:color w:val="000000" w:themeColor="text1"/>
        </w:rPr>
        <w:t xml:space="preserve">ngày 10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275/2026/0377/VFI-BC.24.A</w:t>
      </w:r>
      <w:r>
        <w:rPr>
          <w:i/>
          <w:lang w:val="pt-BR"/>
        </w:rPr>
        <w:t xml:space="preserve"> ngày </w:t>
      </w:r>
      <w:r>
        <w:rPr>
          <w:i/>
          <w:lang w:val="pt-BR"/>
        </w:rPr>
        <w:t xml:space="preserve">10 tháng 03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9068" cy="346950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75713" name=""/>
                              <pic:cNvPicPr>
                                <a:picLocks noChangeAspect="1"/>
                              </pic:cNvPicPr>
                              <pic:nvPr/>
                            </pic:nvPicPr>
                            <pic:blipFill rotWithShape="1">
                              <a:blip r:embed="rId18"/>
                              <a:stretch/>
                            </pic:blipFill>
                            <pic:spPr bwMode="auto">
                              <a:xfrm flipH="0" flipV="0">
                                <a:off x="0" y="0"/>
                                <a:ext cx="2659067" cy="3469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9.38pt;height:273.19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1233029967" name="" descr=""/>
                              <pic:cNvPicPr/>
                              <pic:nvPr/>
                            </pic:nvPicPr>
                            <pic:blipFill rotWithShape="1">
                              <a:blip r:embed="rId19"/>
                              <a:stretch/>
                            </pic:blipFill>
                            <pic:spPr bwMode="auto">
                              <a:xfrm rot="0" flipH="0" flipV="0">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ind/>
              <w:jc w:val="cente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p>
        </w:tc>
        <w:tc>
          <w:tcPr>
            <w:tcBorders/>
            <w:tcW w:w="4757" w:type="dxa"/>
            <w:vAlign w:val="center"/>
            <w:textDirection w:val="lrTb"/>
            <w:noWrap w:val="false"/>
          </w:tcPr>
          <w:p>
            <w:pPr>
              <w:pBdr/>
              <w:spacing/>
              <w:ind/>
              <w:jc w:val="cente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695257" cy="202144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086479" name=""/>
                              <pic:cNvPicPr>
                                <a:picLocks noChangeAspect="1"/>
                              </pic:cNvPicPr>
                              <pic:nvPr/>
                            </pic:nvPicPr>
                            <pic:blipFill rotWithShape="1">
                              <a:blip r:embed="rId20"/>
                              <a:stretch/>
                            </pic:blipFill>
                            <pic:spPr bwMode="auto">
                              <a:xfrm flipH="0" flipV="0">
                                <a:off x="0" y="0"/>
                                <a:ext cx="2695257" cy="20214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2.22pt;height:159.1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703249" cy="202743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28200" name=""/>
                              <pic:cNvPicPr>
                                <a:picLocks noChangeAspect="1"/>
                              </pic:cNvPicPr>
                              <pic:nvPr/>
                            </pic:nvPicPr>
                            <pic:blipFill rotWithShape="1">
                              <a:blip r:embed="rId21"/>
                              <a:stretch/>
                            </pic:blipFill>
                            <pic:spPr bwMode="auto">
                              <a:xfrm flipH="0" flipV="0">
                                <a:off x="0" y="0"/>
                                <a:ext cx="2703248" cy="20274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2.85pt;height:159.6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vMerge w:val="restart"/>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vMerge w:val="restart"/>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51980" cy="191398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636662" name=""/>
                              <pic:cNvPicPr>
                                <a:picLocks noChangeAspect="1"/>
                              </pic:cNvPicPr>
                              <pic:nvPr/>
                            </pic:nvPicPr>
                            <pic:blipFill rotWithShape="1">
                              <a:blip r:embed="rId24"/>
                              <a:stretch/>
                            </pic:blipFill>
                            <pic:spPr bwMode="auto">
                              <a:xfrm flipH="0" flipV="0">
                                <a:off x="0" y="0"/>
                                <a:ext cx="2551979" cy="19139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94pt;height:150.71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453676" cy="184025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6464" name=""/>
                              <pic:cNvPicPr>
                                <a:picLocks noChangeAspect="1"/>
                              </pic:cNvPicPr>
                              <pic:nvPr/>
                            </pic:nvPicPr>
                            <pic:blipFill rotWithShape="1">
                              <a:blip r:embed="rId25"/>
                              <a:stretch/>
                            </pic:blipFill>
                            <pic:spPr bwMode="auto">
                              <a:xfrm flipH="0" flipV="0">
                                <a:off x="0" y="0"/>
                                <a:ext cx="2453676" cy="18402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3.20pt;height:144.90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275/2026/0377/VFI-BC.24.A</w:t>
      </w:r>
      <w:r>
        <w:rPr>
          <w:i/>
          <w:lang w:val="pt-BR"/>
        </w:rPr>
        <w:t xml:space="preserve"> ngày </w:t>
      </w:r>
      <w:r>
        <w:rPr>
          <w:i/>
          <w:lang w:val="pt-BR"/>
        </w:rPr>
        <w:t xml:space="preserve">10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https://www.facebook.com/groups/batdongsanciputra/posts/2096779807740830/</w:t>
            </w:r>
            <w:r>
              <w:rPr>
                <w:color w:val="000000" w:themeColor="text1"/>
                <w:sz w:val="22"/>
                <w:szCs w:val="22"/>
              </w:rPr>
              <w:br/>
              <w:t xml:space="preserve">0988 613 960</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6.174.000.000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hộ chung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 toà The Link, cụm nhà ở cao tầng tổng hợp chung cư CT1 tại ô đất IC32, Khu đô thị Nam Thăng Long, phường Đông Ngạc,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căn hộ</w:t>
            </w:r>
            <w:r>
              <w:rPr>
                <w:color w:val="000000"/>
                <w:sz w:val="22"/>
                <w:szCs w:val="22"/>
              </w:rPr>
              <w:t xml:space="preserve"> </w:t>
            </w:r>
            <w:r>
              <w:rPr>
                <w:color w:val="000000"/>
                <w:sz w:val="22"/>
                <w:szCs w:val="22"/>
              </w:rPr>
              <w:t xml:space="preserve">(m²)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Cảnh quan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View nội khu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37702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3770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44.65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74352"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457435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60.19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Quỳnh Anh</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https://www.facebook.com/groups/batdongsanciputra/posts/2100728207345990/</w:t>
            </w:r>
            <w:r>
              <w:rPr>
                <w:color w:val="000000" w:themeColor="text1"/>
                <w:sz w:val="22"/>
                <w:szCs w:val="22"/>
              </w:rPr>
              <w:br/>
              <w:t xml:space="preserve">0916252992</w:t>
            </w:r>
            <w:r>
              <w:rPr>
                <w:sz w:val="22"/>
                <w:szCs w:val="22"/>
              </w:rPr>
              <w:t xml:space="preserve"> </w:t>
            </w:r>
            <w:r>
              <w:rPr>
                <w:sz w:val="22"/>
                <w:szCs w:val="22"/>
              </w:rPr>
              <w:t xml:space="preserve">(Vũ</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12.740.000.000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hộ chung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CHCC tầng 7 toà L5, The Link, cụm nhà ở cao tầng tổng hợp chung cư CT1 tại ô đất IC32, Khu đô thị Nam Thăng Long, phường Đông Ngạc,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căn hộ</w:t>
            </w:r>
            <w:r>
              <w:rPr>
                <w:color w:val="000000"/>
                <w:sz w:val="22"/>
                <w:szCs w:val="22"/>
              </w:rPr>
              <w:t xml:space="preserve"> </w:t>
            </w:r>
            <w:r>
              <w:rPr>
                <w:color w:val="000000"/>
                <w:sz w:val="22"/>
                <w:szCs w:val="22"/>
              </w:rPr>
              <w:t xml:space="preserve">(m²)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Cảnh quan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View nội khu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57941"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35794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1.89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776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6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https://www.facebook.com/groups/batdongsanciputra/posts/2100728207345990/</w:t>
            </w:r>
            <w:r>
              <w:rPr>
                <w:color w:val="000000" w:themeColor="text1"/>
                <w:sz w:val="22"/>
                <w:szCs w:val="22"/>
              </w:rPr>
              <w:br/>
            </w:r>
            <w:r>
              <w:rPr>
                <w:sz w:val="22"/>
                <w:szCs w:val="22"/>
              </w:rPr>
              <w:t xml:space="preserve">SĐT: </w:t>
            </w:r>
            <w:r>
              <w:rPr>
                <w:color w:val="000000" w:themeColor="text1"/>
                <w:sz w:val="22"/>
                <w:szCs w:val="22"/>
              </w:rPr>
              <w:t xml:space="preserve">0916252992</w:t>
            </w:r>
            <w:r>
              <w:rPr>
                <w:sz w:val="22"/>
                <w:szCs w:val="22"/>
              </w:rPr>
              <w:t xml:space="preserve"> </w:t>
            </w:r>
            <w:r>
              <w:rPr>
                <w:sz w:val="22"/>
                <w:szCs w:val="22"/>
              </w:rPr>
              <w:t xml:space="preserve">(Vũ</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Căn hộ chung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CHCC tầng 21 toà L4, The Link, cụm nhà ở cao tầng tổng hợp chung cư CT1 tại ô đất IC32, Khu đô thị Nam Thăng Long, phường Đông Ngạc, Thành phố Hà Nội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căn hộ</w:t>
            </w:r>
            <w:r>
              <w:rPr>
                <w:color w:val="000000"/>
                <w:sz w:val="22"/>
                <w:szCs w:val="22"/>
              </w:rPr>
              <w:t xml:space="preserve"> </w:t>
            </w:r>
            <w:r>
              <w:rPr>
                <w:color w:val="000000"/>
                <w:sz w:val="22"/>
                <w:szCs w:val="22"/>
              </w:rPr>
              <w:t xml:space="preserve">(m²)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Cảnh quan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View vườn hoa</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50357"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4503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50.42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3.3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 </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273</cp:revision>
  <dcterms:created xsi:type="dcterms:W3CDTF">2025-09-15T09:58:00Z</dcterms:created>
  <dcterms:modified xsi:type="dcterms:W3CDTF">2026-03-11T10:04:38Z</dcterms:modified>
</cp:coreProperties>
</file>