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826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826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275/2026/0377/VFI-CT.24.A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Đặng Thị Hiền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Giá trị quyền sở hữu căn hộ chung cư số L05-205, Toà nhà L05-The Link cụm nhà cao tầng tổng hợp chung cư CT1 tại ô đất IC32-Khu đô thị Nam Thăng Long, phường Đông Ngạc, quận Bắc Từ Liêm, Thành phố Hà Nội </w:t>
                            </w:r>
                            <w:r>
                              <w:rPr>
                                <w:i/>
                                <w:iCs/>
                                <w:color w:val="000000"/>
                              </w:rPr>
                              <w:t xml:space="preserve">(Nay là phường Đông Ngạc,</w:t>
                            </w:r>
                            <w:r>
                              <w:rPr>
                                <w:i/>
                                <w:iCs/>
                                <w:color w:val="000000"/>
                              </w:rPr>
                              <w:t xml:space="preserve"> thành phố Hà Nội)</w:t>
                            </w:r>
                            <w:r>
                              <w:rPr>
                                <w:color w:val="000000"/>
                              </w:rPr>
                              <w:t xml:space="preserve"> theo Giấy chứng nhận quyền sử dụng đất quyền sở hữu nhà ở và tài sản gắn liền với đất số DI 247184 số vào sổ cấp GCN CS 00208 do Sở Tài nguyên và Môi trường thành phố Hà Nội cấp ngày 04/01/2025 cho bà Đặng Thị Hiền và ông Nguyễn Đức Minh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12/2025</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2.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275/2026/0377/VFI-CT.24.A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Đặng Thị Hiền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Giá trị quyền sở hữu căn hộ chung cư số L05-205, Toà nhà L05-The Link cụm nhà cao tầng tổng hợp chung cư CT1 tại ô đất IC32-Khu đô thị Nam Thăng Long, phường Đông Ngạc, quận Bắc Từ Liêm, Thành phố Hà Nội </w:t>
                      </w:r>
                      <w:r>
                        <w:rPr>
                          <w:i/>
                          <w:iCs/>
                          <w:color w:val="000000"/>
                        </w:rPr>
                        <w:t xml:space="preserve">(Nay là phường Đông Ngạc,</w:t>
                      </w:r>
                      <w:r>
                        <w:rPr>
                          <w:i/>
                          <w:iCs/>
                          <w:color w:val="000000"/>
                        </w:rPr>
                        <w:t xml:space="preserve"> thành phố Hà Nội)</w:t>
                      </w:r>
                      <w:r>
                        <w:rPr>
                          <w:color w:val="000000"/>
                        </w:rPr>
                        <w:t xml:space="preserve"> theo Giấy chứng nhận quyền sử dụng đất quyền sở hữu nhà ở và tài sản gắn liền với đất số DI 247184 số vào sổ cấp GCN CS 00208 do Sở Tài nguyên và Môi trường thành phố Hà Nội cấp ngày 04/01/2025 cho bà Đặng Thị Hiền và ông Nguyễn Đức Minh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12/2025</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21-22</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23-28</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29"/>
        <w:gridCol w:w="1701"/>
        <w:gridCol w:w="2268"/>
        <w:gridCol w:w="5953"/>
      </w:tblGrid>
      <w:tr>
        <w:trPr>
          <w:trHeight w:val="1152"/>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2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3969"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275/2026/0377/VFI-CT.24.A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953"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10 tháng 3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Đặng Thị Hiền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275/2026/0377/VFI-HĐTĐ.24.A</w:t>
      </w:r>
      <w:r>
        <w:rPr>
          <w:spacing w:val="-4"/>
          <w:lang w:val="vi-VN"/>
        </w:rPr>
        <w:t xml:space="preserve"> ký ngày </w:t>
      </w:r>
      <w:r>
        <w:rPr>
          <w:color w:val="000000" w:themeColor="text1"/>
          <w:spacing w:val="-4"/>
        </w:rPr>
        <w:t xml:space="preserve">10 tháng 3 năm 2026</w:t>
      </w:r>
      <w:r>
        <w:rPr>
          <w:spacing w:val="-4"/>
          <w:lang w:val="vi-VN"/>
        </w:rPr>
        <w:t xml:space="preserve"> </w:t>
      </w:r>
      <w:r>
        <w:rPr>
          <w:spacing w:val="-4"/>
          <w:lang w:val="vi-VN"/>
        </w:rPr>
        <w:t xml:space="preserve">giữa </w:t>
      </w:r>
      <w:r>
        <w:rPr>
          <w:color w:val="000000" w:themeColor="text1"/>
          <w:spacing w:val="-4"/>
        </w:rPr>
        <w:t xml:space="preserve">Bà Đặng Thị Hiền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275/2026/0377/VFI-BC.24.A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10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pacing w:val="-8"/>
                <w:sz w:val="24"/>
              </w:rPr>
              <w:t xml:space="preserve">Bà Đặng Thị Hiền</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CCCD</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001173013867</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Đia chỉ</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Số 13 Thuỵ Khuê, Phường Thuỵ Khuê, quận Tây Hồ, Hà Nội</w:t>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rPr>
            </w:pPr>
            <w:r>
              <w:rPr>
                <w:b/>
                <w:bCs/>
                <w:lang w:val="vi-VN"/>
              </w:rPr>
              <w:t xml:space="preserve">Ông</w:t>
            </w:r>
            <w:r>
              <w:rPr>
                <w:b/>
                <w:bCs/>
              </w:rPr>
              <w:t xml:space="preserve"> Vũ Văn Quân</w:t>
            </w:r>
            <w:r>
              <w:rPr>
                <w:b/>
                <w:bCs/>
                <w:lang w:val="vi-VN"/>
              </w:rPr>
              <w:tab/>
            </w:r>
            <w:r>
              <w:rPr>
                <w:b/>
                <w:bCs/>
              </w:rPr>
              <w:t xml:space="preserve">       </w:t>
            </w:r>
            <w:r>
              <w:rPr>
                <w:b/>
                <w:bCs/>
              </w:rPr>
            </w:r>
            <w:r>
              <w:rPr>
                <w:b/>
                <w:bCs/>
              </w:rPr>
            </w:r>
          </w:p>
          <w:p>
            <w:pPr>
              <w:pBdr/>
              <w:spacing w:after="40" w:before="40" w:line="276" w:lineRule="auto"/>
              <w:ind/>
              <w:rPr>
                <w:b/>
                <w:bCs/>
                <w:lang w:val="vi-VN"/>
              </w:rPr>
            </w:pP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Giá trị quyền sở hữu căn hộ chung cư số L05-205, Toà nhà L05-The Link cụm nhà cao tầng tổng hợp chung cư CT1 tại ô đất IC32-Khu đô thị Nam Thăng Long, phường Đông Ngạc, quận Bắc Từ Liêm, Thành phố Hà Nội </w:t>
      </w:r>
      <w:r>
        <w:rPr>
          <w:i/>
          <w:iCs/>
          <w:color w:val="000000" w:themeColor="text1"/>
        </w:rPr>
        <w:t xml:space="preserve">(Nay là phường Đông Ngạc,</w:t>
      </w:r>
      <w:r>
        <w:rPr>
          <w:i/>
          <w:iCs/>
          <w:color w:val="000000" w:themeColor="text1"/>
        </w:rPr>
        <w:t xml:space="preserve"> thành phố Hà Nội) </w:t>
      </w:r>
      <w:r>
        <w:rPr>
          <w:color w:val="000000" w:themeColor="text1"/>
        </w:rPr>
        <w:t xml:space="preserve">theo Giấy chứng nhận quyền sử dụng đất quyền sở hữu nhà ở và tài sản gắn liền với đất số DI 247184 số vào sổ cấp GCN CS 00208 do Sở Tài nguyên và Môi trường thành phố Hà Nội cấp ngày 04/01/2025 cho bà Đặng Thị Hiền và ông Nguyễn Đức Minh</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tham khảo giá trị tài sản phục vụ công tác mua bán, chuyển nhượng tài sản</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257"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00"/>
        <w:gridCol w:w="3528"/>
        <w:gridCol w:w="1530"/>
        <w:gridCol w:w="2340"/>
        <w:gridCol w:w="1917"/>
      </w:tblGrid>
      <w:tr>
        <w:trPr>
          <w:trHeight w:val="20"/>
        </w:trPr>
        <w:tc>
          <w:tcPr>
            <w:shd w:val="clear" w:color="000000" w:fill="ffffff"/>
            <w:tcBorders/>
            <w:tcW w:w="700"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528"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530"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340"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917"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700"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7398" w:type="dxa"/>
            <w:vAlign w:val="center"/>
            <w:textDirection w:val="lrTb"/>
            <w:noWrap w:val="false"/>
          </w:tcPr>
          <w:p>
            <w:pPr>
              <w:pBdr/>
              <w:spacing w:after="40" w:before="40" w:line="288" w:lineRule="auto"/>
              <w:ind/>
              <w:jc w:val="both"/>
              <w:rPr>
                <w:b/>
                <w:bCs/>
              </w:rPr>
            </w:pPr>
            <w:r>
              <w:rPr>
                <w:b/>
                <w:bCs/>
                <w:color w:val="000000"/>
              </w:rPr>
              <w:t xml:space="preserve">Giá trị quyền sở hữu căn hộ chung cư số L05-205, Toà nhà L05-The Link cụm nhà cao tầng tổng hợp chung cư CT1 tại ô đất IC32-Khu đô thị Nam Thăng Long, phường Đông Ngạc, quận Bắc Từ Liêm, Thành phố Hà Nội </w:t>
            </w:r>
            <w:r>
              <w:rPr>
                <w:b/>
                <w:bCs/>
                <w:i/>
                <w:iCs/>
                <w:color w:val="000000"/>
              </w:rPr>
              <w:t xml:space="preserve">(Nay là phường Đông Ngạc,</w:t>
            </w:r>
            <w:r>
              <w:rPr>
                <w:b/>
                <w:bCs/>
                <w:i/>
                <w:iCs/>
                <w:color w:val="000000"/>
              </w:rPr>
              <w:t xml:space="preserve"> thành phố Hà Nội) </w:t>
            </w:r>
            <w:r>
              <w:rPr>
                <w:b/>
                <w:bCs/>
                <w:color w:val="000000"/>
              </w:rPr>
              <w:t xml:space="preserve">theo Giấy chứng nhận quyền sử dụng đất quyền sở hữu nhà ở và tài sản gắn liền với đất số DI 247184 số vào sổ cấp GCN CS 00208 do Sở Tài nguyên và Môi trường thành phố Hà Nội cấp ngày 04/01/2025 cho bà Đặng Thị Hiền và ông Nguyễn Đức Minh</w:t>
            </w:r>
            <w:r>
              <w:rPr>
                <w:b/>
                <w:bCs/>
              </w:rPr>
              <w:t xml:space="preserve">.</w:t>
            </w:r>
            <w:r>
              <w:rPr>
                <w:b/>
                <w:bCs/>
              </w:rPr>
            </w:r>
            <w:r>
              <w:rPr>
                <w:b/>
                <w:bCs/>
              </w:rPr>
            </w:r>
          </w:p>
        </w:tc>
        <w:tc>
          <w:tcPr>
            <w:shd w:val="clear" w:color="000000" w:fill="ffffff"/>
            <w:tcBorders/>
            <w:tcW w:w="1917"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00"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3528" w:type="dxa"/>
            <w:vAlign w:val="center"/>
            <w:textDirection w:val="lrTb"/>
            <w:noWrap w:val="false"/>
          </w:tcPr>
          <w:p>
            <w:pPr>
              <w:pBdr/>
              <w:spacing w:after="40" w:before="40" w:line="288" w:lineRule="auto"/>
              <w:ind/>
              <w:jc w:val="both"/>
              <w:rPr>
                <w:b w:val="0"/>
                <w:bCs w:val="0"/>
              </w:rPr>
            </w:pPr>
            <w:r>
              <w:rPr>
                <w:b w:val="0"/>
                <w:bCs w:val="0"/>
              </w:rPr>
              <w:t xml:space="preserve">Quyền sở hữu căn hộ chung cư</w:t>
            </w:r>
            <w:r>
              <w:rPr>
                <w:b w:val="0"/>
                <w:bCs w:val="0"/>
              </w:rPr>
            </w:r>
            <w:r>
              <w:rPr>
                <w:b w:val="0"/>
                <w:bCs w:val="0"/>
              </w:rPr>
            </w:r>
          </w:p>
        </w:tc>
        <w:tc>
          <w:tcPr>
            <w:tcBorders/>
            <w:tcW w:w="1530" w:type="dxa"/>
            <w:vAlign w:val="center"/>
            <w:textDirection w:val="lrTb"/>
            <w:noWrap/>
          </w:tcPr>
          <w:p>
            <w:pPr>
              <w:pBdr/>
              <w:spacing w:after="40" w:before="40" w:line="288" w:lineRule="auto"/>
              <w:ind/>
              <w:jc w:val="center"/>
              <w:rPr>
                <w:color w:val="000000"/>
              </w:rPr>
            </w:pPr>
            <w:r>
              <w:rPr>
                <w:color w:val="000000" w:themeColor="text1"/>
              </w:rPr>
              <w:t xml:space="preserve">105,6</w:t>
            </w:r>
            <w:r>
              <w:rPr>
                <w:color w:val="000000"/>
              </w:rPr>
            </w:r>
            <w:r>
              <w:rPr>
                <w:color w:val="000000"/>
              </w:rPr>
            </w:r>
          </w:p>
        </w:tc>
        <w:tc>
          <w:tcPr>
            <w:shd w:val="clear" w:color="000000" w:fill="ffffff"/>
            <w:tcBorders/>
            <w:tcW w:w="2340" w:type="dxa"/>
            <w:vAlign w:val="center"/>
            <w:textDirection w:val="lrTb"/>
            <w:noWrap w:val="false"/>
          </w:tcPr>
          <w:p>
            <w:pPr>
              <w:pBdr/>
              <w:spacing w:after="40" w:before="40" w:line="288" w:lineRule="auto"/>
              <w:ind/>
              <w:jc w:val="center"/>
              <w:rPr/>
            </w:pPr>
            <w:r>
              <w:rPr>
                <w:color w:val="000000" w:themeColor="text1"/>
              </w:rPr>
              <w:t xml:space="preserve">104.500.000</w:t>
            </w:r>
            <w:r/>
          </w:p>
        </w:tc>
        <w:tc>
          <w:tcPr>
            <w:shd w:val="clear" w:color="000000" w:fill="ffffff"/>
            <w:tcBorders/>
            <w:tcW w:w="1917" w:type="dxa"/>
            <w:vAlign w:val="center"/>
            <w:textDirection w:val="lrTb"/>
            <w:noWrap w:val="false"/>
          </w:tcPr>
          <w:p>
            <w:pPr>
              <w:pBdr/>
              <w:spacing w:after="40" w:before="40" w:line="288" w:lineRule="auto"/>
              <w:ind/>
              <w:jc w:val="center"/>
              <w:rPr/>
            </w:pPr>
            <w:r>
              <w:rPr>
                <w:color w:val="000000" w:themeColor="text1"/>
              </w:rPr>
              <w:t xml:space="preserve">11.035.200.000</w:t>
            </w:r>
            <w:r/>
          </w:p>
        </w:tc>
      </w:tr>
      <w:tr>
        <w:trPr>
          <w:trHeight w:val="20"/>
        </w:trPr>
        <w:tc>
          <w:tcPr>
            <w:gridSpan w:val="4"/>
            <w:tcBorders/>
            <w:tcW w:w="8098"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917" w:type="dxa"/>
            <w:vAlign w:val="center"/>
            <w:textDirection w:val="lrTb"/>
            <w:noWrap/>
          </w:tcPr>
          <w:p>
            <w:pPr>
              <w:pBdr/>
              <w:spacing w:after="40" w:before="40" w:line="288" w:lineRule="auto"/>
              <w:ind/>
              <w:jc w:val="center"/>
              <w:rPr>
                <w:b/>
                <w:bCs/>
                <w:color w:val="000000"/>
              </w:rPr>
            </w:pPr>
            <w:r>
              <w:t xml:space="preserve">11.035.200.000</w:t>
            </w:r>
            <w:r>
              <w:rPr>
                <w:b/>
                <w:bCs/>
                <w:color w:val="000000"/>
              </w:rPr>
            </w:r>
            <w:r>
              <w:rPr>
                <w:b/>
                <w:bCs/>
                <w:color w:val="000000"/>
              </w:rPr>
            </w:r>
          </w:p>
        </w:tc>
      </w:tr>
      <w:tr>
        <w:trPr>
          <w:trHeight w:val="20"/>
        </w:trPr>
        <w:tc>
          <w:tcPr>
            <w:gridSpan w:val="4"/>
            <w:tcBorders/>
            <w:tcW w:w="8098"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917" w:type="dxa"/>
            <w:vAlign w:val="center"/>
            <w:textDirection w:val="lrTb"/>
            <w:noWrap/>
          </w:tcPr>
          <w:p>
            <w:pPr>
              <w:pBdr/>
              <w:spacing w:after="40" w:before="40" w:line="288" w:lineRule="auto"/>
              <w:ind/>
              <w:jc w:val="center"/>
              <w:rPr>
                <w:b/>
                <w:bCs/>
                <w:color w:val="000000"/>
              </w:rPr>
            </w:pPr>
            <w:r>
              <w:rPr>
                <w:b/>
                <w:bCs/>
                <w:color w:val="000000"/>
              </w:rPr>
              <w:t xml:space="preserve">11.035.000.000</w:t>
            </w:r>
            <w:r>
              <w:rPr>
                <w:b/>
                <w:bCs/>
                <w:color w:val="000000"/>
              </w:rPr>
            </w:r>
            <w:r>
              <w:rPr>
                <w:b/>
                <w:bCs/>
                <w:color w:val="000000"/>
              </w:rPr>
            </w:r>
          </w:p>
        </w:tc>
      </w:tr>
      <w:tr>
        <w:trPr>
          <w:trHeight w:val="20"/>
        </w:trPr>
        <w:tc>
          <w:tcPr>
            <w:gridSpan w:val="5"/>
            <w:tcBorders/>
            <w:tcW w:w="1001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một tỷ, không trăm ba mươi lăm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950" w:type="dxa"/>
        <w:tblBorders/>
        <w:tblLayout w:type="fixed"/>
        <w:tblLook w:val="04A0" w:firstRow="1" w:lastRow="0" w:firstColumn="1" w:lastColumn="0" w:noHBand="0" w:noVBand="1"/>
      </w:tblPr>
      <w:tblGrid>
        <w:gridCol w:w="29"/>
        <w:gridCol w:w="1559"/>
        <w:gridCol w:w="3118"/>
        <w:gridCol w:w="5244"/>
      </w:tblGrid>
      <w:tr>
        <w:trPr>
          <w:trHeight w:val="1152"/>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4677"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275/2026/0377/VFI-</w:t>
            </w:r>
            <w:r>
              <w:rPr>
                <w:rStyle w:val="1025"/>
                <w:rFonts w:ascii="Times New Roman" w:hAnsi="Times New Roman"/>
                <w:color w:val="000000" w:themeColor="text1"/>
                <w:lang w:val="pt-BR"/>
              </w:rPr>
              <w:t xml:space="preserve">BC</w:t>
            </w:r>
            <w:r>
              <w:rPr>
                <w:rStyle w:val="1025"/>
                <w:rFonts w:ascii="Times New Roman" w:hAnsi="Times New Roman"/>
                <w:color w:val="ff0000"/>
                <w:lang w:val="pt-BR"/>
              </w:rPr>
              <w:t xml:space="preserve">.</w:t>
            </w:r>
            <w:r>
              <w:rPr>
                <w:rStyle w:val="1025"/>
                <w:rFonts w:ascii="Times New Roman" w:hAnsi="Times New Roman"/>
                <w:color w:val="000000" w:themeColor="text1"/>
                <w:lang w:val="pt-BR"/>
              </w:rPr>
              <w:t xml:space="preserve">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244"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10 tháng 3 năm 2026</w:t>
            </w:r>
            <w:r>
              <w:rPr>
                <w:color w:val="000000" w:themeColor="text1"/>
                <w:sz w:val="24"/>
                <w:szCs w:val="24"/>
                <w:lang w:val="vi-VN"/>
              </w:rPr>
            </w:r>
            <w:r>
              <w:rPr>
                <w:color w:val="000000" w:themeColor="text1"/>
                <w:sz w:val="24"/>
                <w:szCs w:val="24"/>
                <w:lang w:val="vi-VN"/>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275/2026/0377/VFI-CT.24.A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10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00" w:type="dxa"/>
        <w:tblBorders/>
        <w:tblLayout w:type="fixed"/>
        <w:tblLook w:val="04A0" w:firstRow="1" w:lastRow="0" w:firstColumn="1" w:lastColumn="0" w:noHBand="0" w:noVBand="1"/>
      </w:tblPr>
      <w:tblGrid>
        <w:gridCol w:w="2330"/>
        <w:gridCol w:w="425"/>
        <w:gridCol w:w="6945"/>
      </w:tblGrid>
      <w:tr>
        <w:trPr>
          <w:trHeight w:val="20"/>
        </w:trPr>
        <w:tc>
          <w:tcPr>
            <w:tcBorders/>
            <w:tcW w:w="2330"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425"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330"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425"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397"/>
        </w:trPr>
        <w:tc>
          <w:tcPr>
            <w:tcBorders/>
            <w:tcW w:w="2330"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425"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5"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330"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425"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330"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425"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330"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425"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5"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330"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425"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5"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r>
            <w:r>
              <w:rPr>
                <w:b/>
                <w:bCs/>
                <w:lang w:val="vi-VN"/>
              </w:rPr>
            </w:r>
            <w:r>
              <w:rPr>
                <w:b/>
                <w:bCs/>
                <w:lang w:val="vi-VN"/>
              </w:rPr>
            </w:r>
          </w:p>
          <w:p>
            <w:pPr>
              <w:pBdr/>
              <w:spacing w:after="60" w:before="60" w:line="276" w:lineRule="auto"/>
              <w:ind/>
              <w:rPr>
                <w:b/>
                <w:bCs/>
                <w:lang w:val="vi-VN"/>
              </w:rPr>
            </w:pPr>
            <w:r>
              <w:rPr>
                <w:b/>
                <w:bCs/>
                <w:lang w:val="vi-VN"/>
              </w:rPr>
              <w:t xml:space="preserve">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pacing w:val="-8"/>
                <w:sz w:val="24"/>
              </w:rPr>
              <w:t xml:space="preserve">Bà Đặng Thị Hiền</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CCCD</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001173013867</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Đia chỉ</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Số 13 Thuỵ Khuê, Phường Thuỵ Khuê, quận Tây Hồ,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Số hợp đồng</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rStyle w:val="1025"/>
                <w:rFonts w:ascii="Times New Roman" w:hAnsi="Times New Roman"/>
                <w:color w:val="000000" w:themeColor="text1"/>
                <w:lang w:val="pt-BR"/>
              </w:rPr>
              <w:t xml:space="preserve">275/2026/0377/VFI-HĐTĐ.24.A</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Giá trị quyền sở hữu căn hộ chung cư số L05-205, Toà nhà L05-The Link cụm nhà cao tầng tổng hợp chung cư CT1 tại ô đất IC32-Khu đô thị Nam Thăng Long, phường Đông Ngạc, quận Bắc Từ Liêm, Thành phố Hà Nội</w:t>
            </w:r>
            <w:r>
              <w:rPr>
                <w:bCs/>
                <w:i/>
                <w:iCs/>
                <w:color w:val="000000" w:themeColor="text1"/>
                <w:lang w:val="pt-BR"/>
              </w:rPr>
              <w:t xml:space="preserve"> (Nay là phường Đông Ngạc,</w:t>
            </w:r>
            <w:r>
              <w:rPr>
                <w:bCs/>
                <w:i/>
                <w:iCs/>
                <w:color w:val="000000" w:themeColor="text1"/>
                <w:lang w:val="pt-BR"/>
              </w:rPr>
              <w:t xml:space="preserve"> thành phố Hà Nội)</w:t>
            </w:r>
            <w:r>
              <w:rPr>
                <w:bCs/>
                <w:color w:val="000000" w:themeColor="text1"/>
                <w:lang w:val="pt-BR"/>
              </w:rPr>
              <w:t xml:space="preserve"> theo Giấy chứng nhận quyền sử dụng đất quyền sở hữu nhà ở và tài sản gắn liền với đất số DI 247184 số vào sổ cấp GCN CS 00208 do Sở Tài nguyên và Môi trường thành phố Hà Nội cấp ngày 04/01/2025 cho bà Đặng Thị Hiền và ông Nguyễn Đức Minh</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tham khảo giá trị tài sản phục vụ công tác mua bán, chuyển nhượng tài sản</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Cụm nhà cao tầng tổ hợp chung cư CT1 tại ô đất 1C32, Khu đô thị Nam Thăng Long, phường Đông Ngạc,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21.082735, 105.792175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gắn liền với đất số DI 247184 số vào sổ cấp GCN CS 00208 có địa chỉ căn hộ chung cư số L05-205, Toà nhà L0</w:t>
      </w:r>
      <w:r>
        <w:rPr>
          <w:bCs/>
          <w:color w:val="000000" w:themeColor="text1"/>
          <w:lang w:val="pt-BR"/>
        </w:rPr>
        <w:t xml:space="preserve">5-The Link cụm nhà cao tầng tổng hợp chung cư CT1 tại ô đất IC32-Khu đô thị Nam Thăng Long, phường Đông Ngạc, quận Bắc Từ Liêm, Thành phố Hà Nội do Sở Tài nguyên và Môi trường thành phố Hà Nội cấp ngày 04/01/2025 cho bà Đặng Thị Hiền và ông Nguyễn Đức Minh</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275/2026/0377/VFI-HĐTĐ.24.A ngày 10/03/2026 giữa Bà Đặng Thị Hiền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lang w:val="pt-BR"/>
        </w:rPr>
        <w:tab/>
      </w:r>
      <w:r>
        <w:rPr>
          <w:rFonts w:ascii="Times New Roman" w:hAnsi="Times New Roman" w:eastAsia="Times New Roman" w:cs="Times New Roman"/>
          <w:b/>
          <w:i/>
          <w:color w:val="000000"/>
          <w:sz w:val="24"/>
        </w:rPr>
        <w:t xml:space="preserve">Bức tranh thị trường bất động sản Hà Nội năm 2026: Hạ tầng dẫn dắt, thị trường bước vào chu kỳ tăng trưởng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Bước sang năm 2026, thị trường bất động sản Hà Nội được kỳ vọng bước vào chu kỳ tăng trưởng mới với nền tảng hạ tầng, pháp lý và chính sách ngày càng rõ nét. Thay vì những cơn “sốt nóng”, thị trường vận động theo hướng chọn lọc, phân hóa mạnh, lấy nhu cầu</w:t>
      </w:r>
      <w:r>
        <w:rPr>
          <w:rFonts w:ascii="Times New Roman" w:hAnsi="Times New Roman" w:eastAsia="Times New Roman" w:cs="Times New Roman"/>
          <w:color w:val="000000"/>
          <w:sz w:val="24"/>
        </w:rPr>
        <w:t xml:space="preserve"> ở thực, chất lượng dự án và năng lực doanh nghiệp làm trụ cột phát triển bền vững.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Trong bối cảnh kinh tế vĩ mô dần ổn định, khuôn khổ pháp lý được hoàn thiện và đầu tư công tiếp tục giữ vai trò "đầu kéo", bất động sản Thủ đô bước vào một chu kỳ phát triển mới – thận trọng hơn, thực chất hơn và lấy hạ tầng làm động lực trung tâm. Thay v</w:t>
      </w:r>
      <w:r>
        <w:rPr>
          <w:rFonts w:ascii="Times New Roman" w:hAnsi="Times New Roman" w:eastAsia="Times New Roman" w:cs="Times New Roman"/>
          <w:color w:val="000000"/>
          <w:sz w:val="24"/>
        </w:rPr>
        <w:t xml:space="preserve">ì những cơn "sốt nóng" ngắn hạn, thị trường năm 2026 được kỳ vọng tăng trưởng trên nền tảng bền vững, gắn chặt với quy hoạch đô thị, nhu cầu ở thực và năng lực triển khai của doanh nghiệp.</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Hạ tầng – "xương sống" mở không gian phát triển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Trong nhiều năm qua, hạ tầng giao thông luôn là yếu tố then chốt định hình không gian phát triển đô thị Hà Nội. Đến năm 2026, vai trò này càng trở nên rõ rệt khi hàng loạt dự án trọng điểm được triển khai đồng bộ, tạo lực đẩy dài hạn cho thị trường bất độ</w:t>
      </w:r>
      <w:r>
        <w:rPr>
          <w:rFonts w:ascii="Times New Roman" w:hAnsi="Times New Roman" w:eastAsia="Times New Roman" w:cs="Times New Roman"/>
          <w:color w:val="000000"/>
          <w:sz w:val="24"/>
        </w:rPr>
        <w:t xml:space="preserve">ng sản.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Dự án đường Vành đai 4 – Vùng Thủ đô, với quy mô hơn 85.000 tỷ đồng, được coi là "đòn bẩy chiến lược" mở rộng không gian phát triển về các hướng Bắc, Tây và Nam. Khi tuyến đường này từng bước thành hình, các khu vực vốn nằm ngoài trung tâm truyền thống sẽ</w:t>
      </w:r>
      <w:r>
        <w:rPr>
          <w:rFonts w:ascii="Times New Roman" w:hAnsi="Times New Roman" w:eastAsia="Times New Roman" w:cs="Times New Roman"/>
          <w:color w:val="000000"/>
          <w:sz w:val="24"/>
        </w:rPr>
        <w:t xml:space="preserve"> có điều kiện kết nối thuận lợi hơn, qua đó gia tăng sức hấp dẫn với các dự án đô thị, khu nhà ở và dịch vụ.</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w:t>
      </w:r>
      <w:r>
        <w:rPr>
          <w:rFonts w:ascii="Times New Roman" w:hAnsi="Times New Roman" w:eastAsia="Times New Roman" w:cs="Times New Roman"/>
          <w:color w:val="000000"/>
          <w:sz w:val="24"/>
        </w:rPr>
        <w:t xml:space="preserve">g,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w:t>
      </w:r>
      <w:r>
        <w:rPr>
          <w:rFonts w:ascii="Times New Roman" w:hAnsi="Times New Roman" w:eastAsia="Times New Roman" w:cs="Times New Roman"/>
          <w:color w:val="000000"/>
          <w:sz w:val="24"/>
        </w:rPr>
        <w:t xml:space="preserve">g trưởng bất động sản dài hạn.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Cao – Hòa Lạc), đang </w:t>
      </w:r>
      <w:r>
        <w:rPr>
          <w:rFonts w:ascii="Times New Roman" w:hAnsi="Times New Roman" w:eastAsia="Times New Roman" w:cs="Times New Roman"/>
          <w:color w:val="000000"/>
          <w:sz w:val="24"/>
        </w:rPr>
        <w:t xml:space="preserve">nổi lên như một cực phát triển mới. Ở phía Đông, hệ thống cầu vượt sông Hồng, cùng quy hoạch chỉnh trang đô thị ven sông, tiếp tục mở ra dư địa cho các dự án nhà ở và đô thị sinh thái.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Thị trường chuyển từ "tăng nóng" sang tăng trưởng chọn lọc</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vực có</w:t>
      </w:r>
      <w:r>
        <w:rPr>
          <w:rFonts w:ascii="Times New Roman" w:hAnsi="Times New Roman" w:eastAsia="Times New Roman" w:cs="Times New Roman"/>
          <w:color w:val="000000"/>
          <w:sz w:val="24"/>
        </w:rPr>
        <w:t xml:space="preserve"> quy hoạch rõ ràng, hạ tầng đồng bộ và nhu cầu ở thực ổn định.</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Theo ông Nguyễn Văn Đính, Chủ tịch Hội Môi giới Bất động sản Việt Nam (VARS), thị trường bất động sản Hà Nội sẽ không tăng trưởng theo kiểu nóng mà dựa trên nền tảng hạ tầng và nhu cầu thật. Những dự án gắn với các tuyến giao thông lớn, pháp lý minh bạch </w:t>
      </w:r>
      <w:r>
        <w:rPr>
          <w:rFonts w:ascii="Times New Roman" w:hAnsi="Times New Roman" w:eastAsia="Times New Roman" w:cs="Times New Roman"/>
          <w:color w:val="000000"/>
          <w:sz w:val="24"/>
        </w:rPr>
        <w:t xml:space="preserve">và được triển khai bài bản sẽ trở thành động lực chính của thị trường trong năm 2026.</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Số liệu từ các đơn vị nghiên cứu cho thấy, trong giai đoạn gần đây, giá bất động sản tại những khu vực bám trục hạ tầng lớn của Hà Nội vẫn duy trì mức tăng ổn định, trong khi thanh khoản dần cải thiện. Điều này phản ánh sự dịch chuyển của dòng tiền sang c</w:t>
      </w:r>
      <w:r>
        <w:rPr>
          <w:rFonts w:ascii="Times New Roman" w:hAnsi="Times New Roman" w:eastAsia="Times New Roman" w:cs="Times New Roman"/>
          <w:color w:val="000000"/>
          <w:sz w:val="24"/>
        </w:rPr>
        <w:t xml:space="preserve">ác phân khúc an toàn hơn, hạn chế rủi ro và có tiềm năng tăng trưởng dài hạn.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Nguồn cung lớn, thị trường phân hóa rõ nét</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 Điều này vừa tạ</w:t>
      </w:r>
      <w:r>
        <w:rPr>
          <w:rFonts w:ascii="Times New Roman" w:hAnsi="Times New Roman" w:eastAsia="Times New Roman" w:cs="Times New Roman"/>
          <w:color w:val="000000"/>
          <w:sz w:val="24"/>
        </w:rPr>
        <w:t xml:space="preserve">o cơ hội cho người mua, vừa đặt ra thách thức cho doanh nghiệp phát triển dự 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Ông David Jackson, Tổng Giám đốc Avison Young Việt Nam nhận định, thị trường căn hộ đang bước vào giai đoạn bản lề. Phân khúc này tiếp tục giữ vai trò chủ đạo trong giai đoạn 2025–2026, song sự phát triển sẽ không đồng đều. Các dự án có vị trí thuận lợi, </w:t>
      </w:r>
      <w:r>
        <w:rPr>
          <w:rFonts w:ascii="Times New Roman" w:hAnsi="Times New Roman" w:eastAsia="Times New Roman" w:cs="Times New Roman"/>
          <w:color w:val="000000"/>
          <w:sz w:val="24"/>
        </w:rPr>
        <w:t xml:space="preserve">kết nối hạ tầng tốt, pháp lý hoàn chỉnh và chủ đầu tư uy tín sẽ duy trì thanh khoản, trong khi những dự án xa trung tâm, thiếu tiện ích hoặc định giá vượt khả năng chi trả của số đông sẽ gặp khó.</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 hợp với nhu cầu ở thực. Trong khi đ</w:t>
      </w:r>
      <w:r>
        <w:rPr>
          <w:rFonts w:ascii="Times New Roman" w:hAnsi="Times New Roman" w:eastAsia="Times New Roman" w:cs="Times New Roman"/>
          <w:color w:val="000000"/>
          <w:sz w:val="24"/>
        </w:rPr>
        <w:t xml:space="preserve">ó, phân khúc nhà ở vừa túi tiền và nhà ở xã hội được kỳ vọng sẽ dần cải thiện nguồn cung khi các chính sách mới được triển khai đồng bộ.</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Chính sách và pháp lý – điểm tựa cho chu kỳ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Năm 2026 được xem là thời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w:t>
      </w:r>
      <w:r>
        <w:rPr>
          <w:rFonts w:ascii="Times New Roman" w:hAnsi="Times New Roman" w:eastAsia="Times New Roman" w:cs="Times New Roman"/>
          <w:color w:val="000000"/>
          <w:sz w:val="24"/>
        </w:rPr>
        <w:t xml:space="preserve">nguồn cung đáng kể cho thị trường.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w:t>
      </w:r>
      <w:r>
        <w:rPr>
          <w:rFonts w:ascii="Times New Roman" w:hAnsi="Times New Roman" w:eastAsia="Times New Roman" w:cs="Times New Roman"/>
          <w:color w:val="000000"/>
          <w:sz w:val="24"/>
        </w:rPr>
        <w:t xml:space="preserve">dự án kéo dài, đồng thời tạo niềm tin cho nhà đầu tư và người mua nhà.</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Bước vào năm 2026, mặt bằng lãi suất được dự báo duy trì ở mức tương đối ổn định, dù có thể xuất hiện những điều chỉnh kỹ thuật. Ông Nguyễn Quốc Anh, Phó Tổng Giám đốc Batdongsan.com.vn cho rằng, mức lãi suất cho vay phổ biến quanh 6–7%/năm vẫn nằm trong </w:t>
      </w:r>
      <w:r>
        <w:rPr>
          <w:rFonts w:ascii="Times New Roman" w:hAnsi="Times New Roman" w:eastAsia="Times New Roman" w:cs="Times New Roman"/>
          <w:color w:val="000000"/>
          <w:sz w:val="24"/>
        </w:rPr>
        <w:t xml:space="preserve">vùng hỗ trợ giao dịch, khác xa giai đoạn "cú sốc kép" năm 2022.</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Ở góc nhìn vĩ mô, TS. Cấn Văn Lực, Chuyên gia Kinh tế trưởng Ngân hàng BIDV, Thành viên Hội đồng Tư vấn chính sách tài chính – tiền tệ quốc gia – nhận định, lãi suất thấp trong giai đoạn tới sẽ không còn kích hoạt đầu cơ mạnh như trước, mà thúc đẩy thị tr</w:t>
      </w:r>
      <w:r>
        <w:rPr>
          <w:rFonts w:ascii="Times New Roman" w:hAnsi="Times New Roman" w:eastAsia="Times New Roman" w:cs="Times New Roman"/>
          <w:color w:val="000000"/>
          <w:sz w:val="24"/>
        </w:rPr>
        <w:t xml:space="preserve">ường phát triển ổn định hơn. Người mua ngày càng thận trọng, ưu tiên pháp lý rõ ràng, chất lượng sản phẩm và uy tín chủ đầu tư – những yếu tố then chốt để hình thành chu kỳ tăng trưởng bền vững.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Triển vọng 2026: tăng trưởng bền vững trên nền tảng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Với nguồn cung tăng mạnh và người mua ngày càng kỹ tính, năm 2026 được xem là giai đoạn sàng lọc rõ nét đối với các doanh nghiệp bất động sản. Những chủ đầu tư có quỹ đất sạch, năng lực tài chính lành mạnh và chiến lược phát triển sản phẩm phù hợp sẽ có c</w:t>
      </w:r>
      <w:r>
        <w:rPr>
          <w:rFonts w:ascii="Times New Roman" w:hAnsi="Times New Roman" w:eastAsia="Times New Roman" w:cs="Times New Roman"/>
          <w:color w:val="000000"/>
          <w:sz w:val="24"/>
        </w:rPr>
        <w:t xml:space="preserve">ơ hội bứt phá. Ngược lại, các doanh nghiệp yếu về pháp lý, phụ thuộc nhiều vào đòn bẩy tài chính hoặc chạy theo đầu cơ ngắn hạn có thể tiếp tục bị đào thải.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phải gìn giữ.</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Thị trường k</w:t>
      </w:r>
      <w:r>
        <w:rPr>
          <w:rFonts w:ascii="Times New Roman" w:hAnsi="Times New Roman" w:eastAsia="Times New Roman" w:cs="Times New Roman"/>
          <w:color w:val="000000"/>
          <w:sz w:val="24"/>
        </w:rPr>
        <w:t xml:space="preserve">hông còn chỗ cho những cơn sốt ảo, mà hướng tới tăng trưởng ổn định, gắn với chất lượng đô thị và chất lượng sống.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Với những nền tảng đó, bất động sản Hà Nội trong năm 2026 được kỳ vọng sẽ bước vào chu kỳ phát triển mới – bền vững hơn, minh bạch hơn và đóng góp hiệu quả hơn cho tăng trưởng kinh tế – xã hội của Thủ đô.</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rPr/>
      </w:pPr>
      <w:r>
        <w:rPr>
          <w:rFonts w:ascii="Times New Roman" w:hAnsi="Times New Roman" w:eastAsia="Times New Roman" w:cs="Times New Roman"/>
          <w:i/>
          <w:color w:val="000000"/>
          <w:sz w:val="24"/>
        </w:rPr>
        <w:t xml:space="preserve">(Nguồn tham khảo: https://thanglong.chinhphu.vn/buc-tranh-thi-truong-bat-dong-san-ha-noi-nam-2026-ha-tang-dan-dat-thi-truong-buoc-vao-chu-ky-tang-truong-moi-103260101181315972.htm)</w:t>
      </w: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1"/>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905"/>
        <w:gridCol w:w="1905"/>
        <w:gridCol w:w="1905"/>
        <w:gridCol w:w="1905"/>
        <w:gridCol w:w="1905"/>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76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G</w:t>
            </w:r>
            <w:r>
              <w:rPr>
                <w:rFonts w:ascii="Times New Roman" w:hAnsi="Times New Roman" w:eastAsia="Times New Roman" w:cs="Times New Roman"/>
                <w:b/>
                <w:color w:val="000000"/>
                <w:sz w:val="24"/>
              </w:rPr>
              <w:t xml:space="preserve">iá trị quyền sở hữu căn hộ chung cư số L05-205, Toà nhà L05-The Link cụm nhà cao tầng tổng hợp chung cư CT1 tại ô đất IC32-Khu đô thị Nam Thăng Long, phường Đông Ngạc, quận Bắc Từ Liêm, Thành phố Hà Nội (Nay là phường Đông Ngạc, thành phố Hà Nội) theo Giấy</w:t>
            </w:r>
            <w:r>
              <w:rPr>
                <w:rFonts w:ascii="Times New Roman" w:hAnsi="Times New Roman" w:eastAsia="Times New Roman" w:cs="Times New Roman"/>
                <w:b/>
                <w:color w:val="000000"/>
                <w:sz w:val="24"/>
              </w:rPr>
              <w:t xml:space="preserve"> chứng nhận quyền sử dụng đất quyền sở hữu nhà ở và tài sản gắn liền với đất số DI 247184 số vào sổ cấp GCN CS 00208 do Sở Tài nguyên và Môi trường thành phố Hà Nội cấp ngày 04/01/2025 cho bà Đặng Thị Hiền và ông Nguyễn Đức Minh.</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762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57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both"/>
              <w:rPr/>
            </w:pPr>
            <w:r>
              <w:rPr>
                <w:rFonts w:ascii="Times New Roman" w:hAnsi="Times New Roman" w:eastAsia="Times New Roman" w:cs="Times New Roman"/>
                <w:color w:val="000000"/>
                <w:sz w:val="24"/>
              </w:rPr>
              <w:t xml:space="preserve">Cụm nhà cao tầng tổ hợp chung cư CT1 tại ô đất IC32, Khu đô thị Nam Thăng Long, phường Đông Ngạc, quận Bắc Từ Liêm, Thành phố Hà Nội </w:t>
            </w:r>
            <w:r>
              <w:rPr>
                <w:rFonts w:ascii="Times New Roman" w:hAnsi="Times New Roman" w:eastAsia="Times New Roman" w:cs="Times New Roman"/>
                <w:i/>
                <w:color w:val="000000"/>
                <w:sz w:val="24"/>
              </w:rPr>
              <w:t xml:space="preserve">(Nay là phường Đông Ngạc, Hà Nội)</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1290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Sử dụng chung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Lâu dài</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Nguồn gốc sử dụng:</w:t>
            </w:r>
            <w:r/>
          </w:p>
        </w:tc>
        <w:tc>
          <w:tcPr>
            <w:gridSpan w:val="3"/>
            <w:tcBorders>
              <w:bottom w:val="single" w:color="000000" w:sz="8" w:space="0"/>
              <w:right w:val="single" w:color="000000" w:sz="8" w:space="0"/>
            </w:tcBorders>
            <w:tcMar>
              <w:left w:w="108" w:type="dxa"/>
              <w:top w:w="0" w:type="dxa"/>
              <w:right w:w="108" w:type="dxa"/>
              <w:bottom w:w="0" w:type="dxa"/>
            </w:tcMar>
            <w:tcW w:w="571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Nhà nước giao đất có thu tiền sử dụng đất</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Ghi chú:</w:t>
            </w:r>
            <w:r/>
          </w:p>
        </w:tc>
        <w:tc>
          <w:tcPr>
            <w:gridSpan w:val="3"/>
            <w:tcBorders>
              <w:bottom w:val="single" w:color="000000" w:sz="8" w:space="0"/>
              <w:right w:val="single" w:color="000000" w:sz="8" w:space="0"/>
            </w:tcBorders>
            <w:tcMar>
              <w:left w:w="108" w:type="dxa"/>
              <w:top w:w="0" w:type="dxa"/>
              <w:right w:w="108" w:type="dxa"/>
              <w:bottom w:w="0" w:type="dxa"/>
            </w:tcMar>
            <w:tcW w:w="571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i/>
                <w:color w:val="000000"/>
                <w:sz w:val="24"/>
              </w:rPr>
              <w:t xml:space="preserve">- Số tờ, số thửa và sơ đồ sẽ được điều chỉnh khi có bản đồ địa chính chính quy</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762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Vị trí tài sản thẩm định trên bản đồ vệ tinh (21.063369, 105.796308)</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762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5570838" cy="315858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070873" name=""/>
                              <pic:cNvPicPr>
                                <a:picLocks noChangeAspect="1"/>
                              </pic:cNvPicPr>
                              <pic:nvPr/>
                            </pic:nvPicPr>
                            <pic:blipFill rotWithShape="1">
                              <a:blip r:embed="rId17"/>
                              <a:stretch/>
                            </pic:blipFill>
                            <pic:spPr bwMode="auto">
                              <a:xfrm flipH="0" flipV="0">
                                <a:off x="0" y="0"/>
                                <a:ext cx="5570837" cy="31585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8.65pt;height:248.71pt;mso-wrap-distance-left:0.00pt;mso-wrap-distance-top:0.00pt;mso-wrap-distance-right:0.00pt;mso-wrap-distance-bottom:0.00pt;z-index:1;" stroked="false">
                      <v:imagedata r:id="rId17" o:title=""/>
                      <o:lock v:ext="edit" rotation="t"/>
                    </v:shape>
                  </w:pict>
                </mc:Fallback>
              </mc:AlternateConten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Địa chỉ thực tế:</w:t>
            </w:r>
            <w:r/>
          </w:p>
        </w:tc>
        <w:tc>
          <w:tcPr>
            <w:gridSpan w:val="3"/>
            <w:tcBorders>
              <w:bottom w:val="single" w:color="000000" w:sz="8" w:space="0"/>
              <w:right w:val="single" w:color="000000" w:sz="8" w:space="0"/>
            </w:tcBorders>
            <w:tcMar>
              <w:left w:w="108" w:type="dxa"/>
              <w:top w:w="0" w:type="dxa"/>
              <w:right w:w="108" w:type="dxa"/>
              <w:bottom w:w="0" w:type="dxa"/>
            </w:tcMar>
            <w:tcW w:w="57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both"/>
              <w:rPr/>
            </w:pPr>
            <w:r>
              <w:rPr>
                <w:rFonts w:ascii="Times New Roman" w:hAnsi="Times New Roman" w:eastAsia="Times New Roman" w:cs="Times New Roman"/>
                <w:color w:val="000000"/>
                <w:sz w:val="24"/>
              </w:rPr>
              <w:t xml:space="preserve">Cụm nhà cao tầng tổ hợp chung cư CT1 tại ô đất IC32, Khu đô thị Nam Thăng Long, phường Đông Ngạc, quận Bắc Từ Liêm, Thành phố Hà Nội </w:t>
            </w:r>
            <w:r>
              <w:rPr>
                <w:rFonts w:ascii="Times New Roman" w:hAnsi="Times New Roman" w:eastAsia="Times New Roman" w:cs="Times New Roman"/>
                <w:i/>
                <w:color w:val="000000"/>
                <w:sz w:val="24"/>
              </w:rPr>
              <w:t xml:space="preserve">(Nay là phường Đông Ngạc, Hà Nội)</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Đường tiếp giáp:</w:t>
            </w:r>
            <w:r/>
          </w:p>
        </w:tc>
        <w:tc>
          <w:tcPr>
            <w:gridSpan w:val="3"/>
            <w:tcBorders>
              <w:bottom w:val="single" w:color="000000" w:sz="8" w:space="0"/>
              <w:right w:val="single" w:color="000000" w:sz="8" w:space="0"/>
            </w:tcBorders>
            <w:tcMar>
              <w:left w:w="108" w:type="dxa"/>
              <w:top w:w="0" w:type="dxa"/>
              <w:right w:w="108" w:type="dxa"/>
              <w:bottom w:w="0" w:type="dxa"/>
            </w:tcMar>
            <w:tcW w:w="571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Đường nội bộ cách đường Nguyễn Hoàng Tôn khoảng 800m</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762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Thông tin về căn hộ</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Loại nhà ở:</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Căn hộ chung cư số L05-205</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Vị trí căn hộ:</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Căn góc trong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sàn (m²):</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195,6</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thức sở hữu:</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Sở hữu riêng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Tòa nhà:</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Toà L05 – The Link</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Vị trí tầng: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Tầng 30/35</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Hướng cửa:</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Nam</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Hướng ban công: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Bắc – view vườn hoa</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Cấu trúc:</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 ngủ, 2 vệ sinh, khách, bếp</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Nội thất:</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Nội thất cơ bản.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762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571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Cấp điện, cấp nước sạch, mạng internet,… hoàn thiện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571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Môi trường trong lành, an ninh đảm bảo, dân trí tốt</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Ổn định</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Thích hợp để ở</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Tốt</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Hiện trạng:</w:t>
            </w:r>
            <w:r/>
          </w:p>
        </w:tc>
        <w:tc>
          <w:tcPr>
            <w:gridSpan w:val="3"/>
            <w:tcBorders>
              <w:bottom w:val="single" w:color="000000" w:sz="8" w:space="0"/>
              <w:right w:val="single" w:color="000000" w:sz="8" w:space="0"/>
            </w:tcBorders>
            <w:tcMar>
              <w:left w:w="108" w:type="dxa"/>
              <w:top w:w="0" w:type="dxa"/>
              <w:right w:w="108" w:type="dxa"/>
              <w:bottom w:w="0" w:type="dxa"/>
            </w:tcMar>
            <w:tcW w:w="571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Đang sử dụng bình thường.</w:t>
            </w: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1"/>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Cụm nhà cao tầng tổ hợp chung cư CT1 tại ô đất 1C32, Khu đô thị Nam Thăng Long, phường Đông Ngạc, quận Bắc Từ Liêm, Thành phố Hà Nội ✔</w:t>
            </w:r>
            <w:r/>
          </w:p>
        </w:tc>
        <w:tc>
          <w:tcPr>
            <w:tcBorders/>
            <w:tcW w:w="1605" w:type="dxa"/>
            <w:vAlign w:val="center"/>
            <w:textDirection w:val="lrTb"/>
            <w:noWrap w:val="false"/>
          </w:tcPr>
          <w:p>
            <w:pPr>
              <w:pBdr/>
              <w:spacing/>
              <w:ind/>
              <w:jc w:val="center"/>
              <w:rPr/>
            </w:pPr>
            <w:r>
              <w:t xml:space="preserve">Cụm nhà cao tầng tổ hợp chung cư CT1 tại ô đất 1C32, Khu đô thị Nam Thăng Long, phường Đông Ngạc, quận Bắc Từ Liêm, Thành phố Hà Nội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Phường, Quận Bắc Từ Liêm, Thành phố Hà Nội</w:t>
            </w:r>
            <w:r/>
          </w:p>
        </w:tc>
        <w:tc>
          <w:tcPr>
            <w:tcBorders/>
            <w:tcW w:w="1605" w:type="dxa"/>
            <w:vAlign w:val="center"/>
            <w:textDirection w:val="lrTb"/>
            <w:noWrap w:val="false"/>
          </w:tcPr>
          <w:p>
            <w:pPr>
              <w:pBdr/>
              <w:spacing/>
              <w:ind/>
              <w:jc w:val="center"/>
              <w:rPr/>
            </w:pPr>
            <w:r>
              <w:t xml:space="preserve">Phường Đông Ngạc, Thành phố Hà Nội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Sau sáp nhập</w:t>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đô thị, khu phân lô/tái định cư ✔</w:t>
            </w:r>
            <w:r/>
          </w:p>
        </w:tc>
        <w:tc>
          <w:tcPr>
            <w:tcBorders/>
            <w:tcW w:w="1605" w:type="dxa"/>
            <w:vAlign w:val="center"/>
            <w:textDirection w:val="lrTb"/>
            <w:noWrap w:val="false"/>
          </w:tcPr>
          <w:p>
            <w:pPr>
              <w:pBdr/>
              <w:spacing/>
              <w:ind/>
              <w:jc w:val="center"/>
              <w:rPr/>
            </w:pPr>
            <w:r>
              <w:t xml:space="preserve">Hạ tầng khu đô thị, khu phân lô/tái định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 ✔</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105,6</w:t>
            </w:r>
            <w:r/>
          </w:p>
        </w:tc>
        <w:tc>
          <w:tcPr>
            <w:tcBorders/>
            <w:tcW w:w="1605" w:type="dxa"/>
            <w:vAlign w:val="center"/>
            <w:textDirection w:val="lrTb"/>
            <w:noWrap w:val="false"/>
          </w:tcPr>
          <w:p>
            <w:pPr>
              <w:pBdr/>
              <w:spacing/>
              <w:ind/>
              <w:jc w:val="center"/>
              <w:rPr/>
            </w:pPr>
            <w:r>
              <w:t xml:space="preserve">105,6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2 mặt ✔</w:t>
            </w:r>
            <w:r/>
          </w:p>
        </w:tc>
        <w:tc>
          <w:tcPr>
            <w:tcBorders/>
            <w:tcW w:w="1605" w:type="dxa"/>
            <w:vAlign w:val="center"/>
            <w:textDirection w:val="lrTb"/>
            <w:noWrap w:val="false"/>
          </w:tcPr>
          <w:p>
            <w:pPr>
              <w:pBdr/>
              <w:spacing/>
              <w:ind/>
              <w:jc w:val="center"/>
              <w:rPr/>
            </w:pPr>
            <w:r>
              <w:t xml:space="preserve">2 mặt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Hướng ban công</w:t>
            </w:r>
            <w:r/>
          </w:p>
        </w:tc>
        <w:tc>
          <w:tcPr>
            <w:tcBorders/>
            <w:tcW w:w="1560" w:type="dxa"/>
            <w:vAlign w:val="center"/>
            <w:textDirection w:val="lrTb"/>
            <w:noWrap w:val="false"/>
          </w:tcPr>
          <w:p>
            <w:pPr>
              <w:pBdr/>
              <w:spacing/>
              <w:ind/>
              <w:jc w:val="center"/>
              <w:rPr/>
            </w:pPr>
            <w:r>
              <w:t xml:space="preserve">Đông Bắc ✔</w:t>
            </w:r>
            <w:r/>
          </w:p>
        </w:tc>
        <w:tc>
          <w:tcPr>
            <w:tcBorders/>
            <w:tcW w:w="1605" w:type="dxa"/>
            <w:vAlign w:val="center"/>
            <w:textDirection w:val="lrTb"/>
            <w:noWrap w:val="false"/>
          </w:tcPr>
          <w:p>
            <w:pPr>
              <w:pBdr/>
              <w:spacing/>
              <w:ind/>
              <w:jc w:val="center"/>
              <w:rPr/>
            </w:pPr>
            <w:r>
              <w:t xml:space="preserve">Đông Bắc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t xml:space="preserve">Hồ sơ pháp lý khách hàng cung cấp tổ thẩm định chỉ nhận được 3 trang của GCN số </w:t>
      </w:r>
      <w:r>
        <w:rPr>
          <w:rFonts w:ascii="Times New Roman" w:hAnsi="Times New Roman" w:eastAsia="Times New Roman" w:cs="Times New Roman"/>
          <w:color w:val="000000"/>
          <w:sz w:val="24"/>
        </w:rPr>
        <w:t xml:space="preserve">DI 247184, khách hàng không cung cấp các trang còn lại của GCN. Do dó, tổ thẩm định xác định giá trị tài sản theo giả định Quyền sở hữu căn hộ chung cư được cấp theo GCN số </w:t>
      </w:r>
      <w:r>
        <w:rPr>
          <w:rFonts w:ascii="Times New Roman" w:hAnsi="Times New Roman" w:eastAsia="Times New Roman" w:cs="Times New Roman"/>
          <w:color w:val="000000"/>
          <w:sz w:val="24"/>
        </w:rPr>
        <w:t xml:space="preserve">DI 247184 </w:t>
      </w:r>
      <w:r>
        <w:rPr>
          <w:spacing w:val="-2"/>
          <w:highlight w:val="none"/>
          <w:lang w:val="pt-BR" w:bidi="pt-BR"/>
        </w:rPr>
        <w:t xml:space="preserve">thuộc sở hữu của </w:t>
      </w:r>
      <w:r>
        <w:rPr>
          <w:rFonts w:ascii="Times New Roman" w:hAnsi="Times New Roman" w:eastAsia="Times New Roman" w:cs="Times New Roman"/>
          <w:color w:val="000000"/>
          <w:sz w:val="24"/>
        </w:rPr>
        <w:t xml:space="preserve">bà Đặng Thị Hiền và ông Nguyễn Đức Minh</w:t>
      </w:r>
      <w:r>
        <w:rPr>
          <w:spacing w:val="-2"/>
          <w:highlight w:val="none"/>
          <w:lang w:val="pt-BR" w:bidi="pt-BR"/>
        </w:rPr>
        <w:t xml:space="preserve"> không có tranh chấp và không có đính chính, thay đổi nào khác tại các trang còn lại của GCN. Mọi trách nhiệm phát sinh do có sự thay đổi nội dung tại các trang GCN do khách hàng chưa cung cấp không thuộc phạm vi trách nhiệm của chúng tôi.</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Căn hộ chung cư toà The Link, cụm nhà ở cao tầng tổng hợp chung cư CT1 tại ô đất IC32, Khu đô thị Nam Thăng Long, phường Đông Ngạc,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Căn hộ chung cư toà The Link, </w:t>
            </w:r>
            <w:r>
              <w:rPr>
                <w:color w:val="000000" w:themeColor="text1"/>
                <w:sz w:val="22"/>
                <w:szCs w:val="22"/>
              </w:rPr>
              <w:t xml:space="preserve">cụm nhà ở cao tầng tổng hợp chung cư CT1 tại ô đất IC32, Khu đô thị Nam Thăng Long, phường Đông Ngạc,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CHCC tầng 7 toà L5, The Link, </w:t>
            </w:r>
            <w:r>
              <w:rPr>
                <w:color w:val="000000" w:themeColor="text1"/>
                <w:sz w:val="22"/>
                <w:szCs w:val="22"/>
              </w:rPr>
              <w:t xml:space="preserve">cụm nhà ở cao tầng tổng hợp chung cư CT1 tại ô đất IC32, Khu đô thị Nam Thăng Long, phường Đông Ngạc,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CHCC tầng 21 toà L4, The Link, </w:t>
            </w:r>
            <w:r>
              <w:rPr>
                <w:color w:val="000000" w:themeColor="text1"/>
                <w:sz w:val="22"/>
                <w:szCs w:val="22"/>
              </w:rPr>
              <w:t xml:space="preserve">cụm nhà ở cao tầng tổng hợp chung cư CT1 tại ô đất IC32, Khu đô thị Nam Thăng Long, phường Đông Ngạc, Thành phố Hà Nội</w:t>
            </w:r>
            <w:r>
              <w:rPr>
                <w:sz w:val="22"/>
                <w:szCs w:val="22"/>
              </w:rPr>
            </w:r>
            <w:r>
              <w:rPr>
                <w:sz w:val="22"/>
                <w:szCs w:val="22"/>
              </w:rPr>
            </w:r>
          </w:p>
        </w:tc>
      </w:tr>
      <w:tr>
        <w:trPr>
          <w:trHeight w:val="148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https://www.facebook.com/groups/batdongsanciputra/posts/2096779807740830/</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https://www.facebook.com/groups/batdongsanciputra/posts/2100728207345990/</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https://www.facebook.com/groups/batdongsanciputra/posts/2100728207345990/</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0988 613 960</w:t>
            </w:r>
            <w:r>
              <w:rPr>
                <w:sz w:val="22"/>
                <w:szCs w:val="22"/>
              </w:rPr>
              <w:t xml:space="preserve"> </w:t>
            </w:r>
            <w:r>
              <w:rPr>
                <w:sz w:val="22"/>
                <w:szCs w:val="22"/>
              </w:rPr>
              <w:b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0916252992</w:t>
            </w:r>
            <w:r>
              <w:rPr>
                <w:sz w:val="22"/>
                <w:szCs w:val="22"/>
              </w:rPr>
              <w:br/>
            </w:r>
            <w:r>
              <w:rPr>
                <w:sz w:val="22"/>
                <w:szCs w:val="22"/>
              </w:rPr>
              <w:t xml:space="preserve">(</w:t>
            </w:r>
            <w:r>
              <w:rPr>
                <w:sz w:val="22"/>
                <w:szCs w:val="22"/>
              </w:rPr>
              <w:t xml:space="preserve">Vũ</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0916252992</w:t>
            </w:r>
            <w:r>
              <w:rPr>
                <w:sz w:val="22"/>
                <w:szCs w:val="22"/>
              </w:rPr>
              <w:br/>
            </w:r>
            <w:r>
              <w:rPr>
                <w:sz w:val="22"/>
                <w:szCs w:val="22"/>
              </w:rPr>
              <w:t xml:space="preserve">(</w:t>
            </w:r>
            <w:r>
              <w:rPr>
                <w:sz w:val="22"/>
                <w:szCs w:val="22"/>
              </w:rPr>
              <w:t xml:space="preserve">Vũ</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Căn hộ chung cư toà The Link, cụm nhà ở cao tầng tổng hợp chung cư CT1 tại ô đất IC32, Khu đô thị Nam Thăng Long, phường Đông Ngạc,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Căn hộ chung cư toà The Link, </w:t>
            </w:r>
            <w:r>
              <w:rPr>
                <w:color w:val="000000" w:themeColor="text1"/>
                <w:sz w:val="22"/>
                <w:szCs w:val="22"/>
              </w:rPr>
              <w:t xml:space="preserve">cụm nhà ở cao tầng tổng hợp chung cư CT1 tại ô đất IC32, Khu đô thị Nam Thăng Long, phường Đông Ngạc,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CHCC tầng 7 toà L5, The Link, </w:t>
            </w:r>
            <w:r>
              <w:rPr>
                <w:color w:val="000000" w:themeColor="text1"/>
                <w:sz w:val="22"/>
                <w:szCs w:val="22"/>
              </w:rPr>
              <w:t xml:space="preserve">cụm nhà ở cao tầng tổng hợp chung cư CT1 tại ô đất IC32, Khu đô thị Nam Thăng Long, phường Đông Ngạc,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CHCC tầng 21 toà L4, The Link, </w:t>
            </w:r>
            <w:r>
              <w:rPr>
                <w:color w:val="000000" w:themeColor="text1"/>
                <w:sz w:val="22"/>
                <w:szCs w:val="22"/>
              </w:rPr>
              <w:t xml:space="preserve">cụm nhà ở cao tầng tổng hợp chung cư CT1 tại ô đất IC32, Khu đô thị Nam Thăng Long, phường Đông Ngạc, Thành phố Hà Nội</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Diện tích</w:t>
            </w:r>
            <w:r>
              <w:rPr>
                <w:color w:val="000000" w:themeColor="text1"/>
                <w:sz w:val="22"/>
                <w:szCs w:val="22"/>
                <w:highlight w:val="white"/>
              </w:rPr>
              <w:t xml:space="preserve"> sàn</w:t>
            </w:r>
            <w:r>
              <w:rPr>
                <w:color w:val="000000" w:themeColor="text1"/>
                <w:sz w:val="22"/>
                <w:szCs w:val="22"/>
                <w:highlight w:val="white"/>
              </w:rPr>
              <w:t xml:space="preserve"> (m²)</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105,6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Tầng cao</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Tầng 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Tầng trung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Tầng 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Tầng 21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Vị trí căn</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Căn góc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Căn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Căn góc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Căn góc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t xml:space="preserve">Cảnh quan</w:t>
            </w: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công viên, vườn hoa, quảng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công viên, vườn hoa, quảng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công viên, vườn hoa, quảng trường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highlight w:val="white"/>
              </w:rPr>
            </w:pPr>
            <w:r>
              <w:rPr>
                <w:color w:val="000000" w:themeColor="text1"/>
                <w:sz w:val="22"/>
                <w:szCs w:val="22"/>
                <w:highlight w:val="none"/>
              </w:rPr>
              <w:t xml:space="preserve">Nội thất</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
                <w:bCs/>
                <w:color w:val="000000"/>
                <w:sz w:val="22"/>
                <w:szCs w:val="22"/>
              </w:rPr>
            </w:pPr>
            <w:r>
              <w:rPr>
                <w:color w:val="000000" w:themeColor="text1"/>
                <w:sz w:val="22"/>
                <w:szCs w:val="22"/>
              </w:rPr>
              <w:t xml:space="preserve">Nội thất cơ bản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Nội thất đầy đủ (</w:t>
            </w:r>
            <w:r>
              <w:rPr>
                <w:color w:val="000000" w:themeColor="text1"/>
                <w:sz w:val="22"/>
                <w:szCs w:val="22"/>
              </w:rPr>
              <w:t xml:space="preserve">Chưa </w:t>
            </w:r>
            <w:r>
              <w:rPr>
                <w:color w:val="000000" w:themeColor="text1"/>
                <w:sz w:val="22"/>
                <w:szCs w:val="22"/>
              </w:rPr>
              <w:t xml:space="preserve">có thiết bị điện tử)</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Nội thất đầy đủ (</w:t>
            </w:r>
            <w:r>
              <w:rPr>
                <w:color w:val="000000" w:themeColor="text1"/>
                <w:sz w:val="22"/>
                <w:szCs w:val="22"/>
              </w:rPr>
              <w:t xml:space="preserve">Chưa </w:t>
            </w:r>
            <w:r>
              <w:rPr>
                <w:color w:val="000000" w:themeColor="text1"/>
                <w:sz w:val="22"/>
                <w:szCs w:val="22"/>
              </w:rPr>
              <w:t xml:space="preserve">có thiết bị điện tử)</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Nội thất đầy đủ (</w:t>
            </w:r>
            <w:r>
              <w:rPr>
                <w:color w:val="000000" w:themeColor="text1"/>
                <w:sz w:val="22"/>
                <w:szCs w:val="22"/>
              </w:rPr>
              <w:t xml:space="preserve">Chưa </w:t>
            </w:r>
            <w:r>
              <w:rPr>
                <w:color w:val="000000" w:themeColor="text1"/>
                <w:sz w:val="22"/>
                <w:szCs w:val="22"/>
              </w:rPr>
              <w:t xml:space="preserve">có thiết bị điện tử)</w:t>
            </w:r>
            <w:r>
              <w:rPr>
                <w:color w:val="000000" w:themeColor="text1"/>
                <w:sz w:val="22"/>
                <w:szCs w:val="22"/>
                <w14:ligatures w14:val="none"/>
              </w:rPr>
            </w:r>
            <w:r>
              <w:rPr>
                <w:color w:val="000000" w:themeColor="text1"/>
                <w:sz w:val="22"/>
                <w:szCs w:val="22"/>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6.300.000.000</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13.000.000.000</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12.500.000.000</w:t>
            </w:r>
            <w:r>
              <w:rPr>
                <w:b w:val="0"/>
                <w:bCs w:val="0"/>
                <w:color w:val="000000"/>
                <w:sz w:val="22"/>
                <w:szCs w:val="22"/>
              </w:rPr>
            </w:r>
            <w:r>
              <w:rPr>
                <w:b w:val="0"/>
                <w:bCs w:val="0"/>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6.174.000.000</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12.740.000.000</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12.250.000.000</w:t>
            </w:r>
            <w:r>
              <w:rPr>
                <w:b w:val="0"/>
                <w:bCs w:val="0"/>
                <w:color w:val="000000"/>
                <w:sz w:val="22"/>
                <w:szCs w:val="22"/>
              </w:rPr>
            </w:r>
            <w:r>
              <w:rPr>
                <w:b w:val="0"/>
                <w:bCs w:val="0"/>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b/>
                <w:bCs/>
              </w:rPr>
            </w:pPr>
            <w:r>
              <w:rPr>
                <w:rFonts w:ascii="Times New Roman" w:hAnsi="Times New Roman" w:eastAsia="Times New Roman" w:cs="Times New Roman"/>
                <w:b/>
                <w:bCs/>
                <w:color w:val="000000"/>
                <w:sz w:val="22"/>
              </w:rPr>
              <w:t xml:space="preserve">Giá thương lượng/bán (đồng)</w:t>
            </w:r>
            <w:r>
              <w:rPr>
                <w:b/>
                <w:bCs/>
              </w:rPr>
            </w:r>
            <w:r>
              <w:rPr>
                <w:b/>
                <w:bCs/>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6.174.000.000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12.740.000.000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12.250.000.000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b/>
                <w:bCs/>
              </w:rPr>
            </w:pPr>
            <w:r>
              <w:rPr>
                <w:rFonts w:ascii="Times New Roman" w:hAnsi="Times New Roman" w:eastAsia="Times New Roman" w:cs="Times New Roman"/>
                <w:b/>
                <w:bCs/>
                <w:color w:val="000000"/>
                <w:sz w:val="22"/>
              </w:rPr>
              <w:t xml:space="preserve">Đơn giá QSH căn hộ (đồng/m2)</w:t>
            </w:r>
            <w:r>
              <w:rPr>
                <w:b/>
                <w:bCs/>
              </w:rPr>
            </w:r>
            <w:r>
              <w:rPr>
                <w:b/>
                <w:bCs/>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106.448.276</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111.754.386</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107.456.140</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căn hộ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Nội thất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636"/>
        <w:gridCol w:w="1701"/>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636"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BĐS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6.174.000.000</w:t>
            </w:r>
            <w:r>
              <w:rPr>
                <w:color w:val="000000"/>
                <w:sz w:val="20"/>
                <w:szCs w:val="20"/>
              </w:rPr>
            </w:r>
            <w:r>
              <w:rPr>
                <w:color w:val="000000"/>
                <w:sz w:val="20"/>
                <w:szCs w:val="20"/>
              </w:rPr>
            </w:r>
          </w:p>
        </w:tc>
        <w:tc>
          <w:tcPr>
            <w:shd w:val="clear" w:color="000000" w:fill="ffffff"/>
            <w:tcBorders/>
            <w:tcW w:w="1636" w:type="dxa"/>
            <w:vAlign w:val="center"/>
            <w:textDirection w:val="lrTb"/>
            <w:noWrap w:val="false"/>
          </w:tcPr>
          <w:p>
            <w:pPr>
              <w:pBdr/>
              <w:spacing/>
              <w:ind/>
              <w:jc w:val="center"/>
              <w:rPr>
                <w:color w:val="000000"/>
                <w:sz w:val="20"/>
                <w:szCs w:val="20"/>
              </w:rPr>
            </w:pPr>
            <w:r>
              <w:rPr>
                <w:color w:val="000000" w:themeColor="text1"/>
                <w:sz w:val="22"/>
                <w:szCs w:val="22"/>
              </w:rPr>
              <w:t xml:space="preserve">12.740.000.000</w:t>
            </w:r>
            <w:r>
              <w:rPr>
                <w:color w:val="000000"/>
                <w:sz w:val="20"/>
                <w:szCs w:val="20"/>
              </w:rPr>
            </w:r>
            <w:r>
              <w:rPr>
                <w:color w:val="000000"/>
                <w:sz w:val="20"/>
                <w:szCs w:val="20"/>
              </w:rPr>
            </w:r>
          </w:p>
        </w:tc>
        <w:tc>
          <w:tcPr>
            <w:shd w:val="clear" w:color="000000" w:fill="ffffff"/>
            <w:tcBorders/>
            <w:tcW w:w="1701" w:type="dxa"/>
            <w:vAlign w:val="center"/>
            <w:textDirection w:val="lrTb"/>
            <w:noWrap w:val="false"/>
          </w:tcPr>
          <w:p>
            <w:pPr>
              <w:pBdr/>
              <w:spacing/>
              <w:ind/>
              <w:jc w:val="center"/>
              <w:rPr>
                <w:color w:val="000000"/>
                <w:sz w:val="20"/>
                <w:szCs w:val="20"/>
              </w:rPr>
            </w:pPr>
            <w:r>
              <w:rPr>
                <w:color w:val="000000" w:themeColor="text1"/>
                <w:sz w:val="22"/>
                <w:szCs w:val="22"/>
              </w:rPr>
              <w:t xml:space="preserve">12.250.000.000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106.448.276</w:t>
            </w:r>
            <w:r>
              <w:rPr>
                <w:color w:val="000000"/>
                <w:sz w:val="22"/>
                <w:szCs w:val="22"/>
              </w:rPr>
            </w:r>
            <w:r>
              <w:rPr>
                <w:color w:val="000000"/>
                <w:sz w:val="22"/>
                <w:szCs w:val="22"/>
              </w:rPr>
            </w:r>
          </w:p>
        </w:tc>
        <w:tc>
          <w:tcPr>
            <w:shd w:val="clear" w:color="000000" w:fill="ffffff"/>
            <w:tcBorders/>
            <w:tcW w:w="1636" w:type="dxa"/>
            <w:vAlign w:val="center"/>
            <w:textDirection w:val="lrTb"/>
            <w:noWrap w:val="false"/>
          </w:tcPr>
          <w:p>
            <w:pPr>
              <w:pBdr/>
              <w:spacing/>
              <w:ind/>
              <w:jc w:val="center"/>
              <w:rPr>
                <w:color w:val="000000"/>
                <w:sz w:val="22"/>
                <w:szCs w:val="22"/>
              </w:rPr>
            </w:pPr>
            <w:r>
              <w:rPr>
                <w:color w:val="000000" w:themeColor="text1"/>
                <w:sz w:val="22"/>
                <w:szCs w:val="22"/>
              </w:rPr>
              <w:t xml:space="preserve">111.754.386</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107.456.140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36"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01"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636"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3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106.448.276</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111.754.386</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107.456.140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 toà The Link, cụm nhà ở cao tầng tổng hợp chung cư CT1 tại ô đất IC32, Khu đô thị Nam Thăng Long, phường Đông Ngạc, Thành phố Hà Nội</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 toà The Link, cụm nhà ở cao tầng tổng hợp chung cư CT1 tại ô đất IC32, Khu đô thị Nam Thăng Long, phường Đông Ngạc, Thành phố Hà Nội</w:t>
            </w:r>
            <w:r/>
          </w:p>
        </w:tc>
        <w:tc>
          <w:tcPr>
            <w:shd w:val="clear" w:color="000000" w:fill="ffffff"/>
            <w:tcBorders/>
            <w:tcW w:w="16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CHCC tầng 7 toà L5, The Link, cụm nhà ở cao tầng tổng hợp chung cư CT1 tại ô đất IC32, Khu đô thị Nam Thăng Long, phường Đông Ngạc, Thành phố Hà Nội</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CHCC tầng 21 toà L4, The Link, cụm nhà ở cao tầng tổng hợp chung cư CT1 tại ô đất IC32, Khu đô thị Nam Thăng Long, phường Đông Ngạc, Thành phố Hà Nội</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3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106.448.276</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111.754.386</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107.456.140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636"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3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106.448.276</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111.754.386</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107.456.140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636"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3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106.448.276</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111.754.386</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107.456.140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636"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3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106.448.276</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111.754.386</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107.456.140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b/>
                <w:bCs/>
                <w:color w:val="000000"/>
                <w:sz w:val="22"/>
                <w:szCs w:val="22"/>
              </w:rPr>
            </w:pPr>
            <w:r>
              <w:rPr>
                <w:b/>
                <w:bCs/>
                <w:color w:val="000000" w:themeColor="text1"/>
                <w:sz w:val="22"/>
                <w:szCs w:val="22"/>
              </w:rPr>
              <w:t xml:space="preserve">Diện tích căn hộ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64" w:lineRule="auto"/>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105,6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58</w:t>
            </w:r>
            <w:r>
              <w:rPr>
                <w:b/>
                <w:bCs/>
                <w:color w:val="000000"/>
                <w:sz w:val="22"/>
                <w:szCs w:val="22"/>
              </w:rPr>
            </w:r>
            <w:r>
              <w:rPr>
                <w:b/>
                <w:bCs/>
                <w:color w:val="000000"/>
                <w:sz w:val="22"/>
                <w:szCs w:val="22"/>
              </w:rPr>
            </w:r>
          </w:p>
        </w:tc>
        <w:tc>
          <w:tcPr>
            <w:shd w:val="clear" w:color="000000" w:fill="ffffff"/>
            <w:tcBorders/>
            <w:tcW w:w="1636"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114</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114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64"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636"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4"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-6.386.897</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4"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100.061.379</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111.754.386</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107.456.140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b/>
                <w:bCs/>
                <w:color w:val="000000"/>
                <w:sz w:val="22"/>
                <w:szCs w:val="22"/>
              </w:rPr>
            </w:pPr>
            <w:r>
              <w:rPr>
                <w:b/>
                <w:bCs/>
                <w:color w:val="000000" w:themeColor="text1"/>
                <w:sz w:val="22"/>
                <w:szCs w:val="22"/>
              </w:rPr>
              <w:t xml:space="preserve">Vị trí căn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64"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Căn góc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pPr>
            <w:r>
              <w:rPr>
                <w:color w:val="000000" w:themeColor="text1"/>
                <w:sz w:val="22"/>
                <w:szCs w:val="22"/>
              </w:rPr>
              <w:t xml:space="preserve">Căn thường</w:t>
            </w:r>
            <w:r/>
          </w:p>
        </w:tc>
        <w:tc>
          <w:tcPr>
            <w:shd w:val="clear" w:color="000000" w:fill="ffffff"/>
            <w:tcBorders/>
            <w:tcW w:w="1636" w:type="dxa"/>
            <w:vAlign w:val="center"/>
            <w:textDirection w:val="lrTb"/>
            <w:noWrap w:val="false"/>
          </w:tcPr>
          <w:p>
            <w:pPr>
              <w:pBdr/>
              <w:spacing w:line="264" w:lineRule="auto"/>
              <w:ind/>
              <w:jc w:val="center"/>
              <w:rPr/>
            </w:pPr>
            <w:r>
              <w:rPr>
                <w:color w:val="000000" w:themeColor="text1"/>
                <w:sz w:val="22"/>
                <w:szCs w:val="22"/>
              </w:rPr>
              <w:t xml:space="preserve">Căn góc</w:t>
            </w:r>
            <w:r>
              <w:rPr>
                <w:b/>
                <w:bCs/>
                <w:color w:val="000000"/>
                <w:sz w:val="22"/>
                <w:szCs w:val="22"/>
              </w:rPr>
            </w:r>
            <w:r/>
          </w:p>
        </w:tc>
        <w:tc>
          <w:tcPr>
            <w:shd w:val="clear" w:color="000000" w:fill="ffffff"/>
            <w:tcBorders/>
            <w:tcW w:w="1701" w:type="dxa"/>
            <w:vAlign w:val="center"/>
            <w:textDirection w:val="lrTb"/>
            <w:noWrap w:val="false"/>
          </w:tcPr>
          <w:p>
            <w:pPr>
              <w:pBdr/>
              <w:spacing w:line="264" w:lineRule="auto"/>
              <w:ind/>
              <w:jc w:val="center"/>
              <w:rPr/>
            </w:pPr>
            <w:r>
              <w:rPr>
                <w:color w:val="000000" w:themeColor="text1"/>
                <w:sz w:val="22"/>
                <w:szCs w:val="22"/>
              </w:rPr>
              <w:t xml:space="preserve">Căn góc</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64"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36"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4"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5.322.414</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4"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105.383.793</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111.754.386</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107.456.140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88" w:lineRule="auto"/>
              <w:ind/>
              <w:rPr>
                <w:b/>
                <w:bCs/>
                <w:color w:val="000000"/>
                <w:sz w:val="22"/>
                <w:szCs w:val="22"/>
              </w:rPr>
            </w:pPr>
            <w:r>
              <w:rPr>
                <w:b/>
                <w:bCs/>
                <w:color w:val="000000" w:themeColor="text1"/>
                <w:sz w:val="22"/>
                <w:szCs w:val="22"/>
              </w:rPr>
              <w:t xml:space="preserve">Cảnh quan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88"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88" w:lineRule="auto"/>
              <w:ind/>
              <w:jc w:val="center"/>
              <w:rPr>
                <w:b/>
                <w:bCs/>
                <w:color w:val="000000"/>
                <w:sz w:val="22"/>
                <w:szCs w:val="22"/>
              </w:rPr>
            </w:pPr>
            <w:r>
              <w:rPr>
                <w:color w:val="000000" w:themeColor="text1"/>
                <w:sz w:val="22"/>
                <w:szCs w:val="22"/>
              </w:rPr>
              <w:t xml:space="preserve">View công viên, vườn hoa, quảng trường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88" w:lineRule="auto"/>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636" w:type="dxa"/>
            <w:vAlign w:val="center"/>
            <w:textDirection w:val="lrTb"/>
            <w:noWrap w:val="false"/>
          </w:tcPr>
          <w:p>
            <w:pPr>
              <w:pBdr/>
              <w:spacing w:line="288" w:lineRule="auto"/>
              <w:ind/>
              <w:jc w:val="center"/>
              <w:rPr>
                <w:b/>
                <w:bCs/>
                <w:color w:val="000000"/>
                <w:sz w:val="22"/>
                <w:szCs w:val="22"/>
              </w:rPr>
            </w:pPr>
            <w:r>
              <w:rPr>
                <w:color w:val="000000" w:themeColor="text1"/>
                <w:sz w:val="22"/>
                <w:szCs w:val="22"/>
              </w:rPr>
              <w:t xml:space="preserve">View công viên, vườn hoa, quảng trường</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line="288" w:lineRule="auto"/>
              <w:ind/>
              <w:jc w:val="center"/>
              <w:rPr>
                <w:b/>
                <w:bCs/>
                <w:color w:val="000000"/>
                <w:sz w:val="22"/>
                <w:szCs w:val="22"/>
              </w:rPr>
            </w:pPr>
            <w:r>
              <w:rPr>
                <w:color w:val="000000" w:themeColor="text1"/>
                <w:sz w:val="22"/>
                <w:szCs w:val="22"/>
              </w:rPr>
              <w:t xml:space="preserve">View công viên, vườn hoa, quảng trường</w:t>
            </w:r>
            <w:r>
              <w:rPr>
                <w:b/>
                <w:bCs/>
                <w:color w:val="000000"/>
                <w:sz w:val="22"/>
                <w:szCs w:val="22"/>
              </w:rPr>
            </w:r>
            <w:r>
              <w:rPr>
                <w:b/>
                <w:bCs/>
                <w:color w:val="000000"/>
                <w:sz w:val="22"/>
                <w:szCs w:val="22"/>
              </w:rPr>
            </w:r>
          </w:p>
        </w:tc>
      </w:tr>
      <w:tr>
        <w:trPr>
          <w:trHeight w:val="439"/>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88"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88"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88"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36" w:type="dxa"/>
            <w:vAlign w:val="center"/>
            <w:textDirection w:val="lrTb"/>
            <w:noWrap w:val="false"/>
          </w:tcPr>
          <w:p>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409"/>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88"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88"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88" w:lineRule="auto"/>
              <w:ind/>
              <w:jc w:val="center"/>
              <w:rPr>
                <w:color w:val="000000"/>
                <w:sz w:val="22"/>
                <w:szCs w:val="22"/>
              </w:rPr>
            </w:pPr>
            <w:r>
              <w:rPr>
                <w:color w:val="000000" w:themeColor="text1"/>
                <w:sz w:val="22"/>
                <w:szCs w:val="22"/>
              </w:rPr>
              <w:t xml:space="preserve">5.322.414</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line="288"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88"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88"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88" w:lineRule="auto"/>
              <w:ind/>
              <w:jc w:val="center"/>
              <w:rPr>
                <w:color w:val="000000"/>
                <w:sz w:val="22"/>
                <w:szCs w:val="22"/>
              </w:rPr>
            </w:pPr>
            <w:r>
              <w:rPr>
                <w:color w:val="000000" w:themeColor="text1"/>
                <w:sz w:val="22"/>
                <w:szCs w:val="22"/>
              </w:rPr>
              <w:t xml:space="preserve">110.706.207</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line="288" w:lineRule="auto"/>
              <w:ind/>
              <w:jc w:val="center"/>
              <w:rPr>
                <w:color w:val="000000"/>
                <w:sz w:val="22"/>
                <w:szCs w:val="22"/>
              </w:rPr>
            </w:pPr>
            <w:r>
              <w:rPr>
                <w:color w:val="000000" w:themeColor="text1"/>
                <w:sz w:val="22"/>
                <w:szCs w:val="22"/>
              </w:rPr>
              <w:t xml:space="preserve">111.754.386</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line="288" w:lineRule="auto"/>
              <w:ind/>
              <w:jc w:val="center"/>
              <w:rPr>
                <w:color w:val="000000"/>
                <w:sz w:val="22"/>
                <w:szCs w:val="22"/>
              </w:rPr>
            </w:pPr>
            <w:r>
              <w:rPr>
                <w:color w:val="000000" w:themeColor="text1"/>
                <w:sz w:val="22"/>
                <w:szCs w:val="22"/>
              </w:rPr>
              <w:t xml:space="preserve">107.456.140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88" w:lineRule="auto"/>
              <w:ind/>
              <w:rPr>
                <w:b/>
                <w:bCs/>
                <w:color w:val="000000"/>
                <w:sz w:val="22"/>
                <w:szCs w:val="22"/>
              </w:rPr>
            </w:pPr>
            <w:r>
              <w:rPr>
                <w:b/>
                <w:bCs/>
                <w:color w:val="000000" w:themeColor="text1"/>
                <w:sz w:val="22"/>
                <w:szCs w:val="22"/>
              </w:rPr>
              <w:t xml:space="preserve">Nội thất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88"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88" w:lineRule="auto"/>
              <w:ind/>
              <w:jc w:val="center"/>
              <w:rPr>
                <w:b/>
                <w:bCs/>
                <w:color w:val="000000"/>
                <w:sz w:val="22"/>
                <w:szCs w:val="22"/>
              </w:rPr>
            </w:pPr>
            <w:r>
              <w:rPr>
                <w:color w:val="000000" w:themeColor="text1"/>
                <w:sz w:val="22"/>
                <w:szCs w:val="22"/>
              </w:rPr>
              <w:t xml:space="preserve">Nội thất cơ bản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88" w:lineRule="auto"/>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Nội thất đầy đủ (</w:t>
            </w:r>
            <w:r>
              <w:rPr>
                <w:color w:val="000000" w:themeColor="text1"/>
                <w:sz w:val="22"/>
                <w:szCs w:val="22"/>
              </w:rPr>
              <w:t xml:space="preserve">Chưa </w:t>
            </w:r>
            <w:r>
              <w:rPr>
                <w:color w:val="000000" w:themeColor="text1"/>
                <w:sz w:val="22"/>
                <w:szCs w:val="22"/>
              </w:rPr>
              <w:t xml:space="preserve">có thiết bị điện tử)</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636" w:type="dxa"/>
            <w:vAlign w:val="center"/>
            <w:textDirection w:val="lrTb"/>
            <w:noWrap w:val="false"/>
          </w:tcPr>
          <w:p>
            <w:pPr>
              <w:pBdr/>
              <w:spacing w:line="288" w:lineRule="auto"/>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Nội thất đầy đủ (</w:t>
            </w:r>
            <w:r>
              <w:rPr>
                <w:color w:val="000000" w:themeColor="text1"/>
                <w:sz w:val="22"/>
                <w:szCs w:val="22"/>
              </w:rPr>
              <w:t xml:space="preserve">Chưa </w:t>
            </w:r>
            <w:r>
              <w:rPr>
                <w:color w:val="000000" w:themeColor="text1"/>
                <w:sz w:val="22"/>
                <w:szCs w:val="22"/>
              </w:rPr>
              <w:t xml:space="preserve">có thiết bị điện tử)</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701" w:type="dxa"/>
            <w:vAlign w:val="center"/>
            <w:textDirection w:val="lrTb"/>
            <w:noWrap w:val="false"/>
          </w:tcPr>
          <w:p>
            <w:pPr>
              <w:pBdr/>
              <w:spacing w:line="288" w:lineRule="auto"/>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Nội thất đầy đủ (</w:t>
            </w:r>
            <w:r>
              <w:rPr>
                <w:color w:val="000000" w:themeColor="text1"/>
                <w:sz w:val="22"/>
                <w:szCs w:val="22"/>
              </w:rPr>
              <w:t xml:space="preserve">Chưa </w:t>
            </w:r>
            <w:r>
              <w:rPr>
                <w:color w:val="000000" w:themeColor="text1"/>
                <w:sz w:val="22"/>
                <w:szCs w:val="22"/>
              </w:rPr>
              <w:t xml:space="preserve">có thiết bị điện tử)</w:t>
            </w:r>
            <w:r>
              <w:rPr>
                <w:color w:val="000000" w:themeColor="text1"/>
                <w:sz w:val="22"/>
                <w:szCs w:val="22"/>
                <w14:ligatures w14:val="none"/>
              </w:rPr>
            </w:r>
            <w:r>
              <w:rPr>
                <w:color w:val="000000" w:themeColor="text1"/>
                <w:sz w:val="22"/>
                <w:szCs w:val="22"/>
                <w14:ligatures w14: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88"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88"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88"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36" w:type="dxa"/>
            <w:vAlign w:val="center"/>
            <w:textDirection w:val="lrTb"/>
            <w:noWrap w:val="false"/>
          </w:tcPr>
          <w:p>
            <w:pPr>
              <w:pBdr/>
              <w:spacing w:line="288"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line="288"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88"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88"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88" w:lineRule="auto"/>
              <w:ind/>
              <w:jc w:val="center"/>
              <w:rPr>
                <w:color w:val="000000"/>
                <w:sz w:val="22"/>
                <w:szCs w:val="22"/>
              </w:rPr>
            </w:pPr>
            <w:r>
              <w:rPr>
                <w:color w:val="000000" w:themeColor="text1"/>
                <w:sz w:val="22"/>
                <w:szCs w:val="22"/>
              </w:rPr>
              <w:t xml:space="preserve">-5.322.414</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line="288" w:lineRule="auto"/>
              <w:ind/>
              <w:jc w:val="center"/>
              <w:rPr>
                <w:color w:val="000000"/>
                <w:sz w:val="22"/>
                <w:szCs w:val="22"/>
              </w:rPr>
            </w:pPr>
            <w:r>
              <w:rPr>
                <w:color w:val="000000" w:themeColor="text1"/>
                <w:sz w:val="22"/>
                <w:szCs w:val="22"/>
              </w:rPr>
              <w:t xml:space="preserve">-5.587.719</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line="288" w:lineRule="auto"/>
              <w:ind/>
              <w:jc w:val="center"/>
              <w:rPr>
                <w:color w:val="000000"/>
                <w:sz w:val="22"/>
                <w:szCs w:val="22"/>
              </w:rPr>
            </w:pPr>
            <w:r>
              <w:rPr>
                <w:color w:val="000000" w:themeColor="text1"/>
                <w:sz w:val="22"/>
                <w:szCs w:val="22"/>
              </w:rPr>
              <w:t xml:space="preserve">-5.372.807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88"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88"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88" w:lineRule="auto"/>
              <w:ind/>
              <w:jc w:val="center"/>
              <w:rPr>
                <w:color w:val="000000"/>
                <w:sz w:val="22"/>
                <w:szCs w:val="22"/>
              </w:rPr>
            </w:pPr>
            <w:r>
              <w:rPr>
                <w:color w:val="000000" w:themeColor="text1"/>
                <w:sz w:val="22"/>
                <w:szCs w:val="22"/>
              </w:rPr>
              <w:t xml:space="preserve">105.383.793</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line="288" w:lineRule="auto"/>
              <w:ind/>
              <w:jc w:val="center"/>
              <w:rPr>
                <w:color w:val="000000"/>
                <w:sz w:val="22"/>
                <w:szCs w:val="22"/>
              </w:rPr>
            </w:pPr>
            <w:r>
              <w:rPr>
                <w:color w:val="000000" w:themeColor="text1"/>
                <w:sz w:val="22"/>
                <w:szCs w:val="22"/>
              </w:rPr>
              <w:t xml:space="preserve">106.166.667</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line="288" w:lineRule="auto"/>
              <w:ind/>
              <w:jc w:val="center"/>
              <w:rPr>
                <w:color w:val="000000"/>
                <w:sz w:val="22"/>
                <w:szCs w:val="22"/>
              </w:rPr>
            </w:pPr>
            <w:r>
              <w:rPr>
                <w:color w:val="000000" w:themeColor="text1"/>
                <w:sz w:val="22"/>
                <w:szCs w:val="22"/>
              </w:rPr>
              <w:t xml:space="preserve">102.083.333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line="288" w:lineRule="auto"/>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line="288" w:lineRule="auto"/>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88"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88" w:lineRule="auto"/>
              <w:ind/>
              <w:jc w:val="center"/>
              <w:rPr>
                <w:b/>
                <w:bCs/>
                <w:color w:val="000000"/>
                <w:sz w:val="22"/>
                <w:szCs w:val="22"/>
              </w:rPr>
            </w:pPr>
            <w:r>
              <w:rPr>
                <w:b/>
                <w:bCs/>
                <w:color w:val="000000" w:themeColor="text1"/>
                <w:sz w:val="22"/>
                <w:szCs w:val="22"/>
              </w:rPr>
              <w:t xml:space="preserve">105.383.793</w:t>
            </w:r>
            <w:r>
              <w:rPr>
                <w:b/>
                <w:bCs/>
                <w:color w:val="000000"/>
                <w:sz w:val="22"/>
                <w:szCs w:val="22"/>
              </w:rPr>
            </w:r>
            <w:r>
              <w:rPr>
                <w:b/>
                <w:bCs/>
                <w:color w:val="000000"/>
                <w:sz w:val="22"/>
                <w:szCs w:val="22"/>
              </w:rPr>
            </w:r>
          </w:p>
        </w:tc>
        <w:tc>
          <w:tcPr>
            <w:shd w:val="clear" w:color="000000" w:fill="ffffff"/>
            <w:tcBorders/>
            <w:tcW w:w="1636" w:type="dxa"/>
            <w:vAlign w:val="center"/>
            <w:textDirection w:val="lrTb"/>
            <w:noWrap w:val="false"/>
          </w:tcPr>
          <w:p>
            <w:pPr>
              <w:pBdr/>
              <w:spacing w:line="288" w:lineRule="auto"/>
              <w:ind/>
              <w:jc w:val="center"/>
              <w:rPr>
                <w:b/>
                <w:bCs/>
                <w:color w:val="000000"/>
                <w:sz w:val="22"/>
                <w:szCs w:val="22"/>
              </w:rPr>
            </w:pPr>
            <w:r>
              <w:rPr>
                <w:b/>
                <w:bCs/>
                <w:color w:val="000000" w:themeColor="text1"/>
                <w:sz w:val="22"/>
                <w:szCs w:val="22"/>
              </w:rPr>
              <w:t xml:space="preserve">106.166.667</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line="288" w:lineRule="auto"/>
              <w:ind/>
              <w:jc w:val="center"/>
              <w:rPr>
                <w:b/>
                <w:bCs/>
                <w:color w:val="000000"/>
                <w:sz w:val="22"/>
                <w:szCs w:val="22"/>
              </w:rPr>
            </w:pPr>
            <w:r>
              <w:rPr>
                <w:b/>
                <w:bCs/>
                <w:color w:val="000000" w:themeColor="text1"/>
                <w:sz w:val="22"/>
                <w:szCs w:val="22"/>
              </w:rPr>
              <w:t xml:space="preserve">102.083.333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88"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88"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88"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859" w:type="dxa"/>
            <w:vAlign w:val="center"/>
            <w:textDirection w:val="lrTb"/>
            <w:noWrap w:val="false"/>
          </w:tcPr>
          <w:p>
            <w:pPr>
              <w:pBdr/>
              <w:spacing w:line="288" w:lineRule="auto"/>
              <w:ind/>
              <w:jc w:val="center"/>
              <w:rPr>
                <w:b/>
                <w:bCs/>
                <w:color w:val="000000"/>
                <w:sz w:val="22"/>
                <w:szCs w:val="22"/>
              </w:rPr>
            </w:pPr>
            <w:r>
              <w:rPr>
                <w:b/>
                <w:bCs/>
                <w:color w:val="000000" w:themeColor="text1"/>
                <w:sz w:val="22"/>
                <w:szCs w:val="22"/>
              </w:rPr>
              <w:t xml:space="preserve">104.544.598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64"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0,8%</w:t>
            </w:r>
            <w:r>
              <w:rPr>
                <w:color w:val="000000"/>
                <w:sz w:val="22"/>
                <w:szCs w:val="22"/>
              </w:rPr>
            </w:r>
            <w:r>
              <w:rPr>
                <w:color w:val="000000"/>
                <w:sz w:val="22"/>
                <w:szCs w:val="22"/>
              </w:rPr>
            </w:r>
          </w:p>
        </w:tc>
        <w:tc>
          <w:tcPr>
            <w:shd w:val="clear" w:color="000000" w:fill="ffffff"/>
            <w:tcBorders/>
            <w:tcW w:w="1636"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1,55%</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-2,35%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64" w:lineRule="auto"/>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line="264"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64"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36" w:type="dxa"/>
            <w:vAlign w:val="center"/>
            <w:textDirection w:val="lrTb"/>
            <w:noWrap w:val="false"/>
          </w:tcPr>
          <w:p>
            <w:pPr>
              <w:pBdr/>
              <w:spacing w:line="264"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line="264"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4"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22.354.139</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36"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5.587.719</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5.372.807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64" w:lineRule="auto"/>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636" w:type="dxa"/>
            <w:vAlign w:val="center"/>
            <w:textDirection w:val="lrTb"/>
            <w:noWrap/>
          </w:tcPr>
          <w:p>
            <w:pPr>
              <w:pBdr/>
              <w:spacing w:line="264" w:lineRule="auto"/>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701" w:type="dxa"/>
            <w:vAlign w:val="center"/>
            <w:textDirection w:val="lrTb"/>
            <w:noWrap/>
          </w:tcPr>
          <w:p>
            <w:pPr>
              <w:pBdr/>
              <w:spacing w:line="264" w:lineRule="auto"/>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64"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sz w:val="22"/>
                <w:szCs w:val="22"/>
              </w:rPr>
            </w:pPr>
            <w:r>
              <w:rPr>
                <w:color w:val="000000" w:themeColor="text1"/>
                <w:sz w:val="22"/>
                <w:szCs w:val="22"/>
              </w:rPr>
              <w:t xml:space="preserve">0% - 6%</w:t>
            </w:r>
            <w:r>
              <w:rPr>
                <w:sz w:val="22"/>
                <w:szCs w:val="22"/>
              </w:rPr>
            </w:r>
            <w:r>
              <w:rPr>
                <w:sz w:val="22"/>
                <w:szCs w:val="22"/>
              </w:rPr>
            </w:r>
          </w:p>
        </w:tc>
        <w:tc>
          <w:tcPr>
            <w:shd w:val="clear" w:color="000000" w:fill="ffffff"/>
            <w:tcBorders/>
            <w:tcW w:w="1636" w:type="dxa"/>
            <w:vAlign w:val="center"/>
            <w:textDirection w:val="lrTb"/>
            <w:noWrap/>
          </w:tcPr>
          <w:p>
            <w:pPr>
              <w:pBdr/>
              <w:spacing w:line="264" w:lineRule="auto"/>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701" w:type="dxa"/>
            <w:vAlign w:val="center"/>
            <w:textDirection w:val="lrTb"/>
            <w:noWrap/>
          </w:tcPr>
          <w:p>
            <w:pPr>
              <w:pBdr/>
              <w:spacing w:line="264" w:lineRule="auto"/>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4"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sz w:val="22"/>
                <w:szCs w:val="22"/>
              </w:rPr>
            </w:pPr>
            <w:r>
              <w:rPr>
                <w:color w:val="000000" w:themeColor="text1"/>
                <w:sz w:val="22"/>
                <w:szCs w:val="22"/>
              </w:rPr>
              <w:t xml:space="preserve">1.064.483</w:t>
            </w:r>
            <w:r>
              <w:rPr>
                <w:sz w:val="22"/>
                <w:szCs w:val="22"/>
              </w:rPr>
            </w:r>
            <w:r>
              <w:rPr>
                <w:sz w:val="22"/>
                <w:szCs w:val="22"/>
              </w:rPr>
            </w:r>
          </w:p>
        </w:tc>
        <w:tc>
          <w:tcPr>
            <w:shd w:val="clear" w:color="000000" w:fill="ffffff"/>
            <w:tcBorders/>
            <w:tcW w:w="1636" w:type="dxa"/>
            <w:vAlign w:val="center"/>
            <w:textDirection w:val="lrTb"/>
            <w:noWrap/>
          </w:tcPr>
          <w:p>
            <w:pPr>
              <w:pBdr/>
              <w:spacing w:line="264" w:lineRule="auto"/>
              <w:ind/>
              <w:jc w:val="center"/>
              <w:rPr>
                <w:sz w:val="22"/>
                <w:szCs w:val="22"/>
              </w:rPr>
            </w:pPr>
            <w:r>
              <w:rPr>
                <w:color w:val="000000" w:themeColor="text1"/>
                <w:sz w:val="22"/>
                <w:szCs w:val="22"/>
              </w:rPr>
              <w:t xml:space="preserve">5.587.719</w:t>
            </w:r>
            <w:r>
              <w:rPr>
                <w:sz w:val="22"/>
                <w:szCs w:val="22"/>
              </w:rPr>
            </w:r>
            <w:r>
              <w:rPr>
                <w:sz w:val="22"/>
                <w:szCs w:val="22"/>
              </w:rPr>
            </w:r>
          </w:p>
        </w:tc>
        <w:tc>
          <w:tcPr>
            <w:shd w:val="clear" w:color="000000" w:fill="ffffff"/>
            <w:tcBorders/>
            <w:tcW w:w="1701" w:type="dxa"/>
            <w:vAlign w:val="center"/>
            <w:textDirection w:val="lrTb"/>
            <w:noWrap/>
          </w:tcPr>
          <w:p>
            <w:pPr>
              <w:pBdr/>
              <w:spacing w:line="264" w:lineRule="auto"/>
              <w:ind/>
              <w:jc w:val="center"/>
              <w:rPr>
                <w:sz w:val="22"/>
                <w:szCs w:val="22"/>
              </w:rPr>
            </w:pPr>
            <w:r>
              <w:rPr>
                <w:color w:val="000000" w:themeColor="text1"/>
                <w:sz w:val="22"/>
                <w:szCs w:val="22"/>
              </w:rPr>
              <w:t xml:space="preserve">5.372.807</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-2,35</w:t>
      </w:r>
      <w:r>
        <w:t xml:space="preserve">% </w:t>
      </w:r>
      <w:r>
        <w:t xml:space="preserve">đến</w:t>
      </w:r>
      <w:r>
        <w:t xml:space="preserve"> </w:t>
      </w:r>
      <w:r>
        <w:t xml:space="preserve"> </w:t>
      </w:r>
      <w:r>
        <w:t xml:space="preserve">1,55</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line="240" w:lineRule="auto"/>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line="240" w:lineRule="auto"/>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line="240" w:lineRule="auto"/>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line="240" w:lineRule="auto"/>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line="240" w:lineRule="auto"/>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240" w:lineRule="auto"/>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240" w:lineRule="auto"/>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line="240" w:lineRule="auto"/>
              <w:ind/>
              <w:jc w:val="center"/>
              <w:rPr>
                <w:color w:val="000000"/>
              </w:rPr>
            </w:pPr>
            <w:r>
              <w:rPr>
                <w:color w:val="000000"/>
              </w:rPr>
              <w:t xml:space="preserve">105.383.793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line="240" w:lineRule="auto"/>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240" w:lineRule="auto"/>
              <w:ind/>
              <w:jc w:val="center"/>
              <w:rPr>
                <w:color w:val="000000"/>
              </w:rPr>
            </w:pPr>
            <w:r>
              <w:rPr>
                <w:color w:val="000000"/>
              </w:rPr>
              <w:t xml:space="preserve">35.134.957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240" w:lineRule="auto"/>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240" w:lineRule="auto"/>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line="240" w:lineRule="auto"/>
              <w:ind/>
              <w:jc w:val="center"/>
              <w:rPr>
                <w:color w:val="000000"/>
              </w:rPr>
            </w:pPr>
            <w:r>
              <w:rPr>
                <w:color w:val="000000"/>
              </w:rPr>
              <w:t xml:space="preserve">106.166.667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line="240"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240" w:lineRule="auto"/>
              <w:ind/>
              <w:jc w:val="center"/>
              <w:rPr>
                <w:color w:val="000000"/>
              </w:rPr>
            </w:pPr>
            <w:r>
              <w:rPr>
                <w:color w:val="000000"/>
              </w:rPr>
              <w:t xml:space="preserve">35.385.350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240" w:lineRule="auto"/>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240" w:lineRule="auto"/>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line="240" w:lineRule="auto"/>
              <w:ind/>
              <w:jc w:val="center"/>
              <w:rPr>
                <w:color w:val="000000"/>
              </w:rPr>
            </w:pPr>
            <w:r>
              <w:rPr>
                <w:color w:val="000000"/>
              </w:rPr>
              <w:t xml:space="preserve">102.083.333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line="240"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240" w:lineRule="auto"/>
              <w:ind/>
              <w:jc w:val="center"/>
              <w:rPr>
                <w:color w:val="000000"/>
              </w:rPr>
            </w:pPr>
            <w:r>
              <w:rPr>
                <w:color w:val="000000"/>
              </w:rPr>
              <w:t xml:space="preserve">34.024.375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line="240" w:lineRule="auto"/>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240" w:lineRule="auto"/>
              <w:ind/>
              <w:jc w:val="center"/>
              <w:rPr>
                <w:b/>
                <w:bCs/>
                <w:color w:val="000000"/>
              </w:rPr>
            </w:pPr>
            <w:r>
              <w:rPr>
                <w:b/>
                <w:bCs/>
                <w:color w:val="000000" w:themeColor="text1"/>
                <w:lang w:val="vi-VN"/>
              </w:rPr>
              <w:t xml:space="preserve">104.544.682</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line="240" w:lineRule="auto"/>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240" w:lineRule="auto"/>
              <w:ind/>
              <w:jc w:val="center"/>
              <w:rPr>
                <w:b/>
                <w:bCs/>
                <w:color w:val="000000"/>
              </w:rPr>
            </w:pPr>
            <w:r>
              <w:rPr>
                <w:b/>
                <w:bCs/>
                <w:color w:val="000000" w:themeColor="text1"/>
                <w:lang w:val="vi-VN"/>
              </w:rPr>
              <w:t xml:space="preserve">104.500.000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104.500.000</w:t>
      </w:r>
      <w:r>
        <w:rPr>
          <w:b/>
          <w:bCs/>
          <w:color w:val="000000" w:themeColor="text1"/>
        </w:rPr>
        <w:t xml:space="preserve"> </w:t>
      </w:r>
      <w:r>
        <w:rPr>
          <w:b/>
          <w:bCs/>
        </w:rPr>
        <w:t xml:space="preserve">đồng</w:t>
      </w:r>
      <w:r>
        <w:rPr>
          <w:b/>
          <w:bCs/>
        </w:rPr>
        <w:t xml:space="preserve">/m².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12/2025</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257"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00"/>
        <w:gridCol w:w="3528"/>
        <w:gridCol w:w="1530"/>
        <w:gridCol w:w="2340"/>
        <w:gridCol w:w="1917"/>
      </w:tblGrid>
      <w:tr>
        <w:trPr>
          <w:trHeight w:val="20"/>
        </w:trPr>
        <w:tc>
          <w:tcPr>
            <w:shd w:val="clear" w:color="000000" w:fill="ffffff"/>
            <w:tcBorders/>
            <w:tcW w:w="700" w:type="dxa"/>
            <w:vAlign w:val="center"/>
            <w:textDirection w:val="lrTb"/>
            <w:noWrap w:val="false"/>
          </w:tcPr>
          <w:p>
            <w:pPr>
              <w:pBdr/>
              <w:spacing w:after="14" w:afterAutospacing="0" w:before="0" w:beforeAutospacing="0" w:line="288" w:lineRule="auto"/>
              <w:ind/>
              <w:jc w:val="center"/>
              <w:rPr>
                <w:b/>
                <w:bCs/>
              </w:rPr>
            </w:pPr>
            <w:r>
              <w:rPr>
                <w:b/>
                <w:bCs/>
              </w:rPr>
              <w:t xml:space="preserve">TT</w:t>
            </w:r>
            <w:r>
              <w:rPr>
                <w:b/>
                <w:bCs/>
              </w:rPr>
            </w:r>
            <w:r>
              <w:rPr>
                <w:b/>
                <w:bCs/>
              </w:rPr>
            </w:r>
          </w:p>
        </w:tc>
        <w:tc>
          <w:tcPr>
            <w:shd w:val="clear" w:color="000000" w:fill="ffffff"/>
            <w:tcBorders/>
            <w:tcW w:w="3528" w:type="dxa"/>
            <w:vAlign w:val="center"/>
            <w:textDirection w:val="lrTb"/>
            <w:noWrap w:val="false"/>
          </w:tcPr>
          <w:p>
            <w:pPr>
              <w:pBdr/>
              <w:spacing w:after="14" w:afterAutospacing="0" w:before="0" w:beforeAutospacing="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530" w:type="dxa"/>
            <w:vAlign w:val="center"/>
            <w:textDirection w:val="lrTb"/>
            <w:noWrap w:val="false"/>
          </w:tcPr>
          <w:p>
            <w:pPr>
              <w:pBdr/>
              <w:spacing w:after="14" w:afterAutospacing="0" w:before="0" w:beforeAutospacing="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340" w:type="dxa"/>
            <w:vAlign w:val="center"/>
            <w:textDirection w:val="lrTb"/>
            <w:noWrap w:val="false"/>
          </w:tcPr>
          <w:p>
            <w:pPr>
              <w:pBdr/>
              <w:spacing w:after="14" w:afterAutospacing="0" w:before="0" w:beforeAutospacing="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917" w:type="dxa"/>
            <w:vAlign w:val="center"/>
            <w:textDirection w:val="lrTb"/>
            <w:noWrap w:val="false"/>
          </w:tcPr>
          <w:p>
            <w:pPr>
              <w:pBdr/>
              <w:spacing w:after="14" w:afterAutospacing="0" w:before="0" w:beforeAutospacing="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700" w:type="dxa"/>
            <w:vAlign w:val="center"/>
            <w:textDirection w:val="lrTb"/>
            <w:noWrap w:val="false"/>
          </w:tcPr>
          <w:p>
            <w:pPr>
              <w:pBdr/>
              <w:spacing w:after="14" w:afterAutospacing="0" w:before="0" w:beforeAutospacing="0" w:line="288" w:lineRule="auto"/>
              <w:ind/>
              <w:jc w:val="center"/>
              <w:rPr>
                <w:b/>
                <w:bCs/>
              </w:rPr>
            </w:pPr>
            <w:r>
              <w:rPr>
                <w:b/>
                <w:bCs/>
              </w:rPr>
              <w:t xml:space="preserve"> </w:t>
            </w:r>
            <w:r>
              <w:rPr>
                <w:b/>
                <w:bCs/>
              </w:rPr>
            </w:r>
            <w:r>
              <w:rPr>
                <w:b/>
                <w:bCs/>
              </w:rPr>
            </w:r>
          </w:p>
        </w:tc>
        <w:tc>
          <w:tcPr>
            <w:gridSpan w:val="3"/>
            <w:shd w:val="clear" w:color="000000" w:fill="ffffff"/>
            <w:tcBorders/>
            <w:tcW w:w="7398" w:type="dxa"/>
            <w:vAlign w:val="center"/>
            <w:textDirection w:val="lrTb"/>
            <w:noWrap w:val="false"/>
          </w:tcPr>
          <w:p>
            <w:pPr>
              <w:pBdr/>
              <w:spacing w:after="14" w:afterAutospacing="0" w:before="0" w:beforeAutospacing="0" w:line="288" w:lineRule="auto"/>
              <w:ind/>
              <w:jc w:val="both"/>
              <w:rPr>
                <w:b/>
                <w:bCs/>
              </w:rPr>
            </w:pPr>
            <w:r>
              <w:rPr>
                <w:b/>
                <w:bCs/>
                <w:color w:val="000000"/>
              </w:rPr>
              <w:t xml:space="preserve">Giá trị quyền sở hữu căn hộ chung cư số L05-205, Toà nhà L05-The Link cụm nhà cao tầng tổng hợp chung cư CT1 tại ô đất IC32-Khu đô thị Nam Thăng Long, phường Đông Ngạc, quận Bắc Từ Liêm, Thành phố Hà Nội </w:t>
            </w:r>
            <w:r>
              <w:rPr>
                <w:b/>
                <w:bCs/>
                <w:i/>
                <w:iCs/>
                <w:color w:val="000000"/>
              </w:rPr>
              <w:t xml:space="preserve">(Nay là phường Đông Ngạc,</w:t>
            </w:r>
            <w:r>
              <w:rPr>
                <w:b/>
                <w:bCs/>
                <w:i/>
                <w:iCs/>
                <w:color w:val="000000"/>
              </w:rPr>
              <w:t xml:space="preserve"> thành phố Hà Nội) </w:t>
            </w:r>
            <w:r>
              <w:rPr>
                <w:b/>
                <w:bCs/>
                <w:color w:val="000000"/>
              </w:rPr>
              <w:t xml:space="preserve">theo Giấy chứng nhận quyền sử dụng đất quyền sở hữu nhà ở và tài sản gắn liền với đất số DI 247184 số vào sổ cấp GCN CS 00208 do Sở Tài nguyên và Môi trường thành phố Hà Nội cấp ngày 04/01/2025 cho bà Đặng Thị Hiền và ông Nguyễn Đức Minh</w:t>
            </w:r>
            <w:r>
              <w:rPr>
                <w:b/>
                <w:bCs/>
              </w:rPr>
              <w:t xml:space="preserve">.</w:t>
            </w:r>
            <w:r>
              <w:rPr>
                <w:b/>
                <w:bCs/>
              </w:rPr>
            </w:r>
            <w:r>
              <w:rPr>
                <w:b/>
                <w:bCs/>
              </w:rPr>
            </w:r>
          </w:p>
        </w:tc>
        <w:tc>
          <w:tcPr>
            <w:shd w:val="clear" w:color="000000" w:fill="ffffff"/>
            <w:tcBorders/>
            <w:tcW w:w="1917" w:type="dxa"/>
            <w:vAlign w:val="center"/>
            <w:textDirection w:val="lrTb"/>
            <w:noWrap w:val="false"/>
          </w:tcPr>
          <w:p>
            <w:pPr>
              <w:pBdr/>
              <w:spacing w:after="14" w:afterAutospacing="0" w:before="0" w:beforeAutospacing="0" w:line="288" w:lineRule="auto"/>
              <w:ind/>
              <w:jc w:val="right"/>
              <w:rPr>
                <w:b/>
                <w:bCs/>
              </w:rPr>
            </w:pPr>
            <w:r>
              <w:rPr>
                <w:b/>
                <w:bCs/>
              </w:rPr>
              <w:t xml:space="preserve"> </w:t>
            </w:r>
            <w:r>
              <w:rPr>
                <w:b/>
                <w:bCs/>
              </w:rPr>
            </w:r>
            <w:r>
              <w:rPr>
                <w:b/>
                <w:bCs/>
              </w:rPr>
            </w:r>
          </w:p>
        </w:tc>
      </w:tr>
      <w:tr>
        <w:trPr>
          <w:trHeight w:val="20"/>
        </w:trPr>
        <w:tc>
          <w:tcPr>
            <w:shd w:val="clear" w:color="000000" w:fill="ffffff"/>
            <w:tcBorders/>
            <w:tcW w:w="700" w:type="dxa"/>
            <w:vAlign w:val="center"/>
            <w:textDirection w:val="lrTb"/>
            <w:noWrap w:val="false"/>
          </w:tcPr>
          <w:p>
            <w:pPr>
              <w:pBdr/>
              <w:spacing w:after="14" w:afterAutospacing="0" w:before="0" w:beforeAutospacing="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3528" w:type="dxa"/>
            <w:vAlign w:val="center"/>
            <w:textDirection w:val="lrTb"/>
            <w:noWrap w:val="false"/>
          </w:tcPr>
          <w:p>
            <w:pPr>
              <w:pBdr/>
              <w:spacing w:after="14" w:afterAutospacing="0" w:before="0" w:beforeAutospacing="0" w:line="288" w:lineRule="auto"/>
              <w:ind/>
              <w:jc w:val="both"/>
              <w:rPr>
                <w:b w:val="0"/>
                <w:bCs w:val="0"/>
              </w:rPr>
            </w:pPr>
            <w:r>
              <w:rPr>
                <w:b w:val="0"/>
                <w:bCs w:val="0"/>
              </w:rPr>
              <w:t xml:space="preserve">Quyền sở hữu căn hộ chung cư</w:t>
            </w:r>
            <w:r>
              <w:rPr>
                <w:b w:val="0"/>
                <w:bCs w:val="0"/>
              </w:rPr>
            </w:r>
            <w:r>
              <w:rPr>
                <w:b w:val="0"/>
                <w:bCs w:val="0"/>
              </w:rPr>
            </w:r>
          </w:p>
        </w:tc>
        <w:tc>
          <w:tcPr>
            <w:tcBorders/>
            <w:tcW w:w="1530" w:type="dxa"/>
            <w:vAlign w:val="center"/>
            <w:textDirection w:val="lrTb"/>
            <w:noWrap/>
          </w:tcPr>
          <w:p>
            <w:pPr>
              <w:pBdr/>
              <w:spacing w:after="14" w:afterAutospacing="0" w:before="0" w:beforeAutospacing="0" w:line="288" w:lineRule="auto"/>
              <w:ind/>
              <w:jc w:val="center"/>
              <w:rPr>
                <w:color w:val="000000"/>
              </w:rPr>
            </w:pPr>
            <w:r>
              <w:rPr>
                <w:color w:val="000000" w:themeColor="text1"/>
              </w:rPr>
              <w:t xml:space="preserve">105,6</w:t>
            </w:r>
            <w:r>
              <w:rPr>
                <w:color w:val="000000"/>
              </w:rPr>
            </w:r>
            <w:r>
              <w:rPr>
                <w:color w:val="000000"/>
              </w:rPr>
            </w:r>
          </w:p>
        </w:tc>
        <w:tc>
          <w:tcPr>
            <w:shd w:val="clear" w:color="000000" w:fill="ffffff"/>
            <w:tcBorders/>
            <w:tcW w:w="2340" w:type="dxa"/>
            <w:vAlign w:val="center"/>
            <w:textDirection w:val="lrTb"/>
            <w:noWrap w:val="false"/>
          </w:tcPr>
          <w:p>
            <w:pPr>
              <w:pBdr/>
              <w:spacing w:after="14" w:afterAutospacing="0" w:before="0" w:beforeAutospacing="0" w:line="288" w:lineRule="auto"/>
              <w:ind/>
              <w:jc w:val="center"/>
              <w:rPr/>
            </w:pPr>
            <w:r>
              <w:rPr>
                <w:color w:val="000000" w:themeColor="text1"/>
              </w:rPr>
              <w:t xml:space="preserve">104.500.000</w:t>
            </w:r>
            <w:r/>
          </w:p>
        </w:tc>
        <w:tc>
          <w:tcPr>
            <w:shd w:val="clear" w:color="000000" w:fill="ffffff"/>
            <w:tcBorders/>
            <w:tcW w:w="1917" w:type="dxa"/>
            <w:vAlign w:val="center"/>
            <w:textDirection w:val="lrTb"/>
            <w:noWrap w:val="false"/>
          </w:tcPr>
          <w:p>
            <w:pPr>
              <w:pBdr/>
              <w:spacing w:after="14" w:afterAutospacing="0" w:before="0" w:beforeAutospacing="0" w:line="288" w:lineRule="auto"/>
              <w:ind/>
              <w:jc w:val="center"/>
              <w:rPr/>
            </w:pPr>
            <w:r>
              <w:rPr>
                <w:color w:val="000000" w:themeColor="text1"/>
              </w:rPr>
              <w:t xml:space="preserve">11.035.200.000</w:t>
            </w:r>
            <w:r/>
          </w:p>
        </w:tc>
      </w:tr>
      <w:tr>
        <w:trPr>
          <w:trHeight w:val="20"/>
        </w:trPr>
        <w:tc>
          <w:tcPr>
            <w:gridSpan w:val="4"/>
            <w:tcBorders/>
            <w:tcW w:w="8099" w:type="dxa"/>
            <w:vAlign w:val="center"/>
            <w:textDirection w:val="lrTb"/>
            <w:noWrap/>
          </w:tcPr>
          <w:p>
            <w:pPr>
              <w:pBdr/>
              <w:spacing w:after="14" w:afterAutospacing="0" w:before="0" w:beforeAutospacing="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917" w:type="dxa"/>
            <w:vAlign w:val="center"/>
            <w:textDirection w:val="lrTb"/>
            <w:noWrap/>
          </w:tcPr>
          <w:p>
            <w:pPr>
              <w:pBdr/>
              <w:spacing w:after="14" w:afterAutospacing="0" w:before="0" w:beforeAutospacing="0" w:line="288" w:lineRule="auto"/>
              <w:ind/>
              <w:jc w:val="center"/>
              <w:rPr>
                <w:b/>
                <w:bCs/>
                <w:color w:val="000000"/>
              </w:rPr>
            </w:pPr>
            <w:r>
              <w:t xml:space="preserve">11.035.200.000</w:t>
            </w:r>
            <w:r>
              <w:rPr>
                <w:b/>
                <w:bCs/>
                <w:color w:val="000000"/>
              </w:rPr>
            </w:r>
            <w:r>
              <w:rPr>
                <w:b/>
                <w:bCs/>
                <w:color w:val="000000"/>
              </w:rPr>
            </w:r>
          </w:p>
        </w:tc>
      </w:tr>
      <w:tr>
        <w:trPr>
          <w:trHeight w:val="20"/>
        </w:trPr>
        <w:tc>
          <w:tcPr>
            <w:gridSpan w:val="4"/>
            <w:tcBorders/>
            <w:tcW w:w="8099" w:type="dxa"/>
            <w:vAlign w:val="center"/>
            <w:textDirection w:val="lrTb"/>
            <w:noWrap/>
          </w:tcPr>
          <w:p>
            <w:pPr>
              <w:pBdr/>
              <w:spacing w:after="14" w:afterAutospacing="0" w:before="0" w:beforeAutospacing="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917" w:type="dxa"/>
            <w:vAlign w:val="center"/>
            <w:textDirection w:val="lrTb"/>
            <w:noWrap/>
          </w:tcPr>
          <w:p>
            <w:pPr>
              <w:pBdr/>
              <w:spacing w:after="14" w:afterAutospacing="0" w:before="0" w:beforeAutospacing="0" w:line="288" w:lineRule="auto"/>
              <w:ind/>
              <w:jc w:val="center"/>
              <w:rPr>
                <w:b/>
                <w:bCs/>
                <w:color w:val="000000"/>
              </w:rPr>
            </w:pPr>
            <w:r>
              <w:rPr>
                <w:b/>
                <w:bCs/>
                <w:color w:val="000000"/>
              </w:rPr>
              <w:t xml:space="preserve">11.035.000.000</w:t>
            </w:r>
            <w:r>
              <w:rPr>
                <w:b/>
                <w:bCs/>
                <w:color w:val="000000"/>
              </w:rPr>
            </w:r>
            <w:r>
              <w:rPr>
                <w:b/>
                <w:bCs/>
                <w:color w:val="000000"/>
              </w:rPr>
            </w:r>
          </w:p>
        </w:tc>
      </w:tr>
      <w:tr>
        <w:trPr>
          <w:trHeight w:val="20"/>
        </w:trPr>
        <w:tc>
          <w:tcPr>
            <w:gridSpan w:val="5"/>
            <w:tcBorders/>
            <w:tcW w:w="10015" w:type="dxa"/>
            <w:vAlign w:val="center"/>
            <w:textDirection w:val="lrTb"/>
            <w:noWrap w:val="false"/>
          </w:tcPr>
          <w:p>
            <w:pPr>
              <w:pBdr/>
              <w:spacing w:after="14" w:afterAutospacing="0" w:before="0" w:beforeAutospacing="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một tỷ, không trăm ba mươi lăm triệu đồng</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39"/>
        </w:numPr>
        <w:pBdr/>
        <w:tabs>
          <w:tab w:val="left" w:leader="none" w:pos="993"/>
        </w:tabs>
        <w:spacing w:after="120" w:before="120" w:line="264" w:lineRule="auto"/>
        <w:ind/>
        <w:jc w:val="both"/>
        <w:rPr>
          <w:spacing w:val="-2"/>
          <w:lang w:val="pt-BR"/>
        </w:rPr>
      </w:pPr>
      <w:r>
        <w:rPr>
          <w:spacing w:val="-2"/>
          <w:highlight w:val="none"/>
          <w:lang w:val="pt-BR" w:bidi="pt-BR"/>
        </w:rPr>
        <w:t xml:space="preserve">Hồ sơ pháp lý khách hàng cung cấp tổ thẩm định chỉ nhận được 3 trang của GCN số </w:t>
      </w:r>
      <w:r>
        <w:rPr>
          <w:rFonts w:ascii="Times New Roman" w:hAnsi="Times New Roman" w:eastAsia="Times New Roman" w:cs="Times New Roman"/>
          <w:color w:val="000000"/>
          <w:sz w:val="24"/>
        </w:rPr>
        <w:t xml:space="preserve">DI 247184, khách hàng không cung cấp các trang còn lại của GCN. Do dó, tổ thẩm định xác định giá trị tài sản theo giả định Quyền sở hữu căn hộ chung cư được cấp theo GCN số </w:t>
      </w:r>
      <w:r>
        <w:rPr>
          <w:rFonts w:ascii="Times New Roman" w:hAnsi="Times New Roman" w:eastAsia="Times New Roman" w:cs="Times New Roman"/>
          <w:color w:val="000000"/>
          <w:sz w:val="24"/>
        </w:rPr>
        <w:t xml:space="preserve">DI 247184 </w:t>
      </w:r>
      <w:r>
        <w:rPr>
          <w:spacing w:val="-2"/>
          <w:highlight w:val="none"/>
          <w:lang w:val="pt-BR" w:bidi="pt-BR"/>
        </w:rPr>
        <w:t xml:space="preserve">thuộc sở hữu của </w:t>
      </w:r>
      <w:r>
        <w:rPr>
          <w:rFonts w:ascii="Times New Roman" w:hAnsi="Times New Roman" w:eastAsia="Times New Roman" w:cs="Times New Roman"/>
          <w:color w:val="000000"/>
          <w:sz w:val="24"/>
        </w:rPr>
        <w:t xml:space="preserve">bà Đặng Thị Hiền và ông Nguyễn Đức Minh</w:t>
      </w:r>
      <w:r>
        <w:rPr>
          <w:spacing w:val="-2"/>
          <w:highlight w:val="none"/>
          <w:lang w:val="pt-BR" w:bidi="pt-BR"/>
        </w:rPr>
        <w:t xml:space="preserve"> không có tranh chấp và không có đính chính, thay đổi nào khác tại các trang còn lại của GCN. Mọi trách nhiệm phát sinh do có sự thay đổi nội dung tại các trang GCN do khách hàng chưa cung cấp không thuộc phạm vi trách nhiệm của chúng tôi.</w:t>
      </w:r>
      <w:r>
        <w:rPr>
          <w:spacing w:val="-2"/>
          <w:lang w:val="pt-BR"/>
        </w:rPr>
      </w:r>
      <w:r>
        <w:rPr>
          <w:spacing w:val="-2"/>
          <w:lang w:val="pt-BR"/>
        </w:rPr>
      </w:r>
    </w:p>
    <w:p>
      <w:pPr>
        <w:pStyle w:val="1027"/>
        <w:numPr>
          <w:ilvl w:val="0"/>
          <w:numId w:val="39"/>
        </w:numPr>
        <w:pBdr/>
        <w:tabs>
          <w:tab w:val="left" w:leader="none" w:pos="993"/>
        </w:tabs>
        <w:spacing w:after="120" w:before="120" w:line="264" w:lineRule="auto"/>
        <w:ind/>
        <w:jc w:val="both"/>
        <w:rPr>
          <w:spacing w:val="-2"/>
          <w:lang w:val="pt-BR"/>
        </w:rPr>
      </w:pPr>
      <w:r>
        <w:rPr>
          <w:spacing w:val="-2"/>
          <w:lang w:val="pt-BR"/>
        </w:rPr>
      </w: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spacing w:val="-2"/>
          <w:lang w:val="pt-BR"/>
        </w:rPr>
      </w:r>
      <w:r>
        <w:rPr>
          <w:spacing w:val="-2"/>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275/2026/0377/VFI-CT.24.A</w:t>
      </w:r>
      <w:r>
        <w:rPr>
          <w:color w:val="ff0000"/>
          <w:lang w:val="vi-VN"/>
        </w:rPr>
        <w:t xml:space="preserve"> </w:t>
      </w:r>
      <w:r>
        <w:rPr>
          <w:color w:val="000000" w:themeColor="text1"/>
        </w:rPr>
        <w:t xml:space="preserve">ngày 10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Quỳnh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275/2026/0377/VFI-BC.24.A</w:t>
      </w:r>
      <w:r>
        <w:rPr>
          <w:i/>
          <w:lang w:val="pt-BR"/>
        </w:rPr>
        <w:t xml:space="preserve"> ngày </w:t>
      </w:r>
      <w:r>
        <w:rPr>
          <w:i/>
          <w:lang w:val="pt-BR"/>
        </w:rPr>
        <w:t xml:space="preserve">10 tháng 03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59068" cy="346950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075713" name=""/>
                              <pic:cNvPicPr>
                                <a:picLocks noChangeAspect="1"/>
                              </pic:cNvPicPr>
                              <pic:nvPr/>
                            </pic:nvPicPr>
                            <pic:blipFill rotWithShape="1">
                              <a:blip r:embed="rId18"/>
                              <a:stretch/>
                            </pic:blipFill>
                            <pic:spPr bwMode="auto">
                              <a:xfrm flipH="0" flipV="0">
                                <a:off x="0" y="0"/>
                                <a:ext cx="2659067" cy="34695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9.38pt;height:273.19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1233029967" name="" descr=""/>
                              <pic:cNvPicPr/>
                              <pic:nvPr/>
                            </pic:nvPicPr>
                            <pic:blipFill rotWithShape="1">
                              <a:blip r:embed="rId19"/>
                              <a:stretch/>
                            </pic:blipFill>
                            <pic:spPr bwMode="auto">
                              <a:xfrm rot="0" flipH="0" flipV="0">
                                <a:off x="0" y="0"/>
                                <a:ext cx="2539999"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rotation:0;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ind/>
              <w:jc w:val="cente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p>
        </w:tc>
        <w:tc>
          <w:tcPr>
            <w:tcBorders/>
            <w:tcW w:w="4757" w:type="dxa"/>
            <w:vAlign w:val="center"/>
            <w:textDirection w:val="lrTb"/>
            <w:noWrap w:val="false"/>
          </w:tcPr>
          <w:p>
            <w:pPr>
              <w:pBdr/>
              <w:spacing/>
              <w:ind/>
              <w:jc w:val="cente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695257" cy="202144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086479" name=""/>
                              <pic:cNvPicPr>
                                <a:picLocks noChangeAspect="1"/>
                              </pic:cNvPicPr>
                              <pic:nvPr/>
                            </pic:nvPicPr>
                            <pic:blipFill rotWithShape="1">
                              <a:blip r:embed="rId20"/>
                              <a:stretch/>
                            </pic:blipFill>
                            <pic:spPr bwMode="auto">
                              <a:xfrm flipH="0" flipV="0">
                                <a:off x="0" y="0"/>
                                <a:ext cx="2695257" cy="20214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2.22pt;height:159.17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703249" cy="202743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828200" name=""/>
                              <pic:cNvPicPr>
                                <a:picLocks noChangeAspect="1"/>
                              </pic:cNvPicPr>
                              <pic:nvPr/>
                            </pic:nvPicPr>
                            <pic:blipFill rotWithShape="1">
                              <a:blip r:embed="rId21"/>
                              <a:stretch/>
                            </pic:blipFill>
                            <pic:spPr bwMode="auto">
                              <a:xfrm flipH="0" flipV="0">
                                <a:off x="0" y="0"/>
                                <a:ext cx="2703248" cy="20274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2.85pt;height:159.64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0.00pt;height:150.00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51980" cy="191398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636662" name=""/>
                              <pic:cNvPicPr>
                                <a:picLocks noChangeAspect="1"/>
                              </pic:cNvPicPr>
                              <pic:nvPr/>
                            </pic:nvPicPr>
                            <pic:blipFill rotWithShape="1">
                              <a:blip r:embed="rId24"/>
                              <a:stretch/>
                            </pic:blipFill>
                            <pic:spPr bwMode="auto">
                              <a:xfrm flipH="0" flipV="0">
                                <a:off x="0" y="0"/>
                                <a:ext cx="2551979" cy="19139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0.94pt;height:150.71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453676" cy="1840257"/>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56464" name=""/>
                              <pic:cNvPicPr>
                                <a:picLocks noChangeAspect="1"/>
                              </pic:cNvPicPr>
                              <pic:nvPr/>
                            </pic:nvPicPr>
                            <pic:blipFill rotWithShape="1">
                              <a:blip r:embed="rId25"/>
                              <a:stretch/>
                            </pic:blipFill>
                            <pic:spPr bwMode="auto">
                              <a:xfrm flipH="0" flipV="0">
                                <a:off x="0" y="0"/>
                                <a:ext cx="2453676" cy="18402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93.20pt;height:144.90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275/2026/0377/VFI-BC.24.A</w:t>
      </w:r>
      <w:r>
        <w:rPr>
          <w:i/>
          <w:lang w:val="pt-BR"/>
        </w:rPr>
        <w:t xml:space="preserve"> ngày </w:t>
      </w:r>
      <w:r>
        <w:rPr>
          <w:i/>
          <w:lang w:val="pt-BR"/>
        </w:rPr>
        <w:t xml:space="preserve">10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https://www.facebook.com/groups/batdongsanciputra/posts/2096779807740830/</w:t>
            </w:r>
            <w:r>
              <w:rPr>
                <w:color w:val="000000" w:themeColor="text1"/>
                <w:sz w:val="22"/>
                <w:szCs w:val="22"/>
              </w:rPr>
              <w:br/>
              <w:t xml:space="preserve">0988 613 960</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6.174.000.000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Căn hộ chung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 toà The Link, cụm nhà ở cao tầng tổng hợp chung cư CT1 tại ô đất IC32, Khu đô thị Nam Thăng Long, phường Đông Ngạc, Thành phố Hà Nội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căn hộ</w:t>
            </w:r>
            <w:r>
              <w:rPr>
                <w:color w:val="000000"/>
                <w:sz w:val="22"/>
                <w:szCs w:val="22"/>
              </w:rPr>
              <w:t xml:space="preserve"> </w:t>
            </w:r>
            <w:r>
              <w:rPr>
                <w:color w:val="000000"/>
                <w:sz w:val="22"/>
                <w:szCs w:val="22"/>
              </w:rPr>
              <w:t xml:space="preserve">(m²)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Cảnh quan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View nội khu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377023"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437702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44.65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74352"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457435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60.19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Lê Thị Quỳnh Anh</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https://www.facebook.com/groups/batdongsanciputra/posts/2100728207345990/</w:t>
            </w:r>
            <w:r>
              <w:rPr>
                <w:color w:val="000000" w:themeColor="text1"/>
                <w:sz w:val="22"/>
                <w:szCs w:val="22"/>
              </w:rPr>
              <w:br/>
              <w:t xml:space="preserve">0916252992</w:t>
            </w:r>
            <w:r>
              <w:rPr>
                <w:sz w:val="22"/>
                <w:szCs w:val="22"/>
              </w:rPr>
              <w:t xml:space="preserve"> </w:t>
            </w:r>
            <w:r>
              <w:rPr>
                <w:sz w:val="22"/>
                <w:szCs w:val="22"/>
              </w:rPr>
              <w:t xml:space="preserve">(Vũ</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12.740.000.000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Căn hộ chung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CHCC tầng 7 toà L5, The Link, cụm nhà ở cao tầng tổng hợp chung cư CT1 tại ô đất IC32, Khu đô thị Nam Thăng Long, phường Đông Ngạc, Thành phố Hà Nội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căn hộ</w:t>
            </w:r>
            <w:r>
              <w:rPr>
                <w:color w:val="000000"/>
                <w:sz w:val="22"/>
                <w:szCs w:val="22"/>
              </w:rPr>
              <w:t xml:space="preserve"> </w:t>
            </w:r>
            <w:r>
              <w:rPr>
                <w:color w:val="000000"/>
                <w:sz w:val="22"/>
                <w:szCs w:val="22"/>
              </w:rPr>
              <w:t xml:space="preserve">(m²)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Cảnh quan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View nội khu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57941"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535794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21.89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7762"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42377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33.68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Quỳnh Anh</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https://www.facebook.com/groups/batdongsanciputra/posts/2100728207345990/</w:t>
            </w:r>
            <w:r>
              <w:rPr>
                <w:color w:val="000000" w:themeColor="text1"/>
                <w:sz w:val="22"/>
                <w:szCs w:val="22"/>
              </w:rPr>
              <w:br/>
            </w:r>
            <w:r>
              <w:rPr>
                <w:sz w:val="22"/>
                <w:szCs w:val="22"/>
              </w:rPr>
              <w:t xml:space="preserve">SĐT: </w:t>
            </w:r>
            <w:r>
              <w:rPr>
                <w:color w:val="000000" w:themeColor="text1"/>
                <w:sz w:val="22"/>
                <w:szCs w:val="22"/>
              </w:rPr>
              <w:t xml:space="preserve">0916252992</w:t>
            </w:r>
            <w:r>
              <w:rPr>
                <w:sz w:val="22"/>
                <w:szCs w:val="22"/>
              </w:rPr>
              <w:t xml:space="preserve"> </w:t>
            </w:r>
            <w:r>
              <w:rPr>
                <w:sz w:val="22"/>
                <w:szCs w:val="22"/>
              </w:rPr>
              <w:t xml:space="preserve">(Vũ</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12.250.000.000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Căn hộ chung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CHCC tầng 21 toà L4, The Link, cụm nhà ở cao tầng tổng hợp chung cư CT1 tại ô đất IC32, Khu đô thị Nam Thăng Long, phường Đông Ngạc, Thành phố Hà Nội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căn hộ</w:t>
            </w:r>
            <w:r>
              <w:rPr>
                <w:color w:val="000000"/>
                <w:sz w:val="22"/>
                <w:szCs w:val="22"/>
              </w:rPr>
              <w:t xml:space="preserve"> </w:t>
            </w:r>
            <w:r>
              <w:rPr>
                <w:color w:val="000000"/>
                <w:sz w:val="22"/>
                <w:szCs w:val="22"/>
              </w:rPr>
              <w:t xml:space="preserve">(m²)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Cảnh quan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View vườn hoa</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50357"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45035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50.42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33.33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 </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Quỳnh Anh</w:t>
            </w:r>
            <w:r>
              <w:rPr>
                <w:b/>
                <w:bCs/>
              </w:rPr>
            </w: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Quỳnh Anh</cp:lastModifiedBy>
  <cp:revision>273</cp:revision>
  <dcterms:created xsi:type="dcterms:W3CDTF">2025-09-15T09:58:00Z</dcterms:created>
  <dcterms:modified xsi:type="dcterms:W3CDTF">2026-03-11T10:04:38Z</dcterms:modified>
</cp:coreProperties>
</file>