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9123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123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275/2026/0407/VFI-CT.24.A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Đại Nghĩa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327, tờ bản đồ số: 23 có địa chỉ: Tổ 1-2, phường Tiền Phong, thành phố Thái Bình, tỉnh Thái Bình</w:t>
                            </w:r>
                            <w:r>
                              <w:rPr>
                                <w:i/>
                                <w:iCs/>
                                <w:color w:val="000000"/>
                              </w:rPr>
                              <w:t xml:space="preserve"> (Nay l</w:t>
                            </w:r>
                            <w:r>
                              <w:rPr>
                                <w:i/>
                                <w:iCs/>
                                <w:color w:val="000000"/>
                              </w:rPr>
                              <w:t xml:space="preserve">à phường Thái Bình, tỉnh Hưng Yên)</w:t>
                            </w:r>
                            <w:r>
                              <w:rPr>
                                <w:color w:val="000000"/>
                              </w:rPr>
                              <w:t xml:space="preserve"> theo Giấy chứng nhận quyền sử dụng đất, quyền sở hữu tài sản gắn liền với đất số: AA 01569735, số vào sổ cấp GCN: VP 20621 do Văn phòng Đăng ký đất đai Thái Bình cấp ngày 28/3/2025 cho Ông Trần Đại Nghĩa và Bà Đào Thị Mỹ Linh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1.2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275/2026/0407/VFI-CT.24.A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Đại Nghĩa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327, tờ bản đồ số: 23 có địa chỉ: Tổ 1-2, phường Tiền Phong, thành phố Thái Bình, tỉnh Thái Bình</w:t>
                      </w:r>
                      <w:r>
                        <w:rPr>
                          <w:i/>
                          <w:iCs/>
                          <w:color w:val="000000"/>
                        </w:rPr>
                        <w:t xml:space="preserve"> (Nay l</w:t>
                      </w:r>
                      <w:r>
                        <w:rPr>
                          <w:i/>
                          <w:iCs/>
                          <w:color w:val="000000"/>
                        </w:rPr>
                        <w:t xml:space="preserve">à phường Thái Bình, tỉnh Hưng Yên)</w:t>
                      </w:r>
                      <w:r>
                        <w:rPr>
                          <w:color w:val="000000"/>
                        </w:rPr>
                        <w:t xml:space="preserve"> theo Giấy chứng nhận quyền sử dụng đất, quyền sở hữu tài sản gắn liền với đất số: AA 01569735, số vào sổ cấp GCN: VP 20621 do Văn phòng Đăng ký đất đai Thái Bình cấp ngày 28/3/2025 cho Ông Trần Đại Nghĩa và Bà Đào Thị Mỹ Linh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1559"/>
        <w:gridCol w:w="3402"/>
        <w:gridCol w:w="4819"/>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275/2026/0407/VFI-CT.24.A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1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17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Đại Nghĩa</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275/2026/0407/VFI-HĐTĐ.24.A</w:t>
      </w:r>
      <w:r>
        <w:rPr>
          <w:spacing w:val="-4"/>
          <w:lang w:val="vi-VN"/>
        </w:rPr>
        <w:t xml:space="preserve"> ký ngày </w:t>
      </w:r>
      <w:r>
        <w:rPr>
          <w:color w:val="000000" w:themeColor="text1"/>
          <w:spacing w:val="-4"/>
        </w:rPr>
        <w:t xml:space="preserve">17 tháng 3 năm 2026</w:t>
      </w:r>
      <w:r>
        <w:rPr>
          <w:spacing w:val="-4"/>
          <w:lang w:val="vi-VN"/>
        </w:rPr>
        <w:t xml:space="preserve"> </w:t>
      </w:r>
      <w:r>
        <w:rPr>
          <w:spacing w:val="-4"/>
          <w:lang w:val="vi-VN"/>
        </w:rPr>
        <w:t xml:space="preserve">giữa </w:t>
      </w:r>
      <w:r>
        <w:rPr>
          <w:color w:val="000000" w:themeColor="text1"/>
          <w:spacing w:val="-4"/>
        </w:rPr>
        <w:t xml:space="preserve">Ông Trần Đại Nghĩa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275/2026/0407/VFI-BC.24.A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Trần Đại Nghĩa</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034097000855</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Tổ 1-2, phường Tiền Phong, thành phố Thái Bình, tỉnh Thái Bình </w:t>
            </w:r>
            <w:r>
              <w:rPr>
                <w:rFonts w:ascii="Times New Roman" w:hAnsi="Times New Roman" w:eastAsia="Times New Roman" w:cs="Times New Roman"/>
                <w:i/>
                <w:color w:val="000000"/>
                <w:sz w:val="24"/>
              </w:rPr>
              <w:t xml:space="preserve">(Nay là phường Thái Bình, tỉnh Hưng Yên)</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color w:val="000000"/>
        </w:rPr>
        <w:t xml:space="preserve">Giá trị quyền sử dụng đất tại thửa đất số: 327, tờ bản đồ số: 23 có địa chỉ: Tổ 1-2, phường Tiền Phong, thành phố Thái Bình, tỉnh Thái Bình</w:t>
      </w:r>
      <w:r>
        <w:rPr>
          <w:i/>
          <w:iCs/>
          <w:color w:val="000000"/>
        </w:rPr>
        <w:t xml:space="preserve"> (Nay l</w:t>
      </w:r>
      <w:r>
        <w:rPr>
          <w:i/>
          <w:iCs/>
          <w:color w:val="000000"/>
        </w:rPr>
        <w:t xml:space="preserve">à phường Thái Bình, tỉnh Hưng Yên)</w:t>
      </w:r>
      <w:r>
        <w:rPr>
          <w:color w:val="000000"/>
        </w:rPr>
        <w:t xml:space="preserve"> theo Giấy chứng nhận quyền sử dụng đất, quyền sở hữu tài sản gắn liền với đất số: AA 01569735, số vào sổ cấp GCN: VP 20621 do Văn phòng Đăng ký đất đai Thái Bình cấp ngày 28/3/2025 cho Ông Trần Đại Nghĩa và Bà Đào Thị Mỹ Linh</w:t>
      </w:r>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b/>
                <w:bCs/>
                <w:color w:val="000000"/>
              </w:rPr>
              <w:t xml:space="preserve">Giá trị quyền sử dụng đất tại thửa đất số: 327, tờ bản đồ số: 23 có địa chỉ: Tổ 1-2, phường Tiền Phong, thành phố Thái Bình, tỉnh Thái Bình</w:t>
            </w:r>
            <w:r>
              <w:rPr>
                <w:b/>
                <w:bCs/>
                <w:i/>
                <w:iCs/>
                <w:color w:val="000000"/>
              </w:rPr>
              <w:t xml:space="preserve"> (Nay l</w:t>
            </w:r>
            <w:r>
              <w:rPr>
                <w:b/>
                <w:bCs/>
                <w:i/>
                <w:iCs/>
                <w:color w:val="000000"/>
              </w:rPr>
              <w:t xml:space="preserve">à phường Thái Bình, tỉnh Hưng Yên)</w:t>
            </w:r>
            <w:r>
              <w:rPr>
                <w:b/>
                <w:bCs/>
                <w:color w:val="000000"/>
              </w:rPr>
              <w:t xml:space="preserve"> theo Giấy chứng nhận quyền sử dụng đất, quyền sở hữu tài sản gắn liền với đất số: AA 01569735, số vào sổ cấp GCN: VP 20621 do Văn phòng Đăng ký đất đai Thái Bình cấp ngày 28/3/2025 cho Ông Trần Đại Nghĩa và Bà Đào Thị Mỹ Linh</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w:t>
            </w:r>
            <w:r>
              <w:rPr>
                <w:b w:val="0"/>
                <w:bCs w:val="0"/>
              </w:rPr>
              <w:t xml:space="preserve">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51,3</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33.000.000</w:t>
            </w:r>
            <w:r/>
          </w:p>
        </w:tc>
        <w:tc>
          <w:tcPr>
            <w:shd w:val="clear" w:color="000000" w:fill="ffffff"/>
            <w:tcBorders/>
            <w:tcW w:w="1136" w:type="pct"/>
            <w:vAlign w:val="center"/>
            <w:textDirection w:val="lrTb"/>
            <w:noWrap w:val="false"/>
          </w:tcPr>
          <w:p>
            <w:pPr>
              <w:pBdr/>
              <w:spacing w:after="40" w:before="40" w:line="288" w:lineRule="auto"/>
              <w:ind/>
              <w:jc w:val="right"/>
              <w:rPr/>
            </w:pPr>
            <w:r>
              <w:rPr>
                <w:color w:val="000000" w:themeColor="text1"/>
              </w:rPr>
              <w:t xml:space="preserve">1.692.900.000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right"/>
              <w:rPr>
                <w:b/>
                <w:bCs/>
                <w:color w:val="000000"/>
              </w:rPr>
            </w:pPr>
            <w:r>
              <w:t xml:space="preserve">1.692.900.000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right"/>
              <w:rPr>
                <w:b/>
                <w:bCs/>
                <w:color w:val="000000"/>
              </w:rPr>
            </w:pPr>
            <w:r>
              <w:rPr>
                <w:b/>
                <w:bCs/>
                <w:color w:val="000000"/>
              </w:rPr>
              <w:t xml:space="preserve">1.693.000.000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sáu trăm chín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1417"/>
        <w:gridCol w:w="2268"/>
        <w:gridCol w:w="6378"/>
      </w:tblGrid>
      <w:tr>
        <w:trPr>
          <w:trHeight w:val="1152"/>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6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275/2026/0407/VFI-BC.24.A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jc w:val="left"/>
              <w:rPr>
                <w:color w:val="000000" w:themeColor="text1"/>
                <w:sz w:val="24"/>
                <w:szCs w:val="24"/>
                <w:lang w:val="vi-VN"/>
              </w:rPr>
            </w:pP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17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275/2026/0407/VFI-CT.24.A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1972"/>
        <w:gridCol w:w="216"/>
        <w:gridCol w:w="7593"/>
      </w:tblGrid>
      <w:tr>
        <w:trPr>
          <w:trHeight w:val="20"/>
        </w:trPr>
        <w:tc>
          <w:tcPr>
            <w:tcBorders/>
            <w:tcW w:w="197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7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7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93"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7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7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7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16"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7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16"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Trần Đại Nghĩa</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034097000855</w:t>
            </w:r>
            <w:r/>
          </w:p>
        </w:tc>
      </w:tr>
      <w:tr>
        <w:trPr>
          <w:trHeight w:val="20"/>
        </w:trPr>
        <w:tc>
          <w:tcPr>
            <w:tcBorders/>
            <w:tcW w:w="2518" w:type="dxa"/>
            <w:vAlign w:val="center"/>
            <w:textDirection w:val="lrTb"/>
            <w:noWrap w:val="false"/>
          </w:tcPr>
          <w:p>
            <w:pPr>
              <w:pBdr/>
              <w:tabs>
                <w:tab w:val="right" w:leader="none" w:pos="2302"/>
              </w:tabs>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tab/>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Tổ 1-2, phường Tiền Phong, thành phố Thái Bình, tỉnh Thái Bình </w:t>
            </w:r>
            <w:r>
              <w:rPr>
                <w:rFonts w:ascii="Times New Roman" w:hAnsi="Times New Roman" w:eastAsia="Times New Roman" w:cs="Times New Roman"/>
                <w:i/>
                <w:color w:val="000000"/>
                <w:sz w:val="24"/>
              </w:rPr>
              <w:t xml:space="preserve">(Nay là phường Thái Bình, tỉnh Hưng Yên)</w:t>
            </w:r>
            <w:r/>
          </w:p>
        </w:tc>
      </w:tr>
      <w:tr>
        <w:trPr>
          <w:trHeight w:val="20"/>
        </w:trPr>
        <w:tc>
          <w:tcPr>
            <w:tcBorders/>
            <w:tcW w:w="2518" w:type="dxa"/>
            <w:vAlign w:val="center"/>
            <w:vMerge w:val="restart"/>
            <w:textDirection w:val="lrTb"/>
            <w:noWrap w:val="false"/>
          </w:tcPr>
          <w:p>
            <w:pPr>
              <w:pBdr/>
              <w:tabs>
                <w:tab w:val="right" w:leader="none" w:pos="2302"/>
              </w:tabs>
              <w:spacing w:after="40" w:before="40" w:line="276" w:lineRule="auto"/>
              <w:ind/>
              <w:jc w:val="both"/>
              <w:rPr>
                <w:bCs/>
                <w:color w:val="000000" w:themeColor="text1"/>
                <w:lang w:val="pt-BR"/>
              </w:rPr>
            </w:pPr>
            <w:r>
              <w:rPr>
                <w:bCs/>
                <w:color w:val="000000" w:themeColor="text1"/>
                <w:lang w:val="pt-BR"/>
              </w:rPr>
              <w:t xml:space="preserve">Số hợp đồng</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Style w:val="1023"/>
                <w:rFonts w:ascii="Times New Roman" w:hAnsi="Times New Roman"/>
                <w:color w:val="000000" w:themeColor="text1"/>
                <w:lang w:val="pt-BR"/>
              </w:rPr>
              <w:t xml:space="preserve">275/2026/0407/VFI-HĐTĐ.24.A</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Giá trị quyền sử dụng đất tại thửa đất số: 327, tờ bản đồ số: 23 có địa chỉ: Tổ 1-2, phường Tiền Phong, thành phố Thái Bình, tỉnh Thái Bình</w:t>
            </w:r>
            <w:r>
              <w:rPr>
                <w:i/>
                <w:iCs/>
                <w:color w:val="000000"/>
              </w:rPr>
              <w:t xml:space="preserve"> (Nay l</w:t>
            </w:r>
            <w:r>
              <w:rPr>
                <w:i/>
                <w:iCs/>
                <w:color w:val="000000"/>
              </w:rPr>
              <w:t xml:space="preserve">à phường Thái Bình, tỉnh Hưng Yên)</w:t>
            </w:r>
            <w:r>
              <w:rPr>
                <w:color w:val="000000"/>
              </w:rPr>
              <w:t xml:space="preserve"> theo Giấy chứng nhận quyền sử dụng đất, quyền sở hữu tài sản gắn liền với đất số: AA 01569735, số vào sổ cấp GCN: VP 20621 do Văn phòng Đăng ký đất đai Thái Bình cấp ngày 28/3/2025 cho Ông Trần Đại Nghĩa và Bà Đào Thị Mỹ Linh</w:t>
            </w:r>
            <w:r>
              <w:rPr>
                <w:bCs/>
                <w:i/>
                <w:iCs/>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Thái Bình,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20.463267, 106.325943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r>
        <w:rPr>
          <w:bCs/>
          <w:color w:val="000000" w:themeColor="text1"/>
          <w:lang w:val="pt-BR"/>
        </w:rPr>
      </w:r>
      <w:r>
        <w:rPr>
          <w:color w:val="000000"/>
        </w:rPr>
      </w:r>
      <w:r>
        <w:rPr>
          <w:color w:val="000000"/>
        </w:rPr>
        <w:t xml:space="preserve">Giấy chứng nhận quyền sử dụng đất, quyền sở hữu tài sản gắn liền với đất số: AA 01569735, số vào sổ cấp GCN: VP 20621 do Văn phòng Đăng ký đất đai Thái Bình cấp ngày 28/3/2025 cho Ông Trần Đại Nghĩa và Bà Đào Thị Mỹ Linh</w:t>
      </w:r>
      <w:r>
        <w:rPr>
          <w:b/>
          <w:bCs/>
          <w:spacing w:val="2"/>
          <w:lang w:val="vi-VN"/>
        </w:rPr>
      </w:r>
      <w:r>
        <w:rPr>
          <w:bCs/>
          <w:color w:val="000000" w:themeColor="text1"/>
          <w:lang w:val="pt-BR"/>
        </w:rPr>
      </w:r>
      <w:r>
        <w:rPr>
          <w:lang w:val="pt-BR"/>
        </w:rPr>
        <w:t xml:space="preserve">.</w:t>
      </w:r>
      <w:r>
        <w:rPr>
          <w:i/>
          <w:iCs/>
          <w:lang w:val="pt-BR"/>
        </w:rPr>
      </w:r>
      <w:r>
        <w:rPr>
          <w:i/>
          <w:iCs/>
          <w:lang w:val="pt-BR"/>
        </w:rPr>
      </w:r>
      <w:r>
        <w:rPr>
          <w:b/>
          <w:bCs/>
          <w:spacing w:val="2"/>
          <w:lang w:val="vi-VN"/>
        </w:rPr>
      </w:r>
      <w:r>
        <w:rPr>
          <w:b/>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275/2026/0407/VFI-HĐTĐ.24.A ngày 17/3/2026 giữa Ông Trần Đại Nghĩa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25"/>
        <w:numPr>
          <w:ilvl w:val="0"/>
          <w:numId w:val="2"/>
        </w:numPr>
        <w:pBdr/>
        <w:tabs>
          <w:tab w:val="left" w:leader="none" w:pos="993"/>
        </w:tabs>
        <w:spacing w:after="120" w:before="120" w:line="276" w:lineRule="auto"/>
        <w:ind/>
        <w:jc w:val="both"/>
        <w:rPr>
          <w:iCs/>
          <w:color w:val="000000" w:themeColor="text1"/>
          <w:lang w:val="pt-BR"/>
          <w14:ligatures w14:val="none"/>
        </w:rPr>
      </w:pPr>
      <w:r>
        <w:rPr>
          <w:color w:val="000000" w:themeColor="text1"/>
          <w:lang w:val="pt-BR"/>
        </w:rPr>
        <w:t xml:space="preserve">Năm 2025 đánh dấu một bước ngoặt lịch sử trong quy hoạch hành chính vùng Đồng bằng sông Hồng khi </w:t>
      </w:r>
      <w:r>
        <w:rPr>
          <w:color w:val="000000" w:themeColor="text1"/>
          <w:lang w:val="pt-BR"/>
        </w:rPr>
        <w:t xml:space="preserve">Phường Thái Bình</w:t>
      </w:r>
      <w:r>
        <w:rPr>
          <w:color w:val="000000" w:themeColor="text1"/>
          <w:lang w:val="pt-BR"/>
        </w:rPr>
        <w:t xml:space="preserve"> chính thức được thành lập và sáp nhập vào địa phận tỉnh Hưng Yên. Đây là cuộc "đại phẫu" sáp nhập quy mô lớn, hợp nhất các phường trung tâm của Thành phố Thái Bình (cũ) và các xã thuộc huyện Vũ Thư, tạo nên một cực tăng trưởng mới đầy năng động</w:t>
      </w:r>
      <w:r>
        <w:rPr>
          <w:iCs/>
          <w:color w:val="000000" w:themeColor="text1"/>
          <w:lang w:val="pt-BR"/>
          <w14:ligatures w14:val="none"/>
        </w:rPr>
      </w:r>
      <w:r>
        <w:rPr>
          <w:iCs/>
          <w:color w:val="000000" w:themeColor="text1"/>
          <w:lang w:val="pt-BR"/>
          <w14:ligatures w14:val="none"/>
        </w:rPr>
      </w:r>
    </w:p>
    <w:p>
      <w:pPr>
        <w:pStyle w:val="1025"/>
        <w:numPr>
          <w:ilvl w:val="0"/>
          <w:numId w:val="2"/>
        </w:numPr>
        <w:pBdr/>
        <w:tabs>
          <w:tab w:val="left" w:leader="none" w:pos="993"/>
        </w:tabs>
        <w:spacing w:after="120" w:before="12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Phường Thái Bình được hình thành sau sáp nhập theo Nghị quyết của Ủy ban Thường vụ Quốc hội, mở rộng không gian hành chính, tinh gọn bộ máy. Khu vực có vị trí trung tâm, dân cư đông, hạ tầng - quy hoạch đô thị được điều chỉnh đồng bộ, tạo nền tảng phát tri</w:t>
      </w:r>
      <w:r>
        <w:rPr>
          <w:color w:val="000000" w:themeColor="text1"/>
          <w:lang w:val="pt-BR"/>
        </w:rPr>
        <w:t xml:space="preserve">ển kinh tế và thị trường nhà đất giai đoạn 2025-2030</w:t>
      </w:r>
      <w:r>
        <w:rPr>
          <w:color w:val="000000" w:themeColor="text1"/>
          <w:lang w:val="pt-BR"/>
          <w14:ligatures w14:val="none"/>
        </w:rPr>
      </w:r>
      <w:r>
        <w:rPr>
          <w:color w:val="000000" w:themeColor="text1"/>
          <w:lang w:val="pt-BR"/>
          <w14:ligatures w14:val="none"/>
        </w:rPr>
      </w:r>
    </w:p>
    <w:p>
      <w:pPr>
        <w:pStyle w:val="1025"/>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b/>
          <w:bCs/>
          <w:i/>
          <w:color w:val="000000" w:themeColor="text1"/>
          <w14:ligatures w14:val="none"/>
        </w:rPr>
      </w:pPr>
      <w:r>
        <w:rPr>
          <w:b/>
          <w:bCs/>
          <w:i/>
          <w:iCs/>
          <w:color w:val="000000" w:themeColor="text1"/>
          <w:lang w:val="pt-BR"/>
        </w:rPr>
        <w:t xml:space="preserve">Phân tích tiềm năng đầu tư theo khu vực cũ (Khu vực trọng điểm sau sáp nhập)</w:t>
      </w:r>
      <w:r>
        <w:rPr>
          <w:b/>
          <w:bCs/>
          <w:i/>
          <w:color w:val="000000" w:themeColor="text1"/>
          <w14:ligatures w14:val="none"/>
        </w:rPr>
      </w:r>
      <w:r>
        <w:rPr>
          <w:b/>
          <w:bCs/>
          <w:i/>
          <w:color w:val="000000" w:themeColor="text1"/>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Khu vực phường Lê Hồng Phong cũ: </w:t>
      </w:r>
      <w:r>
        <w:rPr>
          <w:color w:val="000000" w:themeColor="text1"/>
          <w:lang w:val="pt-BR"/>
        </w:rPr>
        <w:t xml:space="preserve">Tiềm năng</w:t>
      </w:r>
      <w:r>
        <w:rPr>
          <w:color w:val="000000" w:themeColor="text1"/>
          <w:lang w:val="pt-BR"/>
        </w:rPr>
        <w:t xml:space="preserve">: Là vùng lõi trung tâm, </w:t>
      </w:r>
      <w:hyperlink r:id="rId17" w:tooltip="https://nhadatvn.com.vn/nha-dat-ban-khu-vuc-phuong-le-hong-phong/" w:history="1">
        <w:r>
          <w:rPr>
            <w:color w:val="000000" w:themeColor="text1"/>
            <w:lang w:val="pt-BR"/>
          </w:rPr>
          <w:t xml:space="preserve">nhà đất bán phường Lê Hồng Phong, Thái Bình</w:t>
        </w:r>
      </w:hyperlink>
      <w:r>
        <w:rPr>
          <w:color w:val="000000" w:themeColor="text1"/>
          <w:lang w:val="pt-BR"/>
        </w:rPr>
        <w:t xml:space="preserve"> luôn có giá trị cao nhất. Đây là khu vực "giữ tiền" an toàn, phù hợp kinh doanh vàng bạc, tài chính hoặc văn phòng.</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Khu vực phường Bồ Xuyên cũ: </w:t>
      </w:r>
      <w:r>
        <w:rPr>
          <w:color w:val="000000" w:themeColor="text1"/>
          <w:lang w:val="pt-BR"/>
        </w:rPr>
        <w:t xml:space="preserve">Tiềm năng</w:t>
      </w:r>
      <w:r>
        <w:rPr>
          <w:color w:val="000000" w:themeColor="text1"/>
          <w:lang w:val="pt-BR"/>
        </w:rPr>
        <w:t xml:space="preserve">: Với lợi thế thương mại, </w:t>
      </w:r>
      <w:hyperlink r:id="rId18" w:tooltip="https://nhadatvn.com.vn/nha-dat-ban-khu-vuc-phuong-bo-xuyen/" w:history="1">
        <w:r>
          <w:rPr>
            <w:color w:val="000000" w:themeColor="text1"/>
            <w:lang w:val="pt-BR"/>
          </w:rPr>
          <w:t xml:space="preserve">nhà đất bán phường Bồ Xuyên, Thái Bình</w:t>
        </w:r>
      </w:hyperlink>
      <w:r>
        <w:rPr>
          <w:color w:val="000000" w:themeColor="text1"/>
          <w:lang w:val="pt-BR"/>
        </w:rPr>
        <w:t xml:space="preserve"> là gà đẻ trứng vàng cho nhà đầu tư thích dòng tiền. Giá trị cho thuê mặt bằng kinh doanh tại đây luôn ổn định và tăng trưởng.</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Khu vực phường Tiền Phong cũ: </w:t>
      </w:r>
      <w:r>
        <w:rPr>
          <w:color w:val="000000" w:themeColor="text1"/>
          <w:lang w:val="pt-BR"/>
        </w:rPr>
        <w:t xml:space="preserve">Tiềm năng:</w:t>
      </w:r>
      <w:r>
        <w:rPr>
          <w:color w:val="000000" w:themeColor="text1"/>
          <w:lang w:val="pt-BR"/>
        </w:rPr>
        <w:t xml:space="preserve"> Quy hoạch bài bản, đường rộng, </w:t>
      </w:r>
      <w:hyperlink r:id="rId19" w:tooltip="https://nhadatvn.com.vn/nha-dat-ban-khu-vuc-phuong-tien-phong/" w:history="1">
        <w:r>
          <w:rPr>
            <w:color w:val="000000" w:themeColor="text1"/>
            <w:lang w:val="pt-BR"/>
          </w:rPr>
          <w:t xml:space="preserve">nhà đất bán phường Tiền Phong, Thái Bình</w:t>
        </w:r>
      </w:hyperlink>
      <w:r>
        <w:rPr>
          <w:color w:val="000000" w:themeColor="text1"/>
          <w:lang w:val="pt-BR"/>
        </w:rPr>
        <w:t xml:space="preserve"> thu hút giới tri thức và gia đình trẻ muốn tìm không gian sống văn minh, hiện đại.</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Khu vực xã Tân Hòa cũ: </w:t>
      </w:r>
      <w:r>
        <w:rPr>
          <w:color w:val="000000" w:themeColor="text1"/>
          <w:lang w:val="pt-BR"/>
        </w:rPr>
        <w:t xml:space="preserve">Tiềm năng:</w:t>
      </w:r>
      <w:r>
        <w:rPr>
          <w:color w:val="000000" w:themeColor="text1"/>
          <w:lang w:val="pt-BR"/>
        </w:rPr>
        <w:t xml:space="preserve"> Chuyển mình từ xã lên phường, </w:t>
      </w:r>
      <w:hyperlink r:id="rId20" w:tooltip="https://nhadatvn.com.vn/nha-dat-ban-khu-vuc-xa-tan-hoa-tb3/" w:history="1">
        <w:r>
          <w:rPr>
            <w:color w:val="000000" w:themeColor="text1"/>
            <w:lang w:val="pt-BR"/>
          </w:rPr>
          <w:t xml:space="preserve">nhà đất bán xã Tân Hòa, Vũ Thư</w:t>
        </w:r>
      </w:hyperlink>
      <w:r>
        <w:rPr>
          <w:color w:val="000000" w:themeColor="text1"/>
          <w:lang w:val="pt-BR"/>
        </w:rPr>
        <w:t xml:space="preserve"> đang có biên độ tăng giá tốt nhờ hạ tầng kết nối được đầu tư mạnh mẽ.</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Khu vực xã Phúc Thành cũ: </w:t>
      </w:r>
      <w:r>
        <w:rPr>
          <w:color w:val="000000" w:themeColor="text1"/>
          <w:lang w:val="pt-BR"/>
        </w:rPr>
        <w:t xml:space="preserve">Tiềm năng:</w:t>
      </w:r>
      <w:r>
        <w:rPr>
          <w:color w:val="000000" w:themeColor="text1"/>
          <w:lang w:val="pt-BR"/>
        </w:rPr>
        <w:t xml:space="preserve"> </w:t>
      </w:r>
      <w:hyperlink r:id="rId21" w:tooltip="https://nhadatvn.com.vn/nha-dat-ban-khu-vuc-xa-phuc-thanh/" w:history="1">
        <w:r>
          <w:rPr>
            <w:color w:val="000000" w:themeColor="text1"/>
            <w:lang w:val="pt-BR"/>
          </w:rPr>
          <w:t xml:space="preserve">Nhà đất bán xã Phúc Thành, Vũ Thư</w:t>
        </w:r>
      </w:hyperlink>
      <w:r>
        <w:rPr>
          <w:color w:val="000000" w:themeColor="text1"/>
          <w:lang w:val="pt-BR"/>
        </w:rPr>
        <w:t xml:space="preserve"> có ưu thế quỹ đất rộng, phù hợp phát triển các khu nhà ở liền kề hoặc kho bãi logistics ven đô.</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Khu vực xã Tân Phong cũ: </w:t>
      </w:r>
      <w:r>
        <w:rPr>
          <w:color w:val="000000" w:themeColor="text1"/>
          <w:lang w:val="pt-BR"/>
        </w:rPr>
        <w:t xml:space="preserve">Tiềm năng</w:t>
      </w:r>
      <w:r>
        <w:rPr>
          <w:color w:val="000000" w:themeColor="text1"/>
          <w:lang w:val="pt-BR"/>
        </w:rPr>
        <w:t xml:space="preserve">: Nằm gần sông, </w:t>
      </w:r>
      <w:hyperlink r:id="rId22" w:tooltip="https://nhadatvn.com.vn/nha-dat-ban-khu-vuc-xa-tan-phong-tb/" w:history="1">
        <w:r>
          <w:rPr>
            <w:color w:val="000000" w:themeColor="text1"/>
            <w:lang w:val="pt-BR"/>
          </w:rPr>
          <w:t xml:space="preserve">nhà đất bán xã Tân Phong, Vũ Thư</w:t>
        </w:r>
      </w:hyperlink>
      <w:r>
        <w:rPr>
          <w:color w:val="000000" w:themeColor="text1"/>
          <w:lang w:val="pt-BR"/>
        </w:rPr>
        <w:t xml:space="preserve"> đang được săn đón để xây dựng biệt thự vườn, homestay sinh thái nhờ không khí trong lành.</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Khu vực xã Tân Bình cũ: </w:t>
      </w:r>
      <w:r>
        <w:rPr>
          <w:color w:val="000000" w:themeColor="text1"/>
          <w:lang w:val="pt-BR"/>
        </w:rPr>
        <w:t xml:space="preserve">Tiềm năng:</w:t>
      </w:r>
      <w:r>
        <w:rPr>
          <w:color w:val="000000" w:themeColor="text1"/>
          <w:lang w:val="pt-BR"/>
        </w:rPr>
        <w:t xml:space="preserve"> Giá đầu vào còn mềm, </w:t>
      </w:r>
      <w:hyperlink r:id="rId23" w:tooltip="https://nhadatvn.com.vn/nha-dat-ban-khu-vuc-xa-tan-binh-tb/" w:history="1">
        <w:r>
          <w:rPr>
            <w:color w:val="000000" w:themeColor="text1"/>
            <w:lang w:val="pt-BR"/>
          </w:rPr>
          <w:t xml:space="preserve">nhà đất bán xã Tân Bình, Thái Bình</w:t>
        </w:r>
      </w:hyperlink>
      <w:r>
        <w:rPr>
          <w:color w:val="000000" w:themeColor="text1"/>
          <w:lang w:val="pt-BR"/>
        </w:rPr>
        <w:t xml:space="preserve"> là lựa chọn lý tưởng cho nhà đầu tư vốn mỏng muốn tích sản dài hạn (3-5 năm).</w:t>
      </w:r>
      <w:r>
        <w:rPr>
          <w:color w:val="000000" w:themeColor="text1"/>
          <w:lang w:val="pt-BR"/>
          <w14:ligatures w14:val="none"/>
        </w:rPr>
      </w:r>
      <w:r>
        <w:rPr>
          <w:color w:val="000000" w:themeColor="text1"/>
          <w:lang w:val="pt-BR"/>
          <w14:ligatures w14:val="none"/>
        </w:rPr>
      </w:r>
    </w:p>
    <w:p>
      <w:pPr>
        <w:pStyle w:val="1025"/>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b/>
          <w:bCs/>
          <w:i/>
          <w:color w:val="000000" w:themeColor="text1"/>
          <w14:ligatures w14:val="none"/>
        </w:rPr>
      </w:pPr>
      <w:r>
        <w:rPr>
          <w:b/>
          <w:bCs/>
          <w:i/>
          <w:iCs/>
          <w:color w:val="000000" w:themeColor="text1"/>
          <w:lang w:val="pt-BR"/>
        </w:rPr>
        <w:t xml:space="preserve">Phân tích thị trường &amp; Tiềm năng Bất động sản phường Thái Bình</w:t>
      </w:r>
      <w:r>
        <w:rPr>
          <w:b/>
          <w:bCs/>
          <w:i/>
          <w:color w:val="000000" w:themeColor="text1"/>
          <w14:ligatures w14:val="none"/>
        </w:rPr>
      </w:r>
      <w:r>
        <w:rPr>
          <w:b/>
          <w:bCs/>
          <w:i/>
          <w:color w:val="000000" w:themeColor="text1"/>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Thị trường </w:t>
      </w:r>
      <w:hyperlink r:id="rId24" w:tooltip="https://nhadatvn.com.vn/nha-dat-ban-khu-vuc-thanh-pho-thai-binh/" w:history="1">
        <w:r>
          <w:rPr>
            <w:color w:val="000000" w:themeColor="text1"/>
            <w:lang w:val="pt-BR"/>
          </w:rPr>
          <w:t xml:space="preserve">nhà đất thành phố Thái Bình</w:t>
        </w:r>
      </w:hyperlink>
      <w:r>
        <w:rPr>
          <w:color w:val="000000" w:themeColor="text1"/>
          <w:lang w:val="pt-BR"/>
        </w:rPr>
        <w:t xml:space="preserve"> cũ (nay thuộc Phường Thái Bình, Hưng Yên) đang bước vào chu kỳ tăng trưởng mới. Sự cộng hưởng giữa hạ tầng đô thị cũ và nguồn lực mới từ tỉnh Hưng Yên tạo đà bứt phá mạnh mẽ.</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Phân khúc nhà mặt tiền phường Thái Bình:</w:t>
      </w:r>
      <w:r>
        <w:rPr>
          <w:color w:val="000000" w:themeColor="text1"/>
          <w:lang w:val="pt-BR"/>
        </w:rPr>
        <w:t xml:space="preserve"> xu hướng</w:t>
      </w:r>
      <w:r>
        <w:rPr>
          <w:color w:val="000000" w:themeColor="text1"/>
          <w:lang w:val="pt-BR"/>
        </w:rPr>
        <w:t xml:space="preserve"> n</w:t>
      </w:r>
      <w:hyperlink r:id="rId25" w:tooltip="https://nhadatvn.com.vn/ban-nha-mat-tien-khu-vuc-thanh-pho-thai-binh/" w:history="1">
        <w:r>
          <w:rPr>
            <w:color w:val="000000" w:themeColor="text1"/>
            <w:lang w:val="pt-BR"/>
          </w:rPr>
          <w:t xml:space="preserve">hà mặt tiền Thái Bình</w:t>
        </w:r>
      </w:hyperlink>
      <w:r>
        <w:rPr>
          <w:color w:val="000000" w:themeColor="text1"/>
          <w:lang w:val="pt-BR"/>
        </w:rPr>
        <w:t xml:space="preserve"> trên các trục Lý Thường Kiệt, Trần Thánh Tông cực kỳ khan hiếm. Đây là phân khúc dành cho "cá mập" với mục đích kinh doanh chuỗi hoặc làm trụ sở công ty.</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Phân khúc nhà hẻm phường Thái Bình</w:t>
      </w:r>
      <w:r>
        <w:rPr>
          <w:color w:val="000000" w:themeColor="text1"/>
          <w:lang w:val="pt-BR"/>
        </w:rPr>
        <w:t xml:space="preserve">: </w:t>
      </w:r>
      <w:r>
        <w:rPr>
          <w:color w:val="000000" w:themeColor="text1"/>
          <w:lang w:val="pt-BR"/>
        </w:rPr>
        <w:t xml:space="preserve">Giao dịch n</w:t>
      </w:r>
      <w:hyperlink r:id="rId26" w:tooltip="https://nhadatvn.com.vn/ban-nha-ngo-hem-khu-vuc-thanh-pho-thai-binh/" w:history="1">
        <w:r>
          <w:rPr>
            <w:color w:val="000000" w:themeColor="text1"/>
            <w:lang w:val="pt-BR"/>
          </w:rPr>
          <w:t xml:space="preserve">hà hẻm Thái Bình</w:t>
        </w:r>
      </w:hyperlink>
      <w:r>
        <w:rPr>
          <w:color w:val="000000" w:themeColor="text1"/>
          <w:lang w:val="pt-BR"/>
        </w:rPr>
        <w:t xml:space="preserve"> tại khu vực Bồ Xuyên, Tiền Phong có thanh khoản rất tốt. Mức giá từ 1.8 - 2.5 tỷ đồng/căn phù hợp với nhu cầu ở thực của đại đa số người dân.</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Đất nền phường Thái Bình:</w:t>
      </w:r>
      <w:r>
        <w:rPr>
          <w:color w:val="000000" w:themeColor="text1"/>
          <w:lang w:val="pt-BR"/>
        </w:rPr>
        <w:t xml:space="preserve"> cơ hội</w:t>
      </w:r>
      <w:r>
        <w:rPr>
          <w:color w:val="000000" w:themeColor="text1"/>
          <w:lang w:val="pt-BR"/>
        </w:rPr>
        <w:t xml:space="preserve"> nguồn cung </w:t>
      </w:r>
      <w:hyperlink r:id="rId27" w:tooltip="https://nhadatvn.com.vn/ban-dat-tho-cu-khu-vuc-thanh-pho-thai-binh/" w:history="1">
        <w:r>
          <w:rPr>
            <w:color w:val="000000" w:themeColor="text1"/>
            <w:lang w:val="pt-BR"/>
          </w:rPr>
          <w:t xml:space="preserve">đất ở Thái Bình</w:t>
        </w:r>
      </w:hyperlink>
      <w:r>
        <w:rPr>
          <w:color w:val="000000" w:themeColor="text1"/>
          <w:lang w:val="pt-BR"/>
        </w:rPr>
        <w:t xml:space="preserve"> tại khu vực Tân Hòa, Tân Phong đang dồi dào. Nhà đầu tư đang có xu hướng dịch chuyển về đây để đón sóng hạ tầng khi các tuyến đường liên phường được mở rộng.</w:t>
      </w:r>
      <w:r>
        <w:rPr>
          <w:color w:val="000000" w:themeColor="text1"/>
          <w:lang w:val="pt-BR"/>
          <w14:ligatures w14:val="none"/>
        </w:rPr>
      </w:r>
      <w:r>
        <w:rPr>
          <w:color w:val="000000" w:themeColor="text1"/>
          <w:lang w:val="pt-BR"/>
          <w14:ligatures w14:val="none"/>
        </w:rPr>
      </w:r>
    </w:p>
    <w:p>
      <w:pPr>
        <w:pBdr/>
        <w:tabs>
          <w:tab w:val="left" w:leader="none" w:pos="426"/>
        </w:tabs>
        <w:spacing w:after="120" w:before="120" w:line="276" w:lineRule="auto"/>
        <w:ind/>
        <w:jc w:val="center"/>
        <w:rPr>
          <w:bCs w:val="0"/>
          <w:i w:val="0"/>
        </w:rPr>
      </w:pPr>
      <w:r>
        <w:rPr>
          <w:i w:val="0"/>
          <w:iCs w:val="0"/>
          <w:highlight w:val="none"/>
          <w:lang w:val="pt-BR" w:bidi="pt-BR"/>
        </w:rPr>
        <w:t xml:space="preserve">(</w:t>
      </w:r>
      <w:r>
        <w:rPr>
          <w:i/>
          <w:iCs/>
          <w:highlight w:val="none"/>
          <w:lang w:val="pt-BR" w:bidi="pt-BR"/>
        </w:rPr>
        <w:t xml:space="preserve">Nguồn tham khảo</w:t>
      </w:r>
      <w:r>
        <w:rPr>
          <w:i w:val="0"/>
          <w:iCs w:val="0"/>
          <w:highlight w:val="none"/>
          <w:lang w:val="pt-BR" w:bidi="pt-BR"/>
        </w:rPr>
        <w:t xml:space="preserve">: </w:t>
      </w:r>
      <w:r>
        <w:rPr>
          <w:i/>
          <w:iCs/>
          <w:highlight w:val="none"/>
          <w:lang w:val="pt-BR" w:bidi="pt-BR"/>
        </w:rPr>
        <w:t xml:space="preserve">https://nhadatvn.com.vn/blog/phuong-thai-binh/</w:t>
      </w:r>
      <w:r>
        <w:rPr>
          <w:bCs w:val="0"/>
          <w:i w:val="0"/>
        </w:rPr>
        <w:t xml:space="preserve">)</w:t>
      </w:r>
      <w:r>
        <w:rPr>
          <w:bCs w:val="0"/>
          <w:i w:val="0"/>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Cs/>
                <w:color w:val="000000" w:themeColor="text1"/>
                <w:lang w:val="pt-BR"/>
              </w:rPr>
            </w:r>
            <w:r>
              <w:rPr>
                <w:b/>
                <w:bCs/>
                <w:color w:val="000000"/>
              </w:rPr>
              <w:t xml:space="preserve">Quyền sử dụng đất tại thửa đất số: 327, tờ bản đồ số: 23 có địa chỉ: Tổ 1-2, phường Tiền Phong, thành phố Thái Bình, tỉnh Thái Bình</w:t>
            </w:r>
            <w:r>
              <w:rPr>
                <w:b/>
                <w:bCs/>
                <w:i/>
                <w:iCs/>
                <w:color w:val="000000"/>
              </w:rPr>
              <w:t xml:space="preserve"> (Nay l</w:t>
            </w:r>
            <w:r>
              <w:rPr>
                <w:b/>
                <w:bCs/>
                <w:i/>
                <w:iCs/>
                <w:color w:val="000000"/>
              </w:rPr>
              <w:t xml:space="preserve">à phường Thái Bình, tỉnh Hưng Yên)</w:t>
            </w:r>
            <w:r>
              <w:rPr>
                <w:b/>
                <w:bCs/>
                <w:color w:val="000000"/>
              </w:rPr>
              <w:t xml:space="preserve"> theo Giấy chứng nhận quyền sử dụng đất, quyền sở hữu tài sản gắn liền với đất số: AA 01569735, số vào sổ cấp GCN: VP 20621 do Văn phòng Đăng ký đất đai Thái Bình cấp ngày 28/3/2025 cho Ông Trần Đại Nghĩa và Bà Đào Thị Mỹ Linh</w:t>
            </w:r>
            <w:r>
              <w:rPr>
                <w:b/>
                <w:bCs/>
                <w:color w:val="000000"/>
              </w:rPr>
              <w:t xml:space="preserve">.</w:t>
            </w:r>
            <w:r>
              <w:rPr>
                <w:b/>
                <w:bCs/>
                <w:color w:val="000000"/>
              </w:rPr>
            </w:r>
            <w:r>
              <w:rPr>
                <w:b/>
                <w:bCs/>
                <w:spacing w:val="2"/>
                <w:lang w:val="vi-VN"/>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Tiền Phong, Thành phố Thái Bình, Tỉnh Thái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51,3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Tổ thẩm định tham khảo website quy hoạch Meeymap tài sản thẩm định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9705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711145" name=""/>
                              <pic:cNvPicPr>
                                <a:picLocks noChangeAspect="1"/>
                              </pic:cNvPicPr>
                              <pic:nvPr/>
                            </pic:nvPicPr>
                            <pic:blipFill rotWithShape="1">
                              <a:blip r:embed="rId28"/>
                              <a:stretch/>
                            </pic:blipFill>
                            <pic:spPr bwMode="auto">
                              <a:xfrm>
                                <a:off x="0" y="0"/>
                                <a:ext cx="6048374" cy="2970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3.90pt;mso-wrap-distance-left:0.00pt;mso-wrap-distance-top:0.00pt;mso-wrap-distance-right:0.00pt;mso-wrap-distance-bottom:0.00pt;z-index:1;" stroked="false">
                      <v:imagedata r:id="rId2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3,48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Quách Hữu Nghiêm khoảng 90m.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ff0000"/>
                <w:highlight w:val="none"/>
              </w:rPr>
            </w:pPr>
            <w:r/>
            <w:bookmarkStart w:id="3" w:name="OLE_LINK1"/>
            <w:r>
              <w:rPr>
                <w:color w:val="000000" w:themeColor="text1"/>
              </w:rPr>
            </w:r>
            <w:bookmarkEnd w:id="3"/>
            <w:r>
              <w:rPr>
                <w:color w:val="000000" w:themeColor="text1"/>
              </w:rPr>
              <w:t xml:space="preserve">+ H</w:t>
            </w:r>
            <w:r>
              <w:rPr>
                <w:color w:val="ff0000"/>
              </w:rPr>
              <w:t xml:space="preserve">ướng Đông Bắc: Tiếp giáp đường giao thông;</w:t>
            </w:r>
            <w:r>
              <w:rPr>
                <w:color w:val="ff0000"/>
              </w:rPr>
            </w:r>
          </w:p>
          <w:p>
            <w:pPr>
              <w:pBdr/>
              <w:spacing/>
              <w:ind/>
              <w:rPr>
                <w:color w:val="000000" w:themeColor="text1"/>
              </w:rPr>
            </w:pPr>
            <w:r>
              <w:rPr>
                <w:color w:val="ff0000"/>
                <w:highlight w:val="none"/>
              </w:rPr>
              <w:t xml:space="preserve">+ Các hướng còn lại: Tiếp giáp các thử</w:t>
            </w:r>
            <w:r>
              <w:rPr>
                <w:color w:val="000000" w:themeColor="text1"/>
                <w:highlight w:val="none"/>
              </w:rPr>
              <w:t xml:space="preserve">a đất khác.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20.463267</w:t>
            </w:r>
            <w:r>
              <w:rPr>
                <w:color w:val="000000"/>
              </w:rPr>
              <w:t xml:space="preserve">, </w:t>
            </w:r>
            <w:r>
              <w:rPr>
                <w:color w:val="000000"/>
              </w:rPr>
              <w:t xml:space="preserve">106.325943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37845" cy="2993658"/>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437845" cy="29936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18pt;height:235.72pt;mso-wrap-distance-left:0.00pt;mso-wrap-distance-top:0.00pt;mso-wrap-distance-right:0.00pt;mso-wrap-distance-bottom:0.00pt;z-index:1;" stroked="false">
                      <v:imagedata r:id="rId2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51,3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4,8</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val="0"/>
                <w:bCs w:val="0"/>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w:t>
            </w:r>
            <w:r>
              <w:rPr>
                <w:b w:val="0"/>
                <w:bCs w:val="0"/>
                <w:color w:val="000000"/>
              </w:rPr>
              <w:t xml:space="preserve">Đất trống.</w:t>
            </w:r>
            <w:r>
              <w:rPr>
                <w:b w:val="0"/>
                <w:bCs w:val="0"/>
                <w:color w:val="000000"/>
              </w:rPr>
            </w:r>
            <w:r>
              <w:rPr>
                <w:b w:val="0"/>
                <w:bCs w:val="0"/>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Tổ 1-2, phường Tiền Phong, thành phố Thái Bình, tỉnh Thái Bình.</w:t>
            </w:r>
            <w:r/>
          </w:p>
        </w:tc>
        <w:tc>
          <w:tcPr>
            <w:tcBorders/>
            <w:tcW w:w="1605" w:type="dxa"/>
            <w:vAlign w:val="center"/>
            <w:textDirection w:val="lrTb"/>
            <w:noWrap w:val="false"/>
          </w:tcPr>
          <w:p>
            <w:pPr>
              <w:pBdr/>
              <w:spacing/>
              <w:ind/>
              <w:jc w:val="center"/>
              <w:rPr/>
            </w:pPr>
            <w:r>
              <w:t xml:space="preserve">Tổ 1-2, phường Tiền Phong, thành phố Thái Bình, tỉnh Thái Bình</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Tiền Phong, Thành phố Thái Bình, Tỉnh Thái Bình</w:t>
            </w:r>
            <w:r/>
          </w:p>
        </w:tc>
        <w:tc>
          <w:tcPr>
            <w:tcBorders/>
            <w:tcW w:w="1605" w:type="dxa"/>
            <w:vAlign w:val="center"/>
            <w:textDirection w:val="lrTb"/>
            <w:noWrap w:val="false"/>
          </w:tcPr>
          <w:p>
            <w:pPr>
              <w:pBdr/>
              <w:spacing/>
              <w:ind/>
              <w:jc w:val="center"/>
              <w:rPr/>
            </w:pPr>
            <w:r>
              <w:t xml:space="preserve">Phường Thái Bình, Tỉnh Hưng Yên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 mặt cắt ngõ nhỏ nhất dẫn vào tài sản</w:t>
            </w:r>
            <w:r/>
          </w:p>
        </w:tc>
        <w:tc>
          <w:tcPr>
            <w:tcBorders/>
            <w:tcW w:w="1560" w:type="dxa"/>
            <w:vAlign w:val="center"/>
            <w:textDirection w:val="lrTb"/>
            <w:noWrap w:val="false"/>
          </w:tcPr>
          <w:p>
            <w:pPr>
              <w:pBdr/>
              <w:spacing/>
              <w:ind/>
              <w:jc w:val="center"/>
              <w:rPr/>
            </w:pPr>
            <w:r>
              <w:t xml:space="preserve">3,48m/2,4m</w:t>
            </w:r>
            <w:r/>
          </w:p>
        </w:tc>
        <w:tc>
          <w:tcPr>
            <w:tcBorders/>
            <w:tcW w:w="1605" w:type="dxa"/>
            <w:vAlign w:val="center"/>
            <w:textDirection w:val="lrTb"/>
            <w:noWrap w:val="false"/>
          </w:tcPr>
          <w:p>
            <w:pPr>
              <w:pBdr/>
              <w:spacing/>
              <w:ind/>
              <w:jc w:val="center"/>
              <w:rPr/>
            </w:pPr>
            <w:r>
              <w:t xml:space="preserve">3,48m/2,4m</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51,3</w:t>
            </w:r>
            <w:r/>
          </w:p>
        </w:tc>
        <w:tc>
          <w:tcPr>
            <w:tcBorders/>
            <w:tcW w:w="1605" w:type="dxa"/>
            <w:vAlign w:val="center"/>
            <w:textDirection w:val="lrTb"/>
            <w:noWrap w:val="false"/>
          </w:tcPr>
          <w:p>
            <w:pPr>
              <w:pBdr/>
              <w:spacing/>
              <w:ind/>
              <w:jc w:val="center"/>
              <w:rPr/>
            </w:pPr>
            <w:r>
              <w:t xml:space="preserve">51,3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4,8</w:t>
            </w:r>
            <w:r/>
          </w:p>
        </w:tc>
        <w:tc>
          <w:tcPr>
            <w:tcBorders/>
            <w:tcW w:w="1605" w:type="dxa"/>
            <w:vAlign w:val="center"/>
            <w:textDirection w:val="lrTb"/>
            <w:noWrap w:val="false"/>
          </w:tcPr>
          <w:p>
            <w:pPr>
              <w:pBdr/>
              <w:spacing/>
              <w:ind/>
              <w:jc w:val="center"/>
              <w:rPr/>
            </w:pPr>
            <w:r>
              <w:t xml:space="preserve">4,8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10,7</w:t>
            </w:r>
            <w:r/>
          </w:p>
        </w:tc>
        <w:tc>
          <w:tcPr>
            <w:tcBorders/>
            <w:tcW w:w="1605" w:type="dxa"/>
            <w:vAlign w:val="center"/>
            <w:textDirection w:val="lrTb"/>
            <w:noWrap w:val="false"/>
          </w:tcPr>
          <w:p>
            <w:pPr>
              <w:pBdr/>
              <w:spacing/>
              <w:ind/>
              <w:jc w:val="center"/>
              <w:rPr/>
            </w:pPr>
            <w:r>
              <w:t xml:space="preserve">10,7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Bắc ✔</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 ✔</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244"/>
        <w:gridCol w:w="1417"/>
        <w:gridCol w:w="2127"/>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244"/>
        <w:gridCol w:w="1417"/>
        <w:gridCol w:w="2127"/>
      </w:tblGrid>
      <w:tr>
        <w:trPr>
          <w:cantSplit/>
          <w:tblCellSpacing w:w="0" w:type="dxa"/>
          <w:trHeight w:val="504"/>
          <w:tblHeader/>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417" w:type="dxa"/>
            <w:vAlign w:val="center"/>
            <w:textDirection w:val="lrTb"/>
            <w:noWrap w:val="false"/>
          </w:tcPr>
          <w:p>
            <w:pPr>
              <w:widowControl w:val="false"/>
              <w:pBdr/>
              <w:spacing w:line="264"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64"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64"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64"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64" w:lineRule="auto"/>
              <w:ind w:left="144"/>
              <w:jc w:val="center"/>
              <w:rPr/>
            </w:pPr>
            <w:r>
              <w:t xml:space="preserve">Không</w:t>
            </w:r>
            <w:r/>
          </w:p>
        </w:tc>
        <w:tc>
          <w:tcPr>
            <w:tcBorders/>
            <w:tcW w:w="2127" w:type="dxa"/>
            <w:vAlign w:val="center"/>
            <w:textDirection w:val="lrTb"/>
            <w:noWrap w:val="false"/>
          </w:tcPr>
          <w:p>
            <w:pPr>
              <w:widowControl w:val="false"/>
              <w:pBdr/>
              <w:spacing w:line="264"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r>
        <w:rPr>
          <w:highlight w:val="none"/>
          <w:lang w:val="de-DE" w:bidi="de-DE"/>
        </w:rPr>
      </w:r>
      <w:r>
        <w:rPr>
          <w:lang w:val="de-DE"/>
        </w:rPr>
      </w:r>
      <w:r>
        <w:rPr>
          <w:lang w:val="de-DE"/>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Tiền Phong, Thành phố Thái Bình, Tỉnh Thái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Tiền Phong, Thành phố Thái Bình, Tỉnh Thái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Tiền Phong, Thành phố Thái Bình, Tỉnh Thái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Tiền Phong, Thành phố Thái Bình, Tỉnh Thái Bình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facebook.com/groups/1672499129706670/posts/4040550689568157/?__cft__[0]=</w:t>
            </w:r>
            <w:r>
              <w:rPr>
                <w:color w:val="000000" w:themeColor="text1"/>
                <w:sz w:val="22"/>
                <w:szCs w:val="22"/>
              </w:rPr>
              <w:t xml:space="preserve">AZbma35xQqWaOSmseBl4jvP117ABt2RQQsKRM7doD0_Ox9CobZqnvcpGPEsowUIp98rL67ufnQGJMBRCiSAyn75KkmPgvPYUjcAwqKmiNrcyOgAYcyV7SkxIl_HQWz0yR41W71qsMAg8kJMFxKbgJe4BH2q6VOnEAGsmBZ2in_e3TEzZXK9MZBi_3gsWEwnyrzxnutsWNDaJOGXvs9Fd5Nu2ZtqZGPqeAUjjeXVB1Y-5Sg&amp;__tn__=%2CO%2CP-R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https://www.facebook.com/groups/1672499129706670/posts/4040550689568157/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https://batdongsan.com.vn/ban-nha-rieng-phuong-tien-phong-7/dep-3-tang-xay-moi-ngo-o-to-do-cua-gia-re-nhat-khu-vuc-pr44366054#js__pr-expired__content-anchor</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0981.335102</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0981.335102</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0974.074069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Thái Bình, Tỉnh Hưng Yên, cách đường Quách Hữu Nghiêm khoảng 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Thái Bình, Tỉnh Hưng Yên, cách đường Lý Bôn khoảng 250m.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Thái Bình, Tỉnh Hưng Yên, cách đường Lý Bôn khoảng 250m.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Thái Bình, Tỉnh Hưng Yên, cách đường Quách Hữu Nghiêm khoảng 50m.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1.611.000.000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2.385.000.000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2.205.000.000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1.611.000.000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38.992.627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32.475.765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36.018.718</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1765"/>
        <w:gridCol w:w="1030"/>
        <w:gridCol w:w="1522"/>
        <w:gridCol w:w="1522"/>
        <w:gridCol w:w="1522"/>
        <w:gridCol w:w="1522"/>
      </w:tblGrid>
      <w:tr>
        <w:trPr>
          <w:trHeight w:val="20"/>
          <w:tblHeader/>
        </w:trPr>
        <w:tc>
          <w:tcPr>
            <w:shd w:val="clear" w:color="000000" w:fill="ffffff"/>
            <w:tcBorders/>
            <w:tcW w:w="648"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48"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88"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0"/>
                <w:szCs w:val="20"/>
              </w:rPr>
            </w:pPr>
            <w:r>
              <w:rPr>
                <w:color w:val="000000" w:themeColor="text1"/>
                <w:sz w:val="22"/>
                <w:szCs w:val="22"/>
              </w:rPr>
              <w:t xml:space="preserve">1.395.936.064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88" w:lineRule="auto"/>
              <w:ind/>
              <w:jc w:val="center"/>
              <w:rPr>
                <w:color w:val="000000"/>
                <w:sz w:val="20"/>
                <w:szCs w:val="20"/>
              </w:rPr>
            </w:pPr>
            <w:r>
              <w:rPr>
                <w:color w:val="000000" w:themeColor="text1"/>
                <w:sz w:val="22"/>
                <w:szCs w:val="22"/>
              </w:rPr>
              <w:t xml:space="preserve">1.370.477.304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88" w:lineRule="auto"/>
              <w:ind/>
              <w:jc w:val="center"/>
              <w:rPr>
                <w:color w:val="000000"/>
                <w:sz w:val="20"/>
                <w:szCs w:val="20"/>
              </w:rPr>
            </w:pPr>
            <w:r>
              <w:rPr>
                <w:color w:val="000000" w:themeColor="text1"/>
                <w:sz w:val="22"/>
                <w:szCs w:val="22"/>
              </w:rPr>
              <w:t xml:space="preserve">1.116.580.264</w:t>
            </w:r>
            <w:r>
              <w:rPr>
                <w:color w:val="000000"/>
                <w:sz w:val="20"/>
                <w:szCs w:val="20"/>
              </w:rPr>
            </w:r>
            <w:r>
              <w:rPr>
                <w:color w:val="000000"/>
                <w:sz w:val="20"/>
                <w:szCs w:val="20"/>
              </w:rPr>
            </w:r>
          </w:p>
        </w:tc>
      </w:tr>
      <w:tr>
        <w:trPr>
          <w:trHeight w:val="20"/>
        </w:trPr>
        <w:tc>
          <w:tcPr>
            <w:shd w:val="clear" w:color="000000" w:fill="ffffff"/>
            <w:tcBorders/>
            <w:tcW w:w="648"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88"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88"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38.992.627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32.475.765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36.018.718</w:t>
            </w:r>
            <w:r>
              <w:rPr>
                <w:color w:val="000000"/>
                <w:sz w:val="22"/>
                <w:szCs w:val="22"/>
              </w:rPr>
            </w:r>
            <w:r>
              <w:rPr>
                <w:color w:val="000000"/>
                <w:sz w:val="22"/>
                <w:szCs w:val="22"/>
              </w:rPr>
            </w:r>
          </w:p>
        </w:tc>
      </w:tr>
      <w:tr>
        <w:trPr>
          <w:trHeight w:val="20"/>
        </w:trPr>
        <w:tc>
          <w:tcPr>
            <w:shd w:val="clear" w:color="000000" w:fill="ffffff"/>
            <w:tcBorders/>
            <w:tcW w:w="648"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88"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48" w:type="dxa"/>
            <w:vAlign w:val="center"/>
            <w:vMerge w:val="restart"/>
            <w:textDirection w:val="lrTb"/>
            <w:noWrap w:val="false"/>
          </w:tcPr>
          <w:p>
            <w:pPr>
              <w:pBdr/>
              <w:spacing w:line="288"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38.992.627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32.475.765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36.018.718</w:t>
            </w:r>
            <w:r>
              <w:rPr>
                <w:color w:val="000000"/>
                <w:sz w:val="22"/>
                <w:szCs w:val="22"/>
              </w:rPr>
            </w:r>
            <w:r>
              <w:rPr>
                <w:color w:val="000000"/>
                <w:sz w:val="22"/>
                <w:szCs w:val="22"/>
              </w:rPr>
            </w:r>
          </w:p>
        </w:tc>
      </w:tr>
      <w:tr>
        <w:trPr>
          <w:trHeight w:val="20"/>
        </w:trPr>
        <w:tc>
          <w:tcPr>
            <w:shd w:val="clear" w:color="000000" w:fill="ffffff"/>
            <w:tcBorders/>
            <w:tcW w:w="648" w:type="dxa"/>
            <w:vAlign w:val="center"/>
            <w:vMerge w:val="restart"/>
            <w:textDirection w:val="lrTb"/>
            <w:noWrap w:val="false"/>
          </w:tcPr>
          <w:p>
            <w:pPr>
              <w:pBdr/>
              <w:spacing w:line="288"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2"/>
              </w:rPr>
              <w:t xml:space="preserve">Phường Thái Bình, Tỉnh Hưng Yên, cách đường Quách Hữu Nghiêm khoảng 50m.</w:t>
            </w:r>
            <w:r/>
          </w:p>
        </w:tc>
        <w:tc>
          <w:tcPr>
            <w:shd w:val="clear" w:color="000000" w:fill="ffffff"/>
            <w:tcBorders/>
            <w:tcW w:w="1522"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2"/>
              </w:rPr>
              <w:t xml:space="preserve">Phường Thái Bình, Tỉnh Hưng Yên, cách đường Lý Bôn khoảng 250m.</w:t>
            </w:r>
            <w:r/>
          </w:p>
        </w:tc>
        <w:tc>
          <w:tcPr>
            <w:shd w:val="clear" w:color="000000" w:fill="ffffff"/>
            <w:tcBorders/>
            <w:tcW w:w="1522"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2"/>
              </w:rPr>
              <w:t xml:space="preserve">Phường Thái Bình, Tỉnh Hưng Yên, cách đường Lý Bôn khoảng 250m.</w:t>
            </w:r>
            <w:r/>
          </w:p>
        </w:tc>
        <w:tc>
          <w:tcPr>
            <w:shd w:val="clear" w:color="000000" w:fill="ffffff"/>
            <w:tcBorders/>
            <w:tcW w:w="1522"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2"/>
              </w:rPr>
              <w:t xml:space="preserve">Phường Thái Bình, Tỉnh Hưng Yên, cách đường Quách Hữu Nghiêm khoảng 50m.</w:t>
            </w: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-779.853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-649.515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-720.374</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38.212.774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31.826.250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35.298.344</w:t>
            </w:r>
            <w:r>
              <w:rPr>
                <w:color w:val="000000"/>
                <w:sz w:val="22"/>
                <w:szCs w:val="22"/>
              </w:rPr>
            </w:r>
            <w:r>
              <w:rPr>
                <w:color w:val="000000"/>
                <w:sz w:val="22"/>
                <w:szCs w:val="22"/>
              </w:rPr>
            </w:r>
          </w:p>
        </w:tc>
      </w:tr>
      <w:tr>
        <w:trPr>
          <w:trHeight w:val="20"/>
        </w:trPr>
        <w:tc>
          <w:tcPr>
            <w:shd w:val="clear" w:color="000000" w:fill="ffffff"/>
            <w:tcBorders/>
            <w:tcW w:w="648" w:type="dxa"/>
            <w:vAlign w:val="center"/>
            <w:vMerge w:val="restart"/>
            <w:textDirection w:val="lrTb"/>
            <w:noWrap w:val="false"/>
          </w:tcPr>
          <w:p>
            <w:pPr>
              <w:pBdr/>
              <w:spacing w:line="240"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p>
        </w:tc>
        <w:tc>
          <w:tcPr>
            <w:shd w:val="clear" w:color="000000" w:fill="ffffff"/>
            <w:tcBorders/>
            <w:tcW w:w="1030"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3,48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-779.853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-649.515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-720.374</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37.432.921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31.176.735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34.577.970</w:t>
            </w:r>
            <w:r>
              <w:rPr>
                <w:color w:val="000000"/>
                <w:sz w:val="22"/>
                <w:szCs w:val="22"/>
              </w:rPr>
            </w:r>
            <w:r>
              <w:rPr>
                <w:color w:val="000000"/>
                <w:sz w:val="22"/>
                <w:szCs w:val="22"/>
              </w:rPr>
            </w:r>
          </w:p>
        </w:tc>
      </w:tr>
      <w:tr>
        <w:trPr>
          <w:trHeight w:val="20"/>
        </w:trPr>
        <w:tc>
          <w:tcPr>
            <w:shd w:val="clear" w:color="000000" w:fill="ffffff"/>
            <w:tcBorders/>
            <w:tcW w:w="648" w:type="dxa"/>
            <w:vAlign w:val="center"/>
            <w:vMerge w:val="restart"/>
            <w:textDirection w:val="lrTb"/>
            <w:noWrap w:val="false"/>
          </w:tcPr>
          <w:p>
            <w:pPr>
              <w:pBdr/>
              <w:spacing w:line="240"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b/>
                <w:bCs/>
                <w:color w:val="000000"/>
                <w:sz w:val="22"/>
                <w:szCs w:val="22"/>
              </w:rPr>
            </w:pPr>
            <w:r>
              <w:rPr>
                <w:b/>
                <w:bCs/>
                <w:color w:val="000000" w:themeColor="text1"/>
                <w:sz w:val="22"/>
                <w:szCs w:val="22"/>
              </w:rPr>
              <w:t xml:space="preserve">Độ rộng nhỏ nhất từ đường chính vào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-1.949.631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-1.623.788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-1.800.936</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35.483.290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29.552.947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32.777.034</w:t>
            </w:r>
            <w:r>
              <w:rPr>
                <w:color w:val="000000"/>
                <w:sz w:val="22"/>
                <w:szCs w:val="22"/>
              </w:rPr>
            </w:r>
            <w:r>
              <w:rPr>
                <w:color w:val="000000"/>
                <w:sz w:val="22"/>
                <w:szCs w:val="22"/>
              </w:rPr>
            </w:r>
          </w:p>
        </w:tc>
      </w:tr>
      <w:tr>
        <w:trPr>
          <w:trHeight w:val="20"/>
        </w:trPr>
        <w:tc>
          <w:tcPr>
            <w:shd w:val="clear" w:color="000000" w:fill="ffffff"/>
            <w:tcBorders/>
            <w:tcW w:w="648" w:type="dxa"/>
            <w:vAlign w:val="center"/>
            <w:vMerge w:val="restart"/>
            <w:textDirection w:val="lrTb"/>
            <w:noWrap w:val="false"/>
          </w:tcPr>
          <w:p>
            <w:pPr>
              <w:pBdr/>
              <w:spacing w:line="240"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51,3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35,8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42,2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-1.169.779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-649.515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-1.080.562</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34.313.511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28.903.432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31.696.472</w:t>
            </w:r>
            <w:r>
              <w:rPr>
                <w:color w:val="000000"/>
                <w:sz w:val="22"/>
                <w:szCs w:val="22"/>
              </w:rPr>
            </w:r>
            <w:r>
              <w:rPr>
                <w:color w:val="000000"/>
                <w:sz w:val="22"/>
                <w:szCs w:val="22"/>
              </w:rPr>
            </w:r>
          </w:p>
        </w:tc>
      </w:tr>
      <w:tr>
        <w:trPr>
          <w:trHeight w:val="20"/>
        </w:trPr>
        <w:tc>
          <w:tcPr>
            <w:shd w:val="clear" w:color="000000" w:fill="ffffff"/>
            <w:tcBorders/>
            <w:tcW w:w="648" w:type="dxa"/>
            <w:vAlign w:val="center"/>
            <w:vMerge w:val="restart"/>
            <w:textDirection w:val="lrTb"/>
            <w:noWrap w:val="false"/>
          </w:tcPr>
          <w:p>
            <w:pPr>
              <w:pBdr/>
              <w:spacing w:line="240"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4,46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3,66</w:t>
            </w:r>
            <w:r>
              <w:rPr>
                <w:b/>
                <w:bCs/>
                <w:color w:val="000000"/>
                <w:sz w:val="22"/>
                <w:szCs w:val="22"/>
              </w:rPr>
            </w:r>
            <w:r>
              <w:rPr>
                <w:b/>
                <w:bCs/>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1.299.031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1.440.749</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34.313.511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30.202.463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33.137.221</w:t>
            </w:r>
            <w:r>
              <w:rPr>
                <w:color w:val="000000"/>
                <w:sz w:val="22"/>
                <w:szCs w:val="22"/>
              </w:rPr>
            </w:r>
            <w:r>
              <w:rPr>
                <w:color w:val="000000"/>
                <w:sz w:val="22"/>
                <w:szCs w:val="22"/>
              </w:rPr>
            </w:r>
          </w:p>
        </w:tc>
      </w:tr>
      <w:tr>
        <w:trPr>
          <w:trHeight w:val="20"/>
        </w:trPr>
        <w:tc>
          <w:tcPr>
            <w:shd w:val="clear" w:color="000000" w:fill="ffffff"/>
            <w:tcBorders/>
            <w:tcW w:w="648" w:type="dxa"/>
            <w:vAlign w:val="center"/>
            <w:vMerge w:val="restart"/>
            <w:textDirection w:val="lrTb"/>
            <w:noWrap w:val="false"/>
          </w:tcPr>
          <w:p>
            <w:pPr>
              <w:pBdr/>
              <w:spacing w:line="240"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34.313.511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30.202.463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33.137.221</w:t>
            </w:r>
            <w:r>
              <w:rPr>
                <w:color w:val="000000"/>
                <w:sz w:val="22"/>
                <w:szCs w:val="22"/>
              </w:rPr>
            </w:r>
            <w:r>
              <w:rPr>
                <w:color w:val="000000"/>
                <w:sz w:val="22"/>
                <w:szCs w:val="22"/>
              </w:rPr>
            </w:r>
          </w:p>
        </w:tc>
      </w:tr>
      <w:tr>
        <w:trPr>
          <w:trHeight w:val="20"/>
        </w:trPr>
        <w:tc>
          <w:tcPr>
            <w:shd w:val="clear" w:color="000000" w:fill="ffffff"/>
            <w:tcBorders/>
            <w:tcW w:w="648" w:type="dxa"/>
            <w:vAlign w:val="center"/>
            <w:vMerge w:val="restart"/>
            <w:textDirection w:val="lrTb"/>
            <w:noWrap w:val="false"/>
          </w:tcPr>
          <w:p>
            <w:pPr>
              <w:pBdr/>
              <w:spacing w:line="240"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1.949.631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4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36.263.142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30.202.463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themeColor="text1"/>
                <w:sz w:val="22"/>
                <w:szCs w:val="22"/>
              </w:rPr>
              <w:t xml:space="preserve">33.137.221</w:t>
            </w:r>
            <w:r>
              <w:rPr>
                <w:color w:val="000000"/>
                <w:sz w:val="22"/>
                <w:szCs w:val="22"/>
              </w:rPr>
            </w:r>
            <w:r>
              <w:rPr>
                <w:color w:val="000000"/>
                <w:sz w:val="22"/>
                <w:szCs w:val="22"/>
              </w:rPr>
            </w:r>
          </w:p>
        </w:tc>
      </w:tr>
      <w:tr>
        <w:trPr>
          <w:trHeight w:val="20"/>
        </w:trPr>
        <w:tc>
          <w:tcPr>
            <w:shd w:val="clear" w:color="000000" w:fill="ffffff"/>
            <w:tcBorders/>
            <w:tcW w:w="648" w:type="dxa"/>
            <w:vAlign w:val="center"/>
            <w:textDirection w:val="lrTb"/>
            <w:noWrap/>
          </w:tcPr>
          <w:p>
            <w:pPr>
              <w:pBdr/>
              <w:spacing w:line="240"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40"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40"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36.263.142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30.202.463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33.137.221</w:t>
            </w:r>
            <w:r>
              <w:rPr>
                <w:b/>
                <w:bCs/>
                <w:color w:val="000000"/>
                <w:sz w:val="22"/>
                <w:szCs w:val="22"/>
              </w:rPr>
            </w:r>
            <w:r>
              <w:rPr>
                <w:b/>
                <w:bCs/>
                <w:color w:val="000000"/>
                <w:sz w:val="22"/>
                <w:szCs w:val="22"/>
              </w:rPr>
            </w:r>
          </w:p>
        </w:tc>
      </w:tr>
      <w:tr>
        <w:trPr>
          <w:trHeight w:val="20"/>
        </w:trPr>
        <w:tc>
          <w:tcPr>
            <w:shd w:val="clear" w:color="000000" w:fill="ffffff"/>
            <w:tcBorders/>
            <w:tcW w:w="648" w:type="dxa"/>
            <w:vAlign w:val="center"/>
            <w:textDirection w:val="lrTb"/>
            <w:noWrap/>
          </w:tcPr>
          <w:p>
            <w:pPr>
              <w:pBdr/>
              <w:spacing w:line="240"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line="240" w:lineRule="auto"/>
              <w:ind/>
              <w:jc w:val="center"/>
              <w:rPr>
                <w:b/>
                <w:bCs/>
                <w:color w:val="000000"/>
                <w:sz w:val="22"/>
                <w:szCs w:val="22"/>
              </w:rPr>
            </w:pPr>
            <w:r>
              <w:rPr>
                <w:b/>
                <w:bCs/>
                <w:color w:val="000000" w:themeColor="text1"/>
                <w:sz w:val="22"/>
                <w:szCs w:val="22"/>
              </w:rPr>
              <w:t xml:space="preserve">33.200.942</w:t>
            </w:r>
            <w:r>
              <w:rPr>
                <w:b/>
                <w:bCs/>
                <w:color w:val="000000"/>
                <w:sz w:val="22"/>
                <w:szCs w:val="22"/>
              </w:rPr>
            </w:r>
            <w:r>
              <w:rPr>
                <w:b/>
                <w:bCs/>
                <w:color w:val="000000"/>
                <w:sz w:val="22"/>
                <w:szCs w:val="22"/>
              </w:rPr>
            </w:r>
          </w:p>
        </w:tc>
      </w:tr>
      <w:tr>
        <w:trPr>
          <w:trHeight w:val="20"/>
        </w:trPr>
        <w:tc>
          <w:tcPr>
            <w:shd w:val="clear" w:color="000000" w:fill="ffffff"/>
            <w:tcBorders/>
            <w:tcW w:w="648" w:type="dxa"/>
            <w:vAlign w:val="center"/>
            <w:textDirection w:val="lrTb"/>
            <w:noWrap/>
          </w:tcPr>
          <w:p>
            <w:pPr>
              <w:pBdr/>
              <w:spacing w:line="240"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9,22%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-9,03%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themeColor="text1"/>
                <w:sz w:val="22"/>
                <w:szCs w:val="22"/>
              </w:rPr>
              <w:t xml:space="preserve">-0,19%</w:t>
            </w:r>
            <w:r>
              <w:rPr>
                <w:color w:val="000000"/>
                <w:sz w:val="22"/>
                <w:szCs w:val="22"/>
              </w:rPr>
            </w:r>
            <w:r>
              <w:rPr>
                <w:color w:val="000000"/>
                <w:sz w:val="22"/>
                <w:szCs w:val="22"/>
              </w:rPr>
            </w:r>
          </w:p>
        </w:tc>
      </w:tr>
      <w:tr>
        <w:trPr>
          <w:trHeight w:val="20"/>
        </w:trPr>
        <w:tc>
          <w:tcPr>
            <w:shd w:val="clear" w:color="000000" w:fill="ffffff"/>
            <w:tcBorders/>
            <w:tcW w:w="648" w:type="dxa"/>
            <w:vAlign w:val="center"/>
            <w:textDirection w:val="lrTb"/>
            <w:noWrap/>
          </w:tcPr>
          <w:p>
            <w:pPr>
              <w:pBdr/>
              <w:spacing w:line="240"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2"/>
            <w:shd w:val="clear" w:color="000000" w:fill="ffffff"/>
            <w:tcBorders/>
            <w:tcW w:w="2795" w:type="dxa"/>
            <w:vAlign w:val="center"/>
            <w:textDirection w:val="lrTb"/>
            <w:noWrap w:val="false"/>
          </w:tcPr>
          <w:p>
            <w:pPr>
              <w:pBdr/>
              <w:spacing w:line="240"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40"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48" w:type="dxa"/>
            <w:vAlign w:val="center"/>
            <w:textDirection w:val="lrTb"/>
            <w:noWrap/>
          </w:tcPr>
          <w:p>
            <w:pPr>
              <w:pBdr/>
              <w:spacing w:line="240"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6.628.747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4.871.364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40" w:lineRule="auto"/>
              <w:ind/>
              <w:jc w:val="center"/>
              <w:rPr>
                <w:b/>
                <w:bCs/>
                <w:color w:val="000000"/>
                <w:sz w:val="22"/>
                <w:szCs w:val="22"/>
              </w:rPr>
            </w:pPr>
            <w:r>
              <w:rPr>
                <w:color w:val="000000" w:themeColor="text1"/>
                <w:sz w:val="22"/>
                <w:szCs w:val="22"/>
              </w:rPr>
              <w:t xml:space="preserve">5.762.995</w:t>
            </w:r>
            <w:r>
              <w:rPr>
                <w:b/>
                <w:bCs/>
                <w:color w:val="000000"/>
                <w:sz w:val="22"/>
                <w:szCs w:val="22"/>
              </w:rPr>
            </w:r>
            <w:r>
              <w:rPr>
                <w:b/>
                <w:bCs/>
                <w:color w:val="000000"/>
                <w:sz w:val="22"/>
                <w:szCs w:val="22"/>
              </w:rPr>
            </w:r>
          </w:p>
        </w:tc>
      </w:tr>
      <w:tr>
        <w:trPr>
          <w:trHeight w:val="20"/>
        </w:trPr>
        <w:tc>
          <w:tcPr>
            <w:shd w:val="clear" w:color="000000" w:fill="ffffff"/>
            <w:tcBorders/>
            <w:tcW w:w="648" w:type="dxa"/>
            <w:vAlign w:val="center"/>
            <w:textDirection w:val="lrTb"/>
            <w:noWrap/>
          </w:tcPr>
          <w:p>
            <w:pPr>
              <w:pBdr/>
              <w:spacing w:line="240"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40"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line="240"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line="240"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48" w:type="dxa"/>
            <w:vAlign w:val="center"/>
            <w:textDirection w:val="lrTb"/>
            <w:noWrap/>
          </w:tcPr>
          <w:p>
            <w:pPr>
              <w:pBdr/>
              <w:spacing w:line="240"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line="240" w:lineRule="auto"/>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line="240" w:lineRule="auto"/>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48" w:type="dxa"/>
            <w:vAlign w:val="center"/>
            <w:textDirection w:val="lrTb"/>
            <w:noWrap/>
          </w:tcPr>
          <w:p>
            <w:pPr>
              <w:pBdr/>
              <w:spacing w:line="240"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40"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40" w:lineRule="auto"/>
              <w:ind/>
              <w:jc w:val="center"/>
              <w:rPr>
                <w:sz w:val="22"/>
                <w:szCs w:val="22"/>
              </w:rPr>
            </w:pPr>
            <w:r>
              <w:rPr>
                <w:color w:val="000000" w:themeColor="text1"/>
                <w:sz w:val="22"/>
                <w:szCs w:val="22"/>
              </w:rPr>
              <w:t xml:space="preserve">2.729.485</w:t>
            </w:r>
            <w:r>
              <w:rPr>
                <w:sz w:val="22"/>
                <w:szCs w:val="22"/>
              </w:rPr>
            </w:r>
            <w:r>
              <w:rPr>
                <w:sz w:val="22"/>
                <w:szCs w:val="22"/>
              </w:rPr>
            </w:r>
          </w:p>
        </w:tc>
        <w:tc>
          <w:tcPr>
            <w:shd w:val="clear" w:color="000000" w:fill="ffffff"/>
            <w:tcBorders/>
            <w:tcW w:w="1522" w:type="dxa"/>
            <w:vAlign w:val="center"/>
            <w:textDirection w:val="lrTb"/>
            <w:noWrap/>
          </w:tcPr>
          <w:p>
            <w:pPr>
              <w:pBdr/>
              <w:spacing w:line="240" w:lineRule="auto"/>
              <w:ind/>
              <w:jc w:val="center"/>
              <w:rPr>
                <w:sz w:val="22"/>
                <w:szCs w:val="22"/>
              </w:rPr>
            </w:pPr>
            <w:r>
              <w:rPr>
                <w:color w:val="000000" w:themeColor="text1"/>
                <w:sz w:val="22"/>
                <w:szCs w:val="22"/>
              </w:rPr>
              <w:t xml:space="preserve">2.273.302</w:t>
            </w:r>
            <w:r>
              <w:rPr>
                <w:sz w:val="22"/>
                <w:szCs w:val="22"/>
              </w:rPr>
            </w:r>
            <w:r>
              <w:rPr>
                <w:sz w:val="22"/>
                <w:szCs w:val="22"/>
              </w:rPr>
            </w:r>
          </w:p>
        </w:tc>
        <w:tc>
          <w:tcPr>
            <w:shd w:val="clear" w:color="000000" w:fill="ffffff"/>
            <w:tcBorders/>
            <w:tcW w:w="1522" w:type="dxa"/>
            <w:vAlign w:val="center"/>
            <w:textDirection w:val="lrTb"/>
            <w:noWrap/>
          </w:tcPr>
          <w:p>
            <w:pPr>
              <w:pBdr/>
              <w:spacing w:line="240" w:lineRule="auto"/>
              <w:ind/>
              <w:jc w:val="center"/>
              <w:rPr>
                <w:sz w:val="22"/>
                <w:szCs w:val="22"/>
              </w:rPr>
            </w:pPr>
            <w:r>
              <w:rPr>
                <w:color w:val="000000" w:themeColor="text1"/>
                <w:sz w:val="22"/>
                <w:szCs w:val="22"/>
              </w:rPr>
              <w:t xml:space="preserve">2.881.497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-9,03</w:t>
      </w:r>
      <w:r>
        <w:t xml:space="preserve">% </w:t>
      </w:r>
      <w:r>
        <w:t xml:space="preserve">đến</w:t>
      </w:r>
      <w:r>
        <w:t xml:space="preserve"> </w:t>
      </w:r>
      <w:r>
        <w:t xml:space="preserve"> </w:t>
      </w:r>
      <w:r>
        <w:t xml:space="preserve">9,22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704"/>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28"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28"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28"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28"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28"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28"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28"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28" w:lineRule="auto"/>
              <w:ind/>
              <w:jc w:val="center"/>
              <w:rPr>
                <w:color w:val="000000"/>
              </w:rPr>
            </w:pPr>
            <w:r>
              <w:rPr>
                <w:color w:val="000000"/>
              </w:rPr>
              <w:t xml:space="preserve">36.263.142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28"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28" w:lineRule="auto"/>
              <w:ind/>
              <w:jc w:val="center"/>
              <w:rPr>
                <w:color w:val="000000"/>
              </w:rPr>
            </w:pPr>
            <w:r>
              <w:rPr>
                <w:color w:val="000000"/>
              </w:rPr>
              <w:t xml:space="preserve">12.090.132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28"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28"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28" w:lineRule="auto"/>
              <w:ind/>
              <w:jc w:val="center"/>
              <w:rPr>
                <w:color w:val="000000"/>
              </w:rPr>
            </w:pPr>
            <w:r>
              <w:rPr>
                <w:color w:val="000000"/>
              </w:rPr>
              <w:t xml:space="preserve">30.202.463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28"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28" w:lineRule="auto"/>
              <w:ind/>
              <w:jc w:val="center"/>
              <w:rPr>
                <w:color w:val="000000"/>
              </w:rPr>
            </w:pPr>
            <w:r>
              <w:rPr>
                <w:color w:val="000000"/>
              </w:rPr>
              <w:t xml:space="preserve">10.066.481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28"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28"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28" w:lineRule="auto"/>
              <w:ind/>
              <w:jc w:val="center"/>
              <w:rPr>
                <w:color w:val="000000"/>
              </w:rPr>
            </w:pPr>
            <w:r>
              <w:rPr>
                <w:color w:val="000000"/>
              </w:rPr>
              <w:t xml:space="preserve">33.137.221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28"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28" w:lineRule="auto"/>
              <w:ind/>
              <w:jc w:val="center"/>
              <w:rPr>
                <w:color w:val="000000"/>
              </w:rPr>
            </w:pPr>
            <w:r>
              <w:rPr>
                <w:color w:val="000000"/>
              </w:rPr>
              <w:t xml:space="preserve">11.044.636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28"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28" w:lineRule="auto"/>
              <w:ind/>
              <w:jc w:val="center"/>
              <w:rPr>
                <w:b/>
                <w:bCs/>
                <w:color w:val="000000"/>
              </w:rPr>
            </w:pPr>
            <w:r>
              <w:rPr>
                <w:b/>
                <w:bCs/>
                <w:color w:val="000000" w:themeColor="text1"/>
                <w:lang w:val="vi-VN"/>
              </w:rPr>
              <w:t xml:space="preserve">33.201.249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28"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28" w:lineRule="auto"/>
              <w:ind/>
              <w:jc w:val="center"/>
              <w:rPr>
                <w:b/>
                <w:bCs/>
                <w:color w:val="000000"/>
              </w:rPr>
            </w:pPr>
            <w:r>
              <w:rPr>
                <w:b/>
                <w:bCs/>
                <w:color w:val="000000" w:themeColor="text1"/>
                <w:lang w:val="vi-VN"/>
              </w:rPr>
              <w:t xml:space="preserve">33.000.000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33.000.000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Pr>
          <w:highlight w:val="none"/>
        </w:rPr>
      </w:r>
      <w:r>
        <w:rPr>
          <w:highlight w:val="none"/>
        </w:rPr>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40"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40"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40"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40"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40" w:lineRule="auto"/>
              <w:ind/>
              <w:jc w:val="both"/>
              <w:rPr>
                <w:b/>
                <w:bCs/>
              </w:rPr>
            </w:pPr>
            <w:r>
              <w:rPr>
                <w:b/>
                <w:bCs/>
                <w:color w:val="000000"/>
              </w:rPr>
            </w:r>
            <w:r>
              <w:rPr>
                <w:b/>
                <w:bCs/>
                <w:color w:val="000000"/>
              </w:rPr>
              <w:t xml:space="preserve">Giá trị quyền sử dụng đất tại thửa đất số: 327, tờ bản đồ số: 23 có địa chỉ: Tổ 1-2, phường Tiền Phong, thành phố Thái Bình, tỉnh Thái Bình</w:t>
            </w:r>
            <w:r>
              <w:rPr>
                <w:b/>
                <w:bCs/>
                <w:i/>
                <w:iCs/>
                <w:color w:val="000000"/>
              </w:rPr>
              <w:t xml:space="preserve"> (Nay l</w:t>
            </w:r>
            <w:r>
              <w:rPr>
                <w:b/>
                <w:bCs/>
                <w:i/>
                <w:iCs/>
                <w:color w:val="000000"/>
              </w:rPr>
              <w:t xml:space="preserve">à phường Thái Bình, tỉnh Hưng Yên)</w:t>
            </w:r>
            <w:r>
              <w:rPr>
                <w:b/>
                <w:bCs/>
                <w:color w:val="000000"/>
              </w:rPr>
              <w:t xml:space="preserve"> theo Giấy chứng nhận quyền sử dụng đất, quyền sở hữu tài sản gắn liền với đất số: AA 01569735, số vào sổ cấp GCN: VP 20621 do Văn phòng Đăng ký đất đai Thái Bình cấp ngày 28/3/2025 cho Ông Trần Đại Nghĩa và Bà Đào Thị Mỹ Linh</w:t>
            </w:r>
            <w:r>
              <w:rPr>
                <w:b/>
                <w:bCs/>
                <w:i/>
                <w:iCs/>
              </w:rPr>
              <w:t xml:space="preserve">.</w:t>
            </w:r>
            <w:r>
              <w:rPr>
                <w:b/>
                <w:bCs/>
                <w:color w:val="000000"/>
              </w:rPr>
            </w:r>
            <w:r>
              <w:rPr>
                <w:b/>
                <w:bCs/>
              </w:rPr>
            </w:r>
          </w:p>
        </w:tc>
        <w:tc>
          <w:tcPr>
            <w:shd w:val="clear" w:color="000000" w:fill="ffffff"/>
            <w:tcBorders/>
            <w:tcW w:w="1170" w:type="pct"/>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40" w:lineRule="auto"/>
              <w:ind/>
              <w:jc w:val="center"/>
              <w:rPr>
                <w:b w:val="0"/>
                <w:bCs w:val="0"/>
              </w:rPr>
            </w:pPr>
            <w:r>
              <w:rPr>
                <w:b w:val="0"/>
                <w:bCs w:val="0"/>
              </w:rPr>
              <w:t xml:space="preserve">-</w:t>
            </w:r>
            <w:r>
              <w:rPr>
                <w:b w:val="0"/>
                <w:bCs w:val="0"/>
              </w:rPr>
            </w:r>
          </w:p>
        </w:tc>
        <w:tc>
          <w:tcPr>
            <w:shd w:val="clear" w:color="000000" w:fill="ffffff"/>
            <w:tcBorders/>
            <w:tcW w:w="1097" w:type="pct"/>
            <w:vAlign w:val="center"/>
            <w:textDirection w:val="lrTb"/>
            <w:noWrap w:val="false"/>
          </w:tcPr>
          <w:p>
            <w:pPr>
              <w:pBdr/>
              <w:spacing w:after="40" w:before="40" w:line="240"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40" w:lineRule="auto"/>
              <w:ind/>
              <w:jc w:val="center"/>
              <w:rPr>
                <w:b w:val="0"/>
                <w:bCs w:val="0"/>
                <w:color w:val="000000"/>
              </w:rPr>
            </w:pPr>
            <w:r>
              <w:rPr>
                <w:b w:val="0"/>
                <w:bCs w:val="0"/>
                <w:color w:val="000000" w:themeColor="text1"/>
              </w:rPr>
              <w:t xml:space="preserve">51,3</w:t>
            </w:r>
            <w:r>
              <w:rPr>
                <w:b w:val="0"/>
                <w:bCs w:val="0"/>
                <w:color w:val="000000"/>
              </w:rPr>
            </w:r>
            <w:r>
              <w:rPr>
                <w:b w:val="0"/>
                <w:bCs w:val="0"/>
                <w:color w:val="000000"/>
              </w:rPr>
            </w:r>
          </w:p>
        </w:tc>
        <w:tc>
          <w:tcPr>
            <w:shd w:val="clear" w:color="000000" w:fill="ffffff"/>
            <w:tcBorders/>
            <w:tcW w:w="1389" w:type="pct"/>
            <w:vAlign w:val="center"/>
            <w:textDirection w:val="lrTb"/>
            <w:noWrap w:val="false"/>
          </w:tcPr>
          <w:p>
            <w:pPr>
              <w:pBdr/>
              <w:spacing w:after="40" w:before="40" w:line="240" w:lineRule="auto"/>
              <w:ind/>
              <w:jc w:val="center"/>
              <w:rPr/>
            </w:pPr>
            <w:r>
              <w:rPr>
                <w:color w:val="000000" w:themeColor="text1"/>
              </w:rPr>
              <w:t xml:space="preserve">33.000.000</w:t>
            </w:r>
            <w:r/>
          </w:p>
        </w:tc>
        <w:tc>
          <w:tcPr>
            <w:shd w:val="clear" w:color="000000" w:fill="ffffff"/>
            <w:tcBorders/>
            <w:tcW w:w="1170" w:type="pct"/>
            <w:vAlign w:val="center"/>
            <w:textDirection w:val="lrTb"/>
            <w:noWrap w:val="false"/>
          </w:tcPr>
          <w:p>
            <w:pPr>
              <w:pBdr/>
              <w:spacing w:after="40" w:before="40" w:line="240" w:lineRule="auto"/>
              <w:ind/>
              <w:jc w:val="center"/>
              <w:rPr/>
            </w:pPr>
            <w:r>
              <w:rPr>
                <w:color w:val="000000" w:themeColor="text1"/>
              </w:rPr>
              <w:t xml:space="preserve">1.692.900.000</w:t>
            </w:r>
            <w:r/>
          </w:p>
        </w:tc>
      </w:tr>
      <w:tr>
        <w:trPr>
          <w:trHeight w:val="20"/>
        </w:trPr>
        <w:tc>
          <w:tcPr>
            <w:gridSpan w:val="4"/>
            <w:tcBorders/>
            <w:tcW w:w="3830" w:type="pct"/>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40" w:lineRule="auto"/>
              <w:ind/>
              <w:jc w:val="center"/>
              <w:rPr>
                <w:b/>
                <w:bCs/>
                <w:color w:val="000000"/>
              </w:rPr>
            </w:pPr>
            <w:r>
              <w:t xml:space="preserve">1.692.900.000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40" w:lineRule="auto"/>
              <w:ind/>
              <w:jc w:val="center"/>
              <w:rPr>
                <w:b/>
                <w:bCs/>
                <w:color w:val="000000"/>
              </w:rPr>
            </w:pPr>
            <w:r>
              <w:rPr>
                <w:b/>
                <w:bCs/>
                <w:color w:val="000000"/>
              </w:rPr>
              <w:t xml:space="preserve">1.693.000.000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40"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sáu trăm chín mươi ba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6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64"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64"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64"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64"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64"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64"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64"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64"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64"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6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64"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64"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64"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64"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64"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275/2026/0407/VFI-CT.24.A</w:t>
      </w:r>
      <w:r>
        <w:rPr>
          <w:color w:val="ff0000"/>
          <w:lang w:val="vi-VN"/>
        </w:rPr>
        <w:t xml:space="preserve"> </w:t>
      </w:r>
      <w:r>
        <w:rPr>
          <w:color w:val="000000" w:themeColor="text1"/>
        </w:rPr>
        <w:t xml:space="preserve">ngày 17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275/2026/0407/VFI-BC.24.A</w:t>
      </w:r>
      <w:r>
        <w:rPr>
          <w:i/>
          <w:lang w:val="pt-BR"/>
        </w:rPr>
        <w:t xml:space="preserve"> </w:t>
      </w:r>
      <w:r>
        <w:rPr>
          <w:i/>
          <w:lang w:val="pt-BR"/>
        </w:rPr>
        <w:t xml:space="preserve">ngày 17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855732" cy="28694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21713" name=""/>
                              <pic:cNvPicPr>
                                <a:picLocks noChangeAspect="1"/>
                              </pic:cNvPicPr>
                              <pic:nvPr/>
                            </pic:nvPicPr>
                            <pic:blipFill rotWithShape="1">
                              <a:blip r:embed="rId30"/>
                              <a:stretch/>
                            </pic:blipFill>
                            <pic:spPr bwMode="auto">
                              <a:xfrm flipH="0" flipV="0">
                                <a:off x="0" y="0"/>
                                <a:ext cx="1855732" cy="28694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6.12pt;height:225.94pt;mso-wrap-distance-left:0.00pt;mso-wrap-distance-top:0.00pt;mso-wrap-distance-right:0.00pt;mso-wrap-distance-bottom:0.00pt;z-index:1;" stroked="false">
                      <v:imagedata r:id="rId3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3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4602" cy="190095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172359" name=""/>
                              <pic:cNvPicPr>
                                <a:picLocks noChangeAspect="1"/>
                              </pic:cNvPicPr>
                              <pic:nvPr/>
                            </pic:nvPicPr>
                            <pic:blipFill rotWithShape="1">
                              <a:blip r:embed="rId32"/>
                              <a:stretch/>
                            </pic:blipFill>
                            <pic:spPr bwMode="auto">
                              <a:xfrm flipH="0" flipV="0">
                                <a:off x="0" y="0"/>
                                <a:ext cx="2534602" cy="1900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57pt;height:149.68pt;mso-wrap-distance-left:0.00pt;mso-wrap-distance-top:0.00pt;mso-wrap-distance-right:0.00pt;mso-wrap-distance-bottom:0.00pt;z-index:1;" stroked="false">
                      <v:imagedata r:id="rId3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3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rHeight w:val="3401"/>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9690" cy="206976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22258" name=""/>
                              <pic:cNvPicPr>
                                <a:picLocks noChangeAspect="1"/>
                              </pic:cNvPicPr>
                              <pic:nvPr/>
                            </pic:nvPicPr>
                            <pic:blipFill rotWithShape="1">
                              <a:blip r:embed="rId34"/>
                              <a:stretch/>
                            </pic:blipFill>
                            <pic:spPr bwMode="auto">
                              <a:xfrm rot="0" flipH="0" flipV="0">
                                <a:off x="0" y="0"/>
                                <a:ext cx="2759689" cy="2069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7.30pt;height:162.97pt;mso-wrap-distance-left:0.00pt;mso-wrap-distance-top:0.00pt;mso-wrap-distance-right:0.00pt;mso-wrap-distance-bottom:0.00pt;rotation:0;z-index:1;" stroked="false">
                      <v:imagedata r:id="rId3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8197" cy="210614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577388" name=""/>
                              <pic:cNvPicPr>
                                <a:picLocks noChangeAspect="1"/>
                              </pic:cNvPicPr>
                              <pic:nvPr/>
                            </pic:nvPicPr>
                            <pic:blipFill rotWithShape="1">
                              <a:blip r:embed="rId35"/>
                              <a:stretch/>
                            </pic:blipFill>
                            <pic:spPr bwMode="auto">
                              <a:xfrm rot="0" flipH="0" flipV="0">
                                <a:off x="0" y="0"/>
                                <a:ext cx="2808196" cy="21061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1.12pt;height:165.84pt;mso-wrap-distance-left:0.00pt;mso-wrap-distance-top:0.00pt;mso-wrap-distance-right:0.00pt;mso-wrap-distance-bottom:0.00pt;rotation:0;z-index:1;" stroked="false">
                      <v:imagedata r:id="rId3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275/2026/0407/VFI-BC.24.A</w:t>
      </w:r>
      <w:r>
        <w:rPr>
          <w:i/>
          <w:lang w:val="pt-BR"/>
        </w:rPr>
        <w:t xml:space="preserve"> </w:t>
      </w:r>
      <w:r>
        <w:rPr>
          <w:i/>
          <w:lang w:val="pt-BR"/>
        </w:rPr>
        <w:t xml:space="preserve">ngày 17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facebook.com/groups/1672499129706670/posts/4040550689568157/?__cft__[0]=</w:t>
            </w:r>
            <w:r>
              <w:rPr>
                <w:color w:val="000000" w:themeColor="text1"/>
                <w:sz w:val="22"/>
                <w:szCs w:val="22"/>
              </w:rPr>
              <w:t xml:space="preserve">AZbma35xQqWaOSmseBl4jvP117ABt2RQQsKRM7doD0_Ox9CobZqnvcpGPEsowUIp98rL67ufnQGJMBRCiSAyn75KkmPgvPYUjcAwqKmiNrcyOgAYcyV7SkxIl_HQWz0yR41W71qsMAg8kJMFxKbgJe4BH2q6VOnEAGsmBZ2in_e3TEzZXK9MZBi_3gsWEwnyrzxnutsWNDaJOGXvs9Fd5Nu2ZtqZGPqeAUjjeXVB1Y-5Sg&amp;__tn__=%2CO%2CP-R</w:t>
            </w:r>
            <w:r>
              <w:rPr>
                <w:color w:val="000000" w:themeColor="text1"/>
                <w:sz w:val="22"/>
                <w:szCs w:val="22"/>
              </w:rPr>
              <w:br/>
              <w:t xml:space="preserve">0981.335102</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31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Thái Bình, Tỉnh Hưng Yên, cách đường Lý Bôn khoảng 250m.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57956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899062039" name="" descr=""/>
                              <pic:cNvPicPr/>
                              <pic:nvPr/>
                            </pic:nvPicPr>
                            <pic:blipFill rotWithShape="1">
                              <a:blip r:embed="rId36"/>
                              <a:stretch/>
                            </pic:blipFill>
                            <pic:spPr bwMode="auto">
                              <a:xfrm>
                                <a:off x="0" y="0"/>
                                <a:ext cx="457956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60.6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0310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9031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86.07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31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https://www.facebook.com/groups/1672499129706670/posts/4040550689568157/</w:t>
            </w:r>
            <w:r>
              <w:rPr>
                <w:color w:val="000000" w:themeColor="text1"/>
                <w:sz w:val="22"/>
                <w:szCs w:val="22"/>
              </w:rPr>
              <w:br/>
              <w:t xml:space="preserve">0981.335102</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Thái Bình, Tỉnh Hưng Yên, cách đường Lý Bôn khoảng 250m.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14575" cy="2370578"/>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5314574" cy="23705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8.47pt;height:186.66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https://batdongsan.com.vn/ban-nha-rieng-phuong-tien-phong-7/dep-3-tang-xay-moi-ngo-o-to-do-cua-gia-re-nhat-khu-vuc-pr44366054#js__pr-expired__content-anchor</w:t>
            </w:r>
            <w:r>
              <w:rPr>
                <w:color w:val="000000" w:themeColor="text1"/>
                <w:sz w:val="22"/>
                <w:szCs w:val="22"/>
              </w:rPr>
              <w:br/>
            </w:r>
            <w:r>
              <w:rPr>
                <w:sz w:val="22"/>
                <w:szCs w:val="22"/>
              </w:rPr>
              <w:t xml:space="preserve">SĐT: </w:t>
            </w:r>
            <w:r>
              <w:rPr>
                <w:color w:val="000000" w:themeColor="text1"/>
                <w:sz w:val="22"/>
                <w:szCs w:val="22"/>
              </w:rPr>
              <w:t xml:space="preserve">0974.074069</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1.611.000.000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Thái Bình, Tỉnh Hưng Yên, cách đường Quách Hữu Nghiêm khoảng 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0282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54028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5.42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4159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52415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12.72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73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23837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70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nhadatvn.com.vn/nha-dat-ban-khu-vuc-phuong-le-hong-phong/" TargetMode="External"/><Relationship Id="rId18" Type="http://schemas.openxmlformats.org/officeDocument/2006/relationships/hyperlink" Target="https://nhadatvn.com.vn/nha-dat-ban-khu-vuc-phuong-bo-xuyen/" TargetMode="External"/><Relationship Id="rId19" Type="http://schemas.openxmlformats.org/officeDocument/2006/relationships/hyperlink" Target="https://nhadatvn.com.vn/nha-dat-ban-khu-vuc-phuong-tien-phong/" TargetMode="External"/><Relationship Id="rId20" Type="http://schemas.openxmlformats.org/officeDocument/2006/relationships/hyperlink" Target="https://nhadatvn.com.vn/nha-dat-ban-khu-vuc-xa-tan-hoa-tb3/" TargetMode="External"/><Relationship Id="rId21" Type="http://schemas.openxmlformats.org/officeDocument/2006/relationships/hyperlink" Target="https://nhadatvn.com.vn/nha-dat-ban-khu-vuc-xa-phuc-thanh/" TargetMode="External"/><Relationship Id="rId22" Type="http://schemas.openxmlformats.org/officeDocument/2006/relationships/hyperlink" Target="https://nhadatvn.com.vn/nha-dat-ban-khu-vuc-xa-tan-phong-tb/" TargetMode="External"/><Relationship Id="rId23" Type="http://schemas.openxmlformats.org/officeDocument/2006/relationships/hyperlink" Target="https://nhadatvn.com.vn/nha-dat-ban-khu-vuc-xa-tan-binh-tb/" TargetMode="External"/><Relationship Id="rId24" Type="http://schemas.openxmlformats.org/officeDocument/2006/relationships/hyperlink" Target="https://nhadatvn.com.vn/nha-dat-ban-khu-vuc-thanh-pho-thai-binh/" TargetMode="External"/><Relationship Id="rId25" Type="http://schemas.openxmlformats.org/officeDocument/2006/relationships/hyperlink" Target="https://nhadatvn.com.vn/ban-nha-mat-tien-khu-vuc-thanh-pho-thai-binh/" TargetMode="External"/><Relationship Id="rId26" Type="http://schemas.openxmlformats.org/officeDocument/2006/relationships/hyperlink" Target="https://nhadatvn.com.vn/ban-nha-ngo-hem-khu-vuc-thanh-pho-thai-binh/" TargetMode="External"/><Relationship Id="rId27" Type="http://schemas.openxmlformats.org/officeDocument/2006/relationships/hyperlink" Target="https://nhadatvn.com.vn/ban-dat-tho-cu-khu-vuc-thanh-pho-thai-binh/" TargetMode="External"/><Relationship Id="rId28" Type="http://schemas.openxmlformats.org/officeDocument/2006/relationships/image" Target="media/image3.png"/><Relationship Id="rId29" Type="http://schemas.openxmlformats.org/officeDocument/2006/relationships/image" Target="media/image4.png"/><Relationship Id="rId30" Type="http://schemas.openxmlformats.org/officeDocument/2006/relationships/image" Target="media/image5.jpg"/><Relationship Id="rId31" Type="http://schemas.openxmlformats.org/officeDocument/2006/relationships/image" Target="media/image6.jpg"/><Relationship Id="rId32" Type="http://schemas.openxmlformats.org/officeDocument/2006/relationships/image" Target="media/image7.jpg"/><Relationship Id="rId33" Type="http://schemas.openxmlformats.org/officeDocument/2006/relationships/image" Target="media/image8.jpg"/><Relationship Id="rId34" Type="http://schemas.openxmlformats.org/officeDocument/2006/relationships/image" Target="media/image9.jpg"/><Relationship Id="rId35" Type="http://schemas.openxmlformats.org/officeDocument/2006/relationships/image" Target="media/image10.jpg"/><Relationship Id="rId36" Type="http://schemas.openxmlformats.org/officeDocument/2006/relationships/image" Target="media/image11.png"/><Relationship Id="rId37" Type="http://schemas.openxmlformats.org/officeDocument/2006/relationships/image" Target="media/image12.png"/><Relationship Id="rId38" Type="http://schemas.openxmlformats.org/officeDocument/2006/relationships/image" Target="media/image13.png"/><Relationship Id="rId39" Type="http://schemas.openxmlformats.org/officeDocument/2006/relationships/image" Target="media/image14.png"/><Relationship Id="rId40" Type="http://schemas.openxmlformats.org/officeDocument/2006/relationships/image" Target="media/image15.png"/><Relationship Id="rId41" Type="http://schemas.openxmlformats.org/officeDocument/2006/relationships/image" Target="media/image16.png"/><Relationship Id="rId42"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275</cp:revision>
  <dcterms:created xsi:type="dcterms:W3CDTF">2025-09-15T09:58:00Z</dcterms:created>
  <dcterms:modified xsi:type="dcterms:W3CDTF">2026-03-18T05:09:55Z</dcterms:modified>
</cp:coreProperties>
</file>