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167580"/>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16757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275/2026/0530/VFI-CT.21.A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PHẠM VĂN DƯƠNG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i w:val="0"/>
                                <w:iCs w:val="0"/>
                              </w:rPr>
                              <w:t xml:space="preserve">G</w:t>
                            </w:r>
                            <w:r>
                              <w:rPr>
                                <w:i w:val="0"/>
                                <w:iCs w:val="0"/>
                              </w:rPr>
                              <w:t xml:space="preserve">iá trị quyền sử dụng đất tại thửa đất số: 524, tờ bản đồ số 32 có địa chỉ: Phường Định Công, Thành phố Hà Nội theo Giấy chứng nhận quyền sử dụng đất, quyền sở hữu tài sản gắn liền với đất số: AA 05869178, số vào sổ cấp GCN: CN 04129 do Chi nhánh Văn phòng </w:t>
                            </w:r>
                            <w:r>
                              <w:rPr>
                                <w:i w:val="0"/>
                                <w:iCs w:val="0"/>
                              </w:rPr>
                              <w:t xml:space="preserve">đăng ký đất đai Hà Nội - quận Hoàng Mai cấp ngày 03/02/2026; Chủ sử dụng đất là Ông Phạm Văn Dương và vợ Vũ Thị Nhâm</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49.42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275/2026/0530/VFI-CT.21.A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PHẠM VĂN DƯƠNG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i w:val="0"/>
                          <w:iCs w:val="0"/>
                        </w:rPr>
                        <w:t xml:space="preserve">G</w:t>
                      </w:r>
                      <w:r>
                        <w:rPr>
                          <w:i w:val="0"/>
                          <w:iCs w:val="0"/>
                        </w:rPr>
                        <w:t xml:space="preserve">iá trị quyền sử dụng đất tại thửa đất số: 524, tờ bản đồ số 32 có địa chỉ: Phường Định Công, Thành phố Hà Nội theo Giấy chứng nhận quyền sử dụng đất, quyền sở hữu tài sản gắn liền với đất số: AA 05869178, số vào sổ cấp GCN: CN 04129 do Chi nhánh Văn phòng </w:t>
                      </w:r>
                      <w:r>
                        <w:rPr>
                          <w:i w:val="0"/>
                          <w:iCs w:val="0"/>
                        </w:rPr>
                        <w:t xml:space="preserve">đăng ký đất đai Hà Nội - quận Hoàng Mai cấp ngày 03/02/2026; Chủ sử dụng đất là Ông Phạm Văn Dương và vợ Vũ Thị Nhâm</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4-19</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 + Pháp lý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21-26</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198" w:type="dxa"/>
        <w:tblBorders/>
        <w:tblLayout w:type="fixed"/>
        <w:tblLook w:val="04A0" w:firstRow="1" w:lastRow="0" w:firstColumn="1" w:lastColumn="0" w:noHBand="0" w:noVBand="1"/>
      </w:tblPr>
      <w:tblGrid>
        <w:gridCol w:w="454"/>
        <w:gridCol w:w="1276"/>
        <w:gridCol w:w="8362"/>
        <w:gridCol w:w="106"/>
      </w:tblGrid>
      <w:tr>
        <w:trPr>
          <w:trHeight w:val="1701"/>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469"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44"/>
        </w:trPr>
        <w:tc>
          <w:tcPr>
            <w:gridSpan w:val="2"/>
            <w:shd w:val="clear" w:color="auto" w:fill="auto"/>
            <w:tcBorders/>
            <w:tcMar>
              <w:left w:w="108" w:type="dxa"/>
              <w:top w:w="0" w:type="dxa"/>
              <w:right w:w="108" w:type="dxa"/>
              <w:bottom w:w="0" w:type="dxa"/>
            </w:tcMar>
            <w:tcW w:w="9638"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275/2026/0530/VFI-CT.21.A                                             </w:t>
            </w: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04 tháng 4 năm </w:t>
            </w:r>
            <w:r>
              <w:rPr>
                <w:rStyle w:val="1023"/>
                <w:rFonts w:ascii="Times New Roman" w:hAnsi="Times New Roman"/>
                <w:i w:val="0"/>
                <w:iCs w:val="0"/>
                <w:color w:val="000000" w:themeColor="text1"/>
                <w:lang w:val="vi-VN"/>
              </w:rPr>
              <w:t xml:space="preserve">2026</w:t>
            </w:r>
            <w:r>
              <w:rPr>
                <w:i w:val="0"/>
                <w:iCs w:val="0"/>
                <w:color w:val="000000" w:themeColor="text1"/>
                <w:sz w:val="24"/>
                <w:szCs w:val="24"/>
              </w:rPr>
            </w:r>
            <w:r>
              <w:rPr>
                <w:color w:val="000000" w:themeColor="text1"/>
                <w:sz w:val="24"/>
                <w:szCs w:val="24"/>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PHẠM VĂN DƯƠNG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275/2026/0530/VFI-HĐTĐ.21.A</w:t>
      </w:r>
      <w:r>
        <w:rPr>
          <w:spacing w:val="-4"/>
          <w:lang w:val="vi-VN"/>
        </w:rPr>
        <w:t xml:space="preserve"> ký ngày 02 tháng 4 năm 2026</w:t>
      </w:r>
      <w:r>
        <w:rPr>
          <w:spacing w:val="-4"/>
          <w:lang w:val="vi-VN"/>
        </w:rPr>
        <w:t xml:space="preserve"> </w:t>
      </w:r>
      <w:r>
        <w:rPr>
          <w:spacing w:val="-4"/>
          <w:lang w:val="vi-VN"/>
        </w:rPr>
        <w:t xml:space="preserve">giữa </w:t>
      </w:r>
      <w:r>
        <w:rPr>
          <w:color w:val="000000" w:themeColor="text1"/>
          <w:spacing w:val="-4"/>
        </w:rPr>
        <w:t xml:space="preserve">Ông Phạm Văn Dương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275/2026/0530/VFI-BC.21.A</w:t>
      </w:r>
      <w:r>
        <w:rPr>
          <w:spacing w:val="-2"/>
          <w:lang w:val="pt-BR"/>
        </w:rPr>
        <w:t xml:space="preserve"> </w:t>
      </w:r>
      <w:r>
        <w:rPr>
          <w:spacing w:val="-2"/>
          <w:lang w:val="pt-BR"/>
        </w:rPr>
        <w:t xml:space="preserve">ngày 04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88"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88"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line="288" w:lineRule="auto"/>
              <w:ind/>
              <w:rPr/>
            </w:pPr>
            <w:r>
              <w:rPr>
                <w:b/>
                <w:bCs/>
              </w:rPr>
              <w:t xml:space="preserve">ÔNG PHẠM VĂN DƯƠNG</w:t>
            </w:r>
            <w:r/>
          </w:p>
        </w:tc>
      </w:tr>
      <w:tr>
        <w:trPr>
          <w:trHeight w:val="20"/>
        </w:trPr>
        <w:tc>
          <w:tcPr>
            <w:shd w:val="clear" w:color="auto" w:fill="auto"/>
            <w:tcBorders/>
            <w:tcW w:w="1109" w:type="pct"/>
            <w:vAlign w:val="center"/>
            <w:textDirection w:val="lrTb"/>
            <w:noWrap w:val="false"/>
          </w:tcPr>
          <w:p>
            <w:pPr>
              <w:pBdr/>
              <w:spacing w:after="40" w:before="40" w:line="288"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88"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88" w:lineRule="auto"/>
              <w:ind/>
              <w:jc w:val="both"/>
              <w:rPr>
                <w:color w:val="ff0000"/>
                <w:lang w:val="pt-BR"/>
              </w:rPr>
            </w:pPr>
            <w:r>
              <w:rPr>
                <w:color w:val="000000" w:themeColor="text1"/>
                <w:lang w:val="vi-VN"/>
              </w:rPr>
              <w:t xml:space="preserve">036091007382</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88"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88"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88"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88"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88"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88"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88"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88"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88"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88"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88"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88"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88"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88"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88"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88" w:lineRule="auto"/>
              <w:ind/>
              <w:jc w:val="both"/>
              <w:rPr/>
            </w:pPr>
            <w:r>
              <w:t xml:space="preserve">Thông báo</w:t>
            </w:r>
            <w:r/>
          </w:p>
        </w:tc>
        <w:tc>
          <w:tcPr>
            <w:tcBorders/>
            <w:tcW w:w="289" w:type="dxa"/>
            <w:vAlign w:val="center"/>
            <w:textDirection w:val="lrTb"/>
            <w:noWrap w:val="false"/>
          </w:tcPr>
          <w:p>
            <w:pPr>
              <w:pBdr/>
              <w:spacing w:after="40" w:before="40" w:line="288"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88"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88"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88"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88"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88"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88"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88" w:lineRule="auto"/>
              <w:ind/>
              <w:rPr>
                <w:b/>
                <w:bCs/>
                <w:lang w:val="vi-VN"/>
              </w:rPr>
            </w:pPr>
            <w:r>
              <w:rPr>
                <w:b/>
                <w:bCs/>
                <w:lang w:val="vi-VN"/>
              </w:rPr>
              <w:t xml:space="preserve">Ông</w:t>
            </w:r>
            <w:r>
              <w:rPr>
                <w:b/>
                <w:bCs/>
              </w:rPr>
              <w:t xml:space="preserve"> Vũ Văn Quân</w:t>
            </w:r>
            <w:r>
              <w:rPr>
                <w:b/>
                <w:bCs/>
                <w:lang w:val="vi-VN"/>
              </w:rPr>
            </w:r>
            <w:r>
              <w:rPr>
                <w:b/>
                <w:bCs/>
                <w:lang w:val="vi-VN"/>
              </w:rPr>
            </w:r>
          </w:p>
        </w:tc>
      </w:tr>
      <w:tr>
        <w:trPr>
          <w:trHeight w:val="20"/>
        </w:trPr>
        <w:tc>
          <w:tcPr>
            <w:tcBorders/>
            <w:tcW w:w="2269" w:type="dxa"/>
            <w:vAlign w:val="center"/>
            <w:vMerge w:val="restart"/>
            <w:textDirection w:val="lrTb"/>
            <w:noWrap w:val="false"/>
          </w:tcPr>
          <w:p>
            <w:pPr>
              <w:pBdr/>
              <w:spacing w:after="40" w:before="40" w:line="288" w:lineRule="auto"/>
              <w:ind/>
              <w:rPr>
                <w:bCs/>
              </w:rPr>
            </w:pPr>
            <w:r>
              <w:rPr>
                <w:bCs/>
              </w:rPr>
              <w:t xml:space="preserve">Chức vụ</w:t>
            </w:r>
            <w:r>
              <w:rPr>
                <w:bCs/>
              </w:rPr>
            </w:r>
            <w:r>
              <w:rPr>
                <w:bCs/>
              </w:rPr>
            </w:r>
          </w:p>
        </w:tc>
        <w:tc>
          <w:tcPr>
            <w:tcBorders/>
            <w:tcW w:w="289" w:type="dxa"/>
            <w:vAlign w:val="center"/>
            <w:vMerge w:val="restart"/>
            <w:textDirection w:val="lrTb"/>
            <w:noWrap w:val="false"/>
          </w:tcPr>
          <w:p>
            <w:pPr>
              <w:pBdr/>
              <w:spacing w:after="40" w:before="40" w:line="288" w:lineRule="auto"/>
              <w:ind/>
              <w:rPr>
                <w:bCs/>
              </w:rPr>
            </w:pPr>
            <w:r>
              <w:rPr>
                <w:bCs/>
              </w:rPr>
              <w:t xml:space="preserve">:</w:t>
            </w:r>
            <w:r>
              <w:rPr>
                <w:bCs/>
              </w:rPr>
            </w:r>
            <w:r>
              <w:rPr>
                <w:bCs/>
              </w:rPr>
            </w:r>
          </w:p>
        </w:tc>
        <w:tc>
          <w:tcPr>
            <w:tcBorders/>
            <w:tcW w:w="7115" w:type="dxa"/>
            <w:vAlign w:val="center"/>
            <w:vMerge w:val="restart"/>
            <w:textDirection w:val="lrTb"/>
            <w:noWrap w:val="false"/>
          </w:tcPr>
          <w:p>
            <w:pPr>
              <w:pBdr/>
              <w:spacing w:after="40" w:before="40" w:line="288"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pPr>
        <w:pBdr/>
        <w:spacing w:after="120" w:before="120" w:line="336" w:lineRule="auto"/>
        <w:ind/>
        <w:jc w:val="both"/>
        <w:rPr>
          <w:b/>
          <w:bCs w:val="0"/>
          <w:i w:val="0"/>
        </w:rPr>
      </w:pPr>
      <w:r>
        <w:rPr>
          <w:b/>
          <w:bCs/>
        </w:rPr>
        <w:t xml:space="preserve">3</w:t>
      </w:r>
      <w:r>
        <w:rPr>
          <w:b/>
          <w:bCs/>
          <w:lang w:val="vi-VN"/>
        </w:rPr>
        <w:t xml:space="preserve">. </w:t>
      </w:r>
      <w:r>
        <w:rPr>
          <w:b/>
          <w:bCs/>
        </w:rPr>
        <w:t xml:space="preserve">Tài sản thẩm định</w:t>
      </w:r>
      <w:r>
        <w:rPr>
          <w:b/>
          <w:bCs/>
          <w:lang w:val="vi-VN"/>
        </w:rPr>
        <w:t xml:space="preserve">:</w:t>
      </w:r>
      <w:r>
        <w:rPr>
          <w:i/>
          <w:iCs/>
        </w:rPr>
        <w:t xml:space="preserve"> </w:t>
      </w:r>
      <w:r>
        <w:rPr>
          <w:i w:val="0"/>
          <w:iCs w:val="0"/>
        </w:rPr>
        <w:t xml:space="preserve">G</w:t>
      </w:r>
      <w:r>
        <w:rPr>
          <w:i w:val="0"/>
          <w:iCs w:val="0"/>
        </w:rPr>
        <w:t xml:space="preserve">iá trị quyền sử dụng đất tại thửa đất số: 524, tờ bản đồ số 32 có địa chỉ: Phường Định Công, Thành phố Hà Nội theo Giấy chứng nhận quyền sử dụng đất, quyền sở hữu tài sản gắn liền với đất số: AA 05869178, số vào sổ cấp GCN: CN 04129 do Chi nhánVăn phòng </w:t>
      </w:r>
      <w:r>
        <w:rPr>
          <w:i w:val="0"/>
          <w:iCs w:val="0"/>
        </w:rPr>
        <w:t xml:space="preserve">đăng ký đất đai Hà Nội - quận Hoàng Mai cấp ngày 03/2/2026; Chủ sử dụng đất là Ông Phạm Văn Dương và vợ Vũ Thị Nhâm</w:t>
      </w:r>
      <w:r>
        <w:rPr>
          <w:i w:val="0"/>
          <w:iCs w:val="0"/>
        </w:rPr>
        <w:t xml:space="preserve">.</w:t>
      </w:r>
      <w:r>
        <w:rPr>
          <w:b/>
          <w:bCs w:val="0"/>
          <w:i w:val="0"/>
        </w:rPr>
      </w:r>
      <w:r>
        <w:rPr>
          <w:b/>
          <w:bCs w:val="0"/>
          <w:i w:val="0"/>
        </w:rPr>
      </w:r>
    </w:p>
    <w:p>
      <w:pPr>
        <w:pBdr/>
        <w:spacing w:after="120" w:before="120" w:line="336"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4/2026</w:t>
      </w:r>
      <w:r>
        <w:rPr>
          <w:bCs/>
          <w:lang w:val="nl-NL"/>
        </w:rPr>
        <w:t xml:space="preserve">.</w:t>
      </w:r>
      <w:r>
        <w:rPr>
          <w:b/>
          <w:bCs/>
        </w:rPr>
      </w:r>
      <w:r>
        <w:rPr>
          <w:b/>
          <w:bCs/>
        </w:rPr>
      </w:r>
    </w:p>
    <w:p>
      <w:pPr>
        <w:pBdr/>
        <w:tabs>
          <w:tab w:val="left" w:leader="none" w:pos="851"/>
        </w:tabs>
        <w:spacing w:after="120" w:before="120" w:line="336"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36"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36"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36"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36"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36"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36"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36"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36"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4/2026</w:t>
      </w:r>
      <w:r>
        <w:rPr>
          <w:lang w:val="vi-VN"/>
        </w:rPr>
        <w:t xml:space="preserve"> ước tính</w:t>
      </w:r>
      <w:r>
        <w:t xml:space="preserve"> </w:t>
      </w:r>
      <w:r>
        <w:rPr>
          <w:lang w:val="vi-VN"/>
        </w:rPr>
        <w:t xml:space="preserve">như sau:</w:t>
      </w: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878"/>
        <w:gridCol w:w="2693"/>
        <w:gridCol w:w="1843"/>
        <w:gridCol w:w="2126"/>
        <w:gridCol w:w="1984"/>
      </w:tblGrid>
      <w:tr>
        <w:trPr>
          <w:trHeight w:val="729"/>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878"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693"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Diện tích </w:t>
              <w:br/>
              <w:t xml:space="preserve">(m²)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Đơn giá </w:t>
              <w:br/>
              <w:t xml:space="preserve">(đồng/m²)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2423"/>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878"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661" w:type="dxa"/>
            <w:vAlign w:val="center"/>
            <w:textDirection w:val="lrTb"/>
            <w:noWrap w:val="false"/>
          </w:tcPr>
          <w:p>
            <w:pPr>
              <w:pBdr/>
              <w:spacing w:after="0" w:before="0" w:line="288" w:lineRule="auto"/>
              <w:ind w:right="142" w:firstLine="0" w:left="142"/>
              <w:jc w:val="both"/>
              <w:rPr/>
            </w:pPr>
            <w:r>
              <w:rPr>
                <w:rFonts w:ascii="Times New Roman" w:hAnsi="Times New Roman" w:eastAsia="Times New Roman" w:cs="Times New Roman"/>
                <w:b/>
                <w:color w:val="000000"/>
                <w:sz w:val="24"/>
              </w:rPr>
              <w:t xml:space="preserve">Giá trị quyền sử dụng đất tại thửa đất số: 524, tờ bản đồ số 32 có địa chỉ: Phường Định Công, Thành phố Hà Nội theo Giấy chứng nhận quyền sử dụng đất, quyền sở hữu tài sản gắn liền với đất số: AA 05869178, số vào sổ cấp GCN: CN 04129 do Chi nhánh Văn phòng</w:t>
            </w:r>
            <w:r>
              <w:rPr>
                <w:rFonts w:ascii="Times New Roman" w:hAnsi="Times New Roman" w:eastAsia="Times New Roman" w:cs="Times New Roman"/>
                <w:b/>
                <w:color w:val="000000"/>
                <w:sz w:val="24"/>
              </w:rPr>
              <w:t xml:space="preserve"> đăng ký đất đai Hà Nội - quận Hoàng Mai cấp ngày 03/2/2026; Chủ sử dụng đất là Ông Phạm Văn Dương và vợ Vũ Thị Nhâm.</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88" w:lineRule="auto"/>
              <w:ind/>
              <w:jc w:val="right"/>
              <w:rPr/>
            </w:pPr>
            <w:r>
              <w:rPr>
                <w:rFonts w:ascii="Times New Roman" w:hAnsi="Times New Roman" w:eastAsia="Times New Roman" w:cs="Times New Roman"/>
                <w:b/>
                <w:color w:val="000000"/>
                <w:sz w:val="24"/>
              </w:rPr>
              <w:t xml:space="preserve"> </w:t>
            </w:r>
            <w:r/>
          </w:p>
        </w:tc>
      </w:tr>
      <w:tr>
        <w:trPr>
          <w:trHeight w:val="41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878" w:type="dxa"/>
            <w:vAlign w:val="center"/>
            <w:textDirection w:val="lrTb"/>
            <w:noWrap w:val="false"/>
          </w:tcPr>
          <w:p>
            <w:pPr>
              <w:pBdr/>
              <w:spacing w:after="0" w:before="0" w:line="288"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693" w:type="dxa"/>
            <w:vAlign w:val="center"/>
            <w:textDirection w:val="lrTb"/>
            <w:noWrap w:val="false"/>
          </w:tcPr>
          <w:p>
            <w:pPr>
              <w:pBdr/>
              <w:spacing w:after="0" w:before="0" w:line="288" w:lineRule="auto"/>
              <w:ind w:right="0" w:firstLine="0" w:left="142"/>
              <w:rPr/>
            </w:pPr>
            <w:r>
              <w:rPr>
                <w:rFonts w:ascii="Times New Roman" w:hAnsi="Times New Roman" w:eastAsia="Times New Roman" w:cs="Times New Roman"/>
                <w:color w:val="000000"/>
                <w:sz w:val="24"/>
              </w:rPr>
              <w:t xml:space="preserve">Đất ở tại đô thị</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88" w:lineRule="auto"/>
              <w:ind w:right="0" w:firstLine="0" w:left="142"/>
              <w:jc w:val="center"/>
              <w:rPr/>
            </w:pPr>
            <w:r>
              <w:rPr>
                <w:rFonts w:ascii="Times New Roman" w:hAnsi="Times New Roman" w:eastAsia="Times New Roman" w:cs="Times New Roman"/>
                <w:color w:val="000000"/>
                <w:sz w:val="24"/>
              </w:rPr>
              <w:t xml:space="preserve">60,0</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88" w:lineRule="auto"/>
              <w:ind w:right="0" w:firstLine="0" w:left="142"/>
              <w:jc w:val="center"/>
              <w:rPr/>
            </w:pPr>
            <w:r>
              <w:rPr>
                <w:rFonts w:ascii="Times New Roman" w:hAnsi="Times New Roman" w:eastAsia="Times New Roman" w:cs="Times New Roman"/>
                <w:color w:val="000000"/>
                <w:sz w:val="24"/>
              </w:rPr>
              <w:t xml:space="preserve">227.000.000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88" w:lineRule="auto"/>
              <w:ind w:right="141" w:firstLine="0" w:left="0"/>
              <w:jc w:val="right"/>
              <w:rPr/>
            </w:pPr>
            <w:r>
              <w:rPr>
                <w:rFonts w:ascii="Times New Roman" w:hAnsi="Times New Roman" w:eastAsia="Times New Roman" w:cs="Times New Roman"/>
                <w:color w:val="000000"/>
                <w:sz w:val="24"/>
              </w:rPr>
              <w:t xml:space="preserve">13.620.000.000</w:t>
            </w:r>
            <w:r/>
          </w:p>
        </w:tc>
      </w:tr>
      <w:tr>
        <w:trPr>
          <w:trHeight w:val="45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40" w:type="dxa"/>
            <w:vAlign w:val="center"/>
            <w:textDirection w:val="lrTb"/>
            <w:noWrap/>
          </w:tcPr>
          <w:p>
            <w:pPr>
              <w:pBdr/>
              <w:spacing w:after="0" w:before="0" w:line="288"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pPr>
              <w:pBdr/>
              <w:spacing w:after="0" w:before="0" w:line="288" w:lineRule="auto"/>
              <w:ind w:right="141" w:firstLine="0" w:left="0"/>
              <w:jc w:val="right"/>
              <w:rPr/>
            </w:pPr>
            <w:r>
              <w:rPr>
                <w:rFonts w:ascii="Times New Roman" w:hAnsi="Times New Roman" w:eastAsia="Times New Roman" w:cs="Times New Roman"/>
                <w:b/>
                <w:color w:val="000000"/>
                <w:sz w:val="24"/>
              </w:rPr>
              <w:t xml:space="preserve">13.620.000.000</w:t>
            </w:r>
            <w:r/>
          </w:p>
        </w:tc>
      </w:tr>
      <w:tr>
        <w:trPr>
          <w:trHeight w:val="531"/>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524" w:type="dxa"/>
            <w:vAlign w:val="center"/>
            <w:textDirection w:val="lrTb"/>
            <w:noWrap w:val="false"/>
          </w:tcPr>
          <w:p>
            <w:pPr>
              <w:pBdr/>
              <w:spacing w:after="0" w:before="0" w:line="288" w:lineRule="auto"/>
              <w:ind/>
              <w:jc w:val="center"/>
              <w:rPr/>
            </w:pPr>
            <w:r>
              <w:rPr>
                <w:rFonts w:ascii="Times New Roman" w:hAnsi="Times New Roman" w:eastAsia="Times New Roman" w:cs="Times New Roman"/>
                <w:b/>
                <w:i/>
                <w:color w:val="000000"/>
                <w:sz w:val="24"/>
              </w:rPr>
              <w:t xml:space="preserve">(Bằng chữ: Mười ba tỷ, sáu trăm hai mươi triệu đồng chẵn./.)</w:t>
            </w:r>
            <w:r/>
          </w:p>
        </w:tc>
      </w:tr>
    </w:tbl>
    <w:p>
      <w:pPr>
        <w:pBdr/>
        <w:spacing w:after="120" w:before="120" w:line="336"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36"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36" w:lineRule="auto"/>
        <w:ind/>
        <w:rPr/>
      </w:pPr>
      <w:r>
        <w:rPr>
          <w:b/>
          <w:bCs/>
          <w:lang w:val="vi-VN"/>
        </w:rPr>
        <w:t xml:space="preserve">11. Những điều khoản loại trừ và hạn chế của kết quả thẩm định giá:</w:t>
      </w:r>
      <w:r/>
    </w:p>
    <w:p>
      <w:pPr>
        <w:pBdr/>
        <w:spacing w:after="120" w:before="120" w:line="336" w:lineRule="auto"/>
        <w:ind w:firstLine="360"/>
        <w:rPr>
          <w:lang w:val="pt-BR"/>
        </w:rPr>
      </w:pPr>
      <w:r>
        <w:rPr>
          <w:lang w:val="pt-BR"/>
        </w:rPr>
        <w:t xml:space="preserve">- </w:t>
      </w:r>
      <w:r>
        <w:rPr>
          <w:lang w:val="pt-BR"/>
        </w:rPr>
        <w:t xml:space="preserve">Chi tiết như Báo cáo kèm theo.</w:t>
      </w:r>
      <w:r>
        <w:rPr>
          <w:lang w:val="pt-BR"/>
        </w:rPr>
      </w:r>
      <w:r>
        <w:rPr>
          <w:lang w:val="pt-BR"/>
        </w:rPr>
      </w:r>
      <w:r>
        <w:rPr>
          <w:rFonts w:eastAsia="Calibri"/>
          <w:b/>
          <w:spacing w:val="-4"/>
          <w:highlight w:val="none"/>
          <w:lang w:val="vi-VN"/>
        </w:rPr>
        <w:br w:type="page" w:clear="all"/>
      </w:r>
      <w:r>
        <w:rPr>
          <w:rFonts w:eastAsia="Calibri"/>
          <w:b/>
          <w:bCs/>
          <w:spacing w:val="-4"/>
          <w:lang w:val="pt-BR"/>
        </w:rPr>
      </w:r>
      <w:r>
        <w:rPr>
          <w:rFonts w:eastAsia="Calibri"/>
          <w:b/>
          <w:bCs/>
          <w:spacing w:val="-4"/>
          <w:lang w:val="pt-BR"/>
        </w:rPr>
      </w:r>
      <w:r>
        <w:rPr>
          <w:lang w:val="pt-BR"/>
        </w:rPr>
      </w:r>
    </w:p>
    <w:p>
      <w:pPr>
        <w:pBdr/>
        <w:spacing w:after="120" w:before="120" w:line="312" w:lineRule="auto"/>
        <w:ind w:firstLine="0"/>
        <w:rPr>
          <w:rFonts w:eastAsia="Calibri"/>
          <w:b/>
          <w:bCs/>
          <w:spacing w:val="-4"/>
          <w:highlight w:val="none"/>
          <w:lang w:val="vi-VN"/>
        </w:rPr>
      </w:pPr>
      <w:r>
        <w:rPr>
          <w:lang w:val="pt-BR"/>
        </w:rPr>
      </w:r>
      <w:r>
        <w:rPr>
          <w:rFonts w:eastAsia="Calibri"/>
          <w:b/>
          <w:spacing w:val="-4"/>
          <w:lang w:val="pt-BR"/>
        </w:rPr>
        <w:t xml:space="preserve">12</w:t>
      </w:r>
      <w:r>
        <w:rPr>
          <w:rFonts w:eastAsia="Calibri"/>
          <w:b/>
          <w:spacing w:val="-4"/>
          <w:lang w:val="vi-VN"/>
        </w:rPr>
        <w:t xml:space="preserve">. Các tài liệu kèm theo:</w:t>
      </w:r>
      <w:r>
        <w:rPr>
          <w:rFonts w:eastAsia="Calibri"/>
          <w:b/>
          <w:bCs/>
          <w:spacing w:val="-4"/>
          <w:highlight w:val="none"/>
          <w:lang w:val="vi-VN"/>
        </w:rPr>
      </w:r>
      <w:r>
        <w:rPr>
          <w:rFonts w:eastAsia="Calibri"/>
          <w:b/>
          <w:bCs/>
          <w:spacing w:val="-4"/>
          <w:highlight w:val="none"/>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5000" w:type="pct"/>
        <w:tblBorders/>
        <w:tblLayout w:type="fixed"/>
        <w:tblLook w:val="01E0" w:firstRow="1" w:lastRow="1" w:firstColumn="1" w:lastColumn="1" w:noHBand="0" w:noVBand="0"/>
      </w:tblPr>
      <w:tblGrid>
        <w:gridCol w:w="4422"/>
        <w:gridCol w:w="5102"/>
      </w:tblGrid>
      <w:tr>
        <w:trPr>
          <w:trHeight w:val="20"/>
        </w:trPr>
        <w:tc>
          <w:tcPr>
            <w:tcBorders/>
            <w:tcW w:w="4422"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02" w:type="dxa"/>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422"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02"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422" w:type="dxa"/>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5102"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286" w:type="dxa"/>
        <w:tblBorders/>
        <w:tblLayout w:type="fixed"/>
        <w:tblLook w:val="04A0" w:firstRow="1" w:lastRow="0" w:firstColumn="1" w:lastColumn="0" w:noHBand="0" w:noVBand="1"/>
      </w:tblPr>
      <w:tblGrid>
        <w:gridCol w:w="856"/>
        <w:gridCol w:w="5347"/>
        <w:gridCol/>
        <w:gridCol w:w="4084"/>
        <w:gridCol/>
      </w:tblGrid>
      <w:tr>
        <w:trPr>
          <w:trHeight w:val="1843"/>
        </w:trPr>
        <w:tc>
          <w:tcPr>
            <w:gridSpan w:val="2"/>
            <w:tcBorders/>
            <w:tcW w:w="6202"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40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5347"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275/2026/0530/VFI-CT.21.A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084"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04 tháng 4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5347" w:type="dxa"/>
            <w:textDirection w:val="lrTb"/>
            <w:noWrap w:val="false"/>
          </w:tcPr>
          <w:p>
            <w:pPr>
              <w:pStyle w:val="1024"/>
              <w:pBdr/>
              <w:spacing w:after="60"/>
              <w:ind/>
              <w:rPr>
                <w:rStyle w:val="1023"/>
                <w:rFonts w:ascii="Times New Roman" w:hAnsi="Times New Roman"/>
                <w:color w:val="000000" w:themeColor="text1"/>
                <w:lang w:val="pt-BR"/>
              </w:rPr>
            </w:pPr>
            <w:r>
              <w:rPr>
                <w:rStyle w:val="1023"/>
                <w:rFonts w:ascii="Times New Roman" w:hAnsi="Times New Roman"/>
                <w:color w:val="000000" w:themeColor="text1"/>
                <w:lang w:val="pt-BR"/>
              </w:rPr>
            </w:r>
            <w:r>
              <w:rPr>
                <w:rStyle w:val="1023"/>
                <w:rFonts w:ascii="Times New Roman" w:hAnsi="Times New Roman"/>
                <w:color w:val="000000" w:themeColor="text1"/>
                <w:lang w:val="pt-BR"/>
              </w:rPr>
            </w:r>
            <w:r>
              <w:rPr>
                <w:rStyle w:val="1023"/>
                <w:rFonts w:ascii="Times New Roman" w:hAnsi="Times New Roman"/>
                <w:color w:val="000000" w:themeColor="text1"/>
                <w:lang w:val="pt-BR"/>
              </w:rPr>
            </w:r>
          </w:p>
        </w:tc>
        <w:tc>
          <w:tcPr>
            <w:shd w:val="clear" w:color="auto" w:fill="auto"/>
            <w:tcBorders/>
            <w:tcMar>
              <w:left w:w="108" w:type="dxa"/>
              <w:top w:w="0" w:type="dxa"/>
              <w:right w:w="108" w:type="dxa"/>
              <w:bottom w:w="0" w:type="dxa"/>
            </w:tcMar>
            <w:tcW w:w="4084" w:type="dxa"/>
            <w:textDirection w:val="lrTb"/>
            <w:noWrap w:val="false"/>
          </w:tcPr>
          <w:p>
            <w:pPr>
              <w:pStyle w:val="1024"/>
              <w:pBdr/>
              <w:spacing w:after="60"/>
              <w:ind w:right="-56"/>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275/2026/0530/VFI-CT.21.A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04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40" w:before="40" w:line="288"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88" w:lineRule="auto"/>
              <w:ind/>
              <w:rPr>
                <w:bCs/>
              </w:rPr>
            </w:pPr>
            <w:r>
              <w:rPr>
                <w:bCs/>
              </w:rPr>
              <w:t xml:space="preserve">:</w:t>
            </w:r>
            <w:r>
              <w:rPr>
                <w:bCs/>
              </w:rPr>
            </w:r>
            <w:r>
              <w:rPr>
                <w:bCs/>
              </w:rPr>
            </w:r>
          </w:p>
        </w:tc>
        <w:tc>
          <w:tcPr>
            <w:tcBorders/>
            <w:tcW w:w="6940" w:type="dxa"/>
            <w:vAlign w:val="center"/>
            <w:textDirection w:val="lrTb"/>
            <w:noWrap w:val="false"/>
          </w:tcPr>
          <w:p>
            <w:pPr>
              <w:pBdr/>
              <w:spacing w:after="40" w:before="40" w:line="288" w:lineRule="auto"/>
              <w:ind/>
              <w:rPr>
                <w:b/>
                <w:bCs/>
                <w:lang w:val="vi-VN"/>
              </w:rPr>
            </w:pPr>
            <w:r>
              <w:rPr>
                <w:b/>
                <w:bCs/>
                <w:lang w:val="vi-VN"/>
              </w:rPr>
              <w:t xml:space="preserve">Ông</w:t>
            </w:r>
            <w:r>
              <w:rPr>
                <w:b/>
                <w:bCs/>
              </w:rPr>
              <w:t xml:space="preserve"> Vũ Văn Quân</w:t>
            </w:r>
            <w:r>
              <w:rPr>
                <w:b/>
                <w:bCs/>
                <w:lang w:val="vi-VN"/>
              </w:rPr>
            </w:r>
            <w:r>
              <w:rPr>
                <w:b/>
                <w:bCs/>
                <w:lang w:val="vi-VN"/>
              </w:rPr>
            </w:r>
          </w:p>
        </w:tc>
      </w:tr>
      <w:tr>
        <w:trPr>
          <w:trHeight w:val="20"/>
        </w:trPr>
        <w:tc>
          <w:tcPr>
            <w:tcBorders/>
            <w:tcW w:w="2552" w:type="dxa"/>
            <w:vAlign w:val="center"/>
            <w:vMerge w:val="restart"/>
            <w:textDirection w:val="lrTb"/>
            <w:noWrap w:val="false"/>
          </w:tcPr>
          <w:p>
            <w:pPr>
              <w:pBdr/>
              <w:spacing w:after="40" w:before="40" w:line="288" w:lineRule="auto"/>
              <w:ind/>
              <w:rPr>
                <w:bCs/>
              </w:rPr>
            </w:pPr>
            <w:r>
              <w:rPr>
                <w:bCs/>
              </w:rPr>
              <w:t xml:space="preserve">Chức vụ</w:t>
            </w:r>
            <w:r>
              <w:rPr>
                <w:bCs/>
              </w:rPr>
            </w:r>
            <w:r>
              <w:rPr>
                <w:bCs/>
              </w:rPr>
            </w:r>
          </w:p>
        </w:tc>
        <w:tc>
          <w:tcPr>
            <w:tcBorders/>
            <w:tcW w:w="289" w:type="dxa"/>
            <w:vAlign w:val="center"/>
            <w:vMerge w:val="restart"/>
            <w:textDirection w:val="lrTb"/>
            <w:noWrap w:val="false"/>
          </w:tcPr>
          <w:p>
            <w:pPr>
              <w:pBdr/>
              <w:spacing w:after="40" w:before="40" w:line="288" w:lineRule="auto"/>
              <w:ind/>
              <w:rPr>
                <w:bCs/>
              </w:rPr>
            </w:pPr>
            <w:r>
              <w:rPr>
                <w:bCs/>
              </w:rPr>
              <w:t xml:space="preserve">:</w:t>
            </w:r>
            <w:r>
              <w:rPr>
                <w:bCs/>
              </w:rPr>
            </w:r>
            <w:r>
              <w:rPr>
                <w:bCs/>
              </w:rPr>
            </w:r>
          </w:p>
        </w:tc>
        <w:tc>
          <w:tcPr>
            <w:tcBorders/>
            <w:tcW w:w="6940" w:type="dxa"/>
            <w:vAlign w:val="center"/>
            <w:vMerge w:val="restart"/>
            <w:textDirection w:val="lrTb"/>
            <w:noWrap w:val="false"/>
          </w:tcPr>
          <w:p>
            <w:pPr>
              <w:pBdr/>
              <w:spacing w:after="40" w:before="40" w:line="288"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88"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88"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line="288" w:lineRule="auto"/>
              <w:ind/>
              <w:rPr/>
            </w:pPr>
            <w:r>
              <w:rPr>
                <w:b/>
                <w:bCs/>
              </w:rPr>
              <w:t xml:space="preserve">ÔNG PHẠM VĂN DƯƠNG</w:t>
            </w:r>
            <w:r/>
          </w:p>
        </w:tc>
      </w:tr>
      <w:tr>
        <w:trPr>
          <w:trHeight w:val="20"/>
        </w:trPr>
        <w:tc>
          <w:tcPr>
            <w:tcBorders/>
            <w:tcW w:w="2518" w:type="dxa"/>
            <w:vAlign w:val="center"/>
            <w:textDirection w:val="lrTb"/>
            <w:noWrap w:val="false"/>
          </w:tcPr>
          <w:p>
            <w:pPr>
              <w:pBdr/>
              <w:spacing w:after="40" w:before="40" w:line="288"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88"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88" w:lineRule="auto"/>
              <w:ind/>
              <w:jc w:val="both"/>
              <w:rPr>
                <w:color w:val="ff0000"/>
                <w:lang w:val="pt-BR"/>
              </w:rPr>
            </w:pPr>
            <w:r>
              <w:rPr>
                <w:color w:val="000000" w:themeColor="text1"/>
                <w:lang w:val="vi-VN"/>
              </w:rPr>
              <w:t xml:space="preserve">036091007382</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i w:val="0"/>
                <w:iCs w:val="0"/>
              </w:rPr>
              <w:t xml:space="preserve">G</w:t>
            </w:r>
            <w:r>
              <w:rPr>
                <w:i w:val="0"/>
                <w:iCs w:val="0"/>
              </w:rPr>
              <w:t xml:space="preserve">iá trị quyền sử dụng đất tại thửa đất số: 524, tờ bản đồ số 32 có địa chỉ: Phường Định Công, Thành phố Hà Nội theo Giấy chứng nhận quyền sử dụng đất, quyền sở hữu tài sản gắn liền với đất số: AA 05869178, số vào sổ cấp GCN: CN 04129 do Chi nhánh Văn phòng </w:t>
            </w:r>
            <w:r>
              <w:rPr>
                <w:i w:val="0"/>
                <w:iCs w:val="0"/>
              </w:rPr>
              <w:t xml:space="preserve">đăng ký đất đai Hà Nội - quận Hoàng Mai cấp ngày 03/2/2026; Chủ sử dụng đất là Ông Phạm Văn Dương và vợ Vũ Thị Nhâm</w:t>
            </w:r>
            <w:r>
              <w:rPr>
                <w:bCs/>
                <w:color w:val="000000" w:themeColor="text1"/>
                <w:lang w:val="pt-BR"/>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Định Công,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auto"/>
                <w:sz w:val="24"/>
                <w:szCs w:val="24"/>
              </w:rPr>
              <w:t xml:space="preserve">20.971474, 105.834110</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5"/>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i w:val="0"/>
          <w:iCs w:val="0"/>
        </w:rPr>
        <w:t xml:space="preserve">Giấy chứng nhận quyền sử dụng đất, quyền sở hữu tài sản gắn liền với đất số: AA 05869178, số vào sổ cấp GCN: CN 04129 do Chi nhánh Văn phòng </w:t>
      </w:r>
      <w:r>
        <w:rPr>
          <w:i w:val="0"/>
          <w:iCs w:val="0"/>
        </w:rPr>
        <w:t xml:space="preserve">đăng ký đất đai Hà Nội - quận Hoàng Mai cấp ngày 03/2/2026; Chủ sử dụng đất là Ông Phạm Văn Dương và vợ Vũ Thị Nhâm</w:t>
      </w:r>
      <w:r>
        <w:rPr>
          <w:bCs/>
          <w:color w:val="000000" w:themeColor="text1"/>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w:t>
      </w:r>
      <w:r>
        <w:rPr>
          <w:b w:val="0"/>
          <w:i w:val="0"/>
          <w:iCs w:val="0"/>
          <w:color w:val="000000" w:themeColor="text1"/>
          <w:spacing w:val="-6"/>
          <w:sz w:val="24"/>
          <w:szCs w:val="24"/>
          <w:lang w:val="pt-BR"/>
        </w:rPr>
        <w:t xml:space="preserve">275/2026/0530/VFI-HĐTĐ.21.A</w:t>
      </w:r>
      <w:r>
        <w:rPr>
          <w:b w:val="0"/>
          <w:i w:val="0"/>
          <w:iCs w:val="0"/>
          <w:color w:val="000000" w:themeColor="text1"/>
          <w:spacing w:val="-6"/>
          <w:sz w:val="24"/>
          <w:szCs w:val="24"/>
          <w:lang w:val="pt-BR"/>
        </w:rPr>
        <w:t xml:space="preserve"> </w:t>
      </w:r>
      <w:r>
        <w:rPr>
          <w:color w:val="000000" w:themeColor="text1"/>
          <w:lang w:val="pt-BR"/>
        </w:rPr>
        <w:t xml:space="preserve">ngày 02/04/2026 giữa Ông Phạm Văn Dương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425" w:left="0"/>
        <w:jc w:val="both"/>
        <w:rPr/>
      </w:pPr>
      <w:r>
        <w:rPr>
          <w:rFonts w:ascii="Times New Roman" w:hAnsi="Times New Roman" w:eastAsia="Times New Roman" w:cs="Times New Roman"/>
          <w:b/>
          <w:i/>
          <w:color w:val="000000"/>
          <w:sz w:val="24"/>
        </w:rPr>
        <w:t xml:space="preserve">Bức tranh thị trường bất động sản Hà Nội năm 2026: Hạ tầng dẫn dắt, thị trường bước vào chu kỳ tăng trưởng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Bước sang năm 2026, thị trường bất động sản Hà Nội được kỳ vọng bước vào chu kỳ tăng trưởng mới với nền tảng hạ tầng, pháp lý và chính sách ngày càng rõ nét. Thay vì những cơn “sốt nóng”, thị trường vận động theo hướng chọn lọc, phân hóa mạnh, lấy nhu cầu</w:t>
      </w:r>
      <w:r>
        <w:rPr>
          <w:rFonts w:ascii="Times New Roman" w:hAnsi="Times New Roman" w:eastAsia="Times New Roman" w:cs="Times New Roman"/>
          <w:color w:val="000000"/>
          <w:sz w:val="24"/>
        </w:rPr>
        <w:t xml:space="preserve"> ở thực, chất lượng dự án và năng lực doanh nghiệp làm trụ cột phát triển bền vững.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Trong bối cảnh kinh tế vĩ mô dần ổn định, khuôn khổ pháp lý được hoàn thiện và đầu tư công tiếp tục giữ vai trò "đầu kéo", bất động sản Thủ đô bước vào một chu kỳ phát triển mới – thận trọng hơn, thực chất hơn và lấy hạ tầng làm động lực trung tâm. Thay v</w:t>
      </w:r>
      <w:r>
        <w:rPr>
          <w:rFonts w:ascii="Times New Roman" w:hAnsi="Times New Roman" w:eastAsia="Times New Roman" w:cs="Times New Roman"/>
          <w:color w:val="000000"/>
          <w:sz w:val="24"/>
        </w:rPr>
        <w:t xml:space="preserve">ì những cơn "sốt nóng" ngắn hạn, thị trường năm 2026 được kỳ vọng tăng trưởng trên nền tảng bền vững, gắn chặt với quy hoạch đô thị, nhu cầu ở thực và năng lực triển khai của doanh nghiệp.</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Hạ tầng – "xương sống" mở không gian phát triển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Trong nhiều năm qua, hạ tầng giao thông luôn là yếu tố then chốt định hình không gian phát triển đô thị Hà Nội. Đến năm 2026, vai trò này càng trở nên rõ rệt khi hàng loạt dự án trọng điểm được triển khai đồng bộ, tạo lực đẩy dài hạn cho thị trường bất độ</w:t>
      </w:r>
      <w:r>
        <w:rPr>
          <w:rFonts w:ascii="Times New Roman" w:hAnsi="Times New Roman" w:eastAsia="Times New Roman" w:cs="Times New Roman"/>
          <w:color w:val="000000"/>
          <w:sz w:val="24"/>
        </w:rPr>
        <w:t xml:space="preserve">ng sản.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Dự án đường Vành đai 4 – Vùng Thủ đô, với quy mô hơn 85.000 tỷ đồng, được coi là "đòn bẩy chiến lược" mở rộng không gian phát triển về các hướng Bắc, Tây và Nam. Khi tuyến đường này từng bước thành hình, các khu vực vốn nằm ngoài trung tâm truyền thống sẽ</w:t>
      </w:r>
      <w:r>
        <w:rPr>
          <w:rFonts w:ascii="Times New Roman" w:hAnsi="Times New Roman" w:eastAsia="Times New Roman" w:cs="Times New Roman"/>
          <w:color w:val="000000"/>
          <w:sz w:val="24"/>
        </w:rPr>
        <w:t xml:space="preserve"> có điều kiện kết nối thuận lợi hơn, qua đó gia tăng sức hấp dẫn với các dự án đô thị, khu nhà ở và dịch vụ.</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Cùng với đó,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w:t>
      </w:r>
      <w:r>
        <w:rPr>
          <w:rFonts w:ascii="Times New Roman" w:hAnsi="Times New Roman" w:eastAsia="Times New Roman" w:cs="Times New Roman"/>
          <w:color w:val="000000"/>
          <w:sz w:val="24"/>
        </w:rPr>
        <w:t xml:space="preserve">g, hạ tầng 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w:t>
      </w:r>
      <w:r>
        <w:rPr>
          <w:rFonts w:ascii="Times New Roman" w:hAnsi="Times New Roman" w:eastAsia="Times New Roman" w:cs="Times New Roman"/>
          <w:color w:val="000000"/>
          <w:sz w:val="24"/>
        </w:rPr>
        <w:t xml:space="preserve">g trưởng bất động sản dài hạn.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Cao – Hòa Lạc), đang </w:t>
      </w:r>
      <w:r>
        <w:rPr>
          <w:rFonts w:ascii="Times New Roman" w:hAnsi="Times New Roman" w:eastAsia="Times New Roman" w:cs="Times New Roman"/>
          <w:color w:val="000000"/>
          <w:sz w:val="24"/>
        </w:rPr>
        <w:t xml:space="preserve">nổi lên như một cực phát triển mới. Ở phía Đông, hệ thống cầu vượt sông Hồng, cùng quy hoạch chỉnh trang đô thị ven sông, tiếp tục mở ra dư địa cho các dự án nhà ở và đô thị sinh thái.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Thị trường chuyển từ "tăng nóng" sang tăng trưởng chọn lọc</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những khu vực có</w:t>
      </w:r>
      <w:r>
        <w:rPr>
          <w:rFonts w:ascii="Times New Roman" w:hAnsi="Times New Roman" w:eastAsia="Times New Roman" w:cs="Times New Roman"/>
          <w:color w:val="000000"/>
          <w:sz w:val="24"/>
        </w:rPr>
        <w:t xml:space="preserve"> quy hoạch rõ ràng, hạ tầng đồng bộ và nhu cầu ở thực ổn định.</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Theo ông Nguyễn Văn Đính, Chủ tịch Hội Môi giới Bất động sản Việt Nam (VARS), thị trường bất động sản Hà Nội sẽ không tăng trưởng theo kiểu nóng mà dựa trên nền tảng hạ tầng và nhu cầu thật. Những dự án gắn với các tuyến giao thông lớn, pháp lý minh bạch </w:t>
      </w:r>
      <w:r>
        <w:rPr>
          <w:rFonts w:ascii="Times New Roman" w:hAnsi="Times New Roman" w:eastAsia="Times New Roman" w:cs="Times New Roman"/>
          <w:color w:val="000000"/>
          <w:sz w:val="24"/>
        </w:rPr>
        <w:t xml:space="preserve">và được triển khai bài bản sẽ trở thành động lực chính của thị trường trong năm 2026.</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Số liệu từ các đơn vị nghiên cứu cho thấy, trong giai đoạn gần đây, giá bất động sản tại những khu vực bám trục hạ tầng lớn của Hà Nội vẫn duy trì mức tăng ổn định, trong khi thanh khoản dần cải thiện. Điều này phản ánh sự dịch chuyển của dòng tiền sang c</w:t>
      </w:r>
      <w:r>
        <w:rPr>
          <w:rFonts w:ascii="Times New Roman" w:hAnsi="Times New Roman" w:eastAsia="Times New Roman" w:cs="Times New Roman"/>
          <w:color w:val="000000"/>
          <w:sz w:val="24"/>
        </w:rPr>
        <w:t xml:space="preserve">ác phân khúc an toàn hơn, hạn chế rủi ro và có tiềm năng tăng trưởng dài hạn.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Nguồn cung lớn, thị trường phân hóa rõ nét</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khởi động. Điều này vừa tạ</w:t>
      </w:r>
      <w:r>
        <w:rPr>
          <w:rFonts w:ascii="Times New Roman" w:hAnsi="Times New Roman" w:eastAsia="Times New Roman" w:cs="Times New Roman"/>
          <w:color w:val="000000"/>
          <w:sz w:val="24"/>
        </w:rPr>
        <w:t xml:space="preserve">o cơ hội cho người mua, vừa đặt ra thách thức cho doanh nghiệp phát triển dự 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Ông David Jackson, Tổng Giám đốc Avison Young Việt Nam nhận định, thị trường căn hộ đang bước vào giai đoạn bản lề. Phân khúc này tiếp tục giữ vai trò chủ đạo trong giai đoạn 2025–2026, song sự phát triển sẽ không đồng đều. Các dự án có vị trí thuận lợi, </w:t>
      </w:r>
      <w:r>
        <w:rPr>
          <w:rFonts w:ascii="Times New Roman" w:hAnsi="Times New Roman" w:eastAsia="Times New Roman" w:cs="Times New Roman"/>
          <w:color w:val="000000"/>
          <w:sz w:val="24"/>
        </w:rPr>
        <w:t xml:space="preserve">kết nối hạ tầng tốt, pháp lý hoàn chỉnh và chủ đầu tư uy tín sẽ duy trì thanh khoản, trong khi những dự án xa trung tâm, thiếu tiện ích hoặc định giá vượt khả năng chi trả của số đông sẽ gặp khó.</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lớn nhờ phù hợp với nhu cầu ở thực. Trong khi đ</w:t>
      </w:r>
      <w:r>
        <w:rPr>
          <w:rFonts w:ascii="Times New Roman" w:hAnsi="Times New Roman" w:eastAsia="Times New Roman" w:cs="Times New Roman"/>
          <w:color w:val="000000"/>
          <w:sz w:val="24"/>
        </w:rPr>
        <w:t xml:space="preserve">ó, phân khúc nhà ở vừa túi tiền và nhà ở xã hội được kỳ vọng sẽ dần cải thiện nguồn cung khi các chính sách mới được triển khai đồng bộ.</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Chính sách và pháp lý – điểm tựa cho chu kỳ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Năm 2026 được xem là thời điểm các 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w:t>
      </w:r>
      <w:r>
        <w:rPr>
          <w:rFonts w:ascii="Times New Roman" w:hAnsi="Times New Roman" w:eastAsia="Times New Roman" w:cs="Times New Roman"/>
          <w:color w:val="000000"/>
          <w:sz w:val="24"/>
        </w:rPr>
        <w:t xml:space="preserve">nguồn cung đáng kể cho thị trường.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 "treo" </w:t>
      </w:r>
      <w:r>
        <w:rPr>
          <w:rFonts w:ascii="Times New Roman" w:hAnsi="Times New Roman" w:eastAsia="Times New Roman" w:cs="Times New Roman"/>
          <w:color w:val="000000"/>
          <w:sz w:val="24"/>
        </w:rPr>
        <w:t xml:space="preserve">dự án kéo dài, đồng thời tạo niềm tin cho nhà đầu tư và người mua nhà.</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Bước vào năm 2026, mặt bằng lãi suất được dự báo duy trì ở mức tương đối ổn định, dù có thể xuất hiện những điều chỉnh kỹ thuật. Ông Nguyễn Quốc Anh, Phó Tổng Giám đốc Batdongsan.com.vn cho rằng, mức lãi suất cho vay phổ biến quanh 6–7%/năm vẫn nằm trong </w:t>
      </w:r>
      <w:r>
        <w:rPr>
          <w:rFonts w:ascii="Times New Roman" w:hAnsi="Times New Roman" w:eastAsia="Times New Roman" w:cs="Times New Roman"/>
          <w:color w:val="000000"/>
          <w:sz w:val="24"/>
        </w:rPr>
        <w:t xml:space="preserve">vùng hỗ trợ giao dịch, khác xa giai đoạn "cú sốc kép" năm 2022.</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Ở góc nhìn vĩ mô, TS. Cấn Văn Lực, Chuyên gia Kinh tế trưởng Ngân hàng BIDV, Thành viên Hội đồng Tư vấn chính sách tài chính – tiền tệ quốc gia – nhận định, lãi suất thấp trong giai đoạn tới sẽ không còn kích hoạt đầu cơ mạnh như trước, mà thúc đẩy thị tr</w:t>
      </w:r>
      <w:r>
        <w:rPr>
          <w:rFonts w:ascii="Times New Roman" w:hAnsi="Times New Roman" w:eastAsia="Times New Roman" w:cs="Times New Roman"/>
          <w:color w:val="000000"/>
          <w:sz w:val="24"/>
        </w:rPr>
        <w:t xml:space="preserve">ường phát triển ổn định hơn. Người mua ngày càng thận trọng, ưu tiên pháp lý rõ ràng, chất lượng sản phẩm và uy tín chủ đầu tư – những yếu tố then chốt để hình thành chu kỳ tăng trưởng bền vững.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Triển vọng 2026: tăng trưởng bền vững trên nền tảng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Với nguồn cung tăng mạnh và người mua ngày càng kỹ tính, năm 2026 được xem là giai đoạn sàng lọc rõ nét đối với các doanh nghiệp bất động sản. Những chủ đầu tư có quỹ đất sạch, năng lực tài chính lành mạnh và chiến lược phát triển sản phẩm phù hợp sẽ có c</w:t>
      </w:r>
      <w:r>
        <w:rPr>
          <w:rFonts w:ascii="Times New Roman" w:hAnsi="Times New Roman" w:eastAsia="Times New Roman" w:cs="Times New Roman"/>
          <w:color w:val="000000"/>
          <w:sz w:val="24"/>
        </w:rPr>
        <w:t xml:space="preserve">ơ hội bứt phá. Ngược lại, các doanh nghiệp yếu về pháp lý, phụ thuộc nhiều vào đòn bẩy tài chính hoặc chạy theo đầu cơ ngắn hạn có thể tiếp tục bị đào thải.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doanh nghiệp phải gìn giữ.</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 chủ đạo. Thị trường k</w:t>
      </w:r>
      <w:r>
        <w:rPr>
          <w:rFonts w:ascii="Times New Roman" w:hAnsi="Times New Roman" w:eastAsia="Times New Roman" w:cs="Times New Roman"/>
          <w:color w:val="000000"/>
          <w:sz w:val="24"/>
        </w:rPr>
        <w:t xml:space="preserve">hông còn chỗ cho những cơn sốt ảo, mà hướng tới tăng trưởng ổn định, gắn với chất lượng đô thị và chất lượng sống.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Với những nền tảng đó, bất động sản Hà Nội trong năm 2026 được kỳ vọng sẽ bước vào chu kỳ phát triển mới – bền vững hơn, minh bạch hơn và đóng góp hiệu quả hơn cho tăng trưởng kinh tế – xã hội của Thủ đô.</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88" w:lineRule="auto"/>
        <w:ind w:right="0" w:firstLine="0" w:left="0"/>
        <w:jc w:val="center"/>
        <w:rPr/>
      </w:pPr>
      <w:r>
        <w:rPr>
          <w:rFonts w:ascii="Times New Roman" w:hAnsi="Times New Roman" w:eastAsia="Times New Roman" w:cs="Times New Roman"/>
          <w:i/>
          <w:color w:val="000000"/>
          <w:sz w:val="24"/>
        </w:rPr>
        <w:t xml:space="preserve">(Nguồn tham khảo: https://thanglong.chinhphu.vn/buc-tranh-thi-truong-bat-dong-san-ha-noi-nam-2026-ha-tang-dan-dat-thi-truong-buoc-vao-chu-ky-tang-truong-moi-103260101181315972.htm)</w:t>
      </w: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524, tờ bản đồ số 32 có địa chỉ: Phường Định Công, Thành phố Hà Nội theo Giấy chứng nhận quyền sử dụng đất, quyền sở hữu tài sản gắn liền với đất số: AA 05869178, số vào sổ cấp GCN: CN 04129 do Chi nhánh Văn phòng</w:t>
            </w:r>
            <w:r>
              <w:rPr>
                <w:rFonts w:ascii="Times New Roman" w:hAnsi="Times New Roman" w:eastAsia="Times New Roman" w:cs="Times New Roman"/>
                <w:b/>
                <w:color w:val="000000"/>
                <w:sz w:val="24"/>
              </w:rPr>
              <w:t xml:space="preserve"> đăng ký đất đai Hà Nội - quận Hoàng Mai cấp ngày 03/2/2026; Chủ sử dụng đất là Ông Phạm Văn Dương và vợ Vũ Thị Nhâm.</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524</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32</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Phường Định Công,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60,0</w:t>
            </w: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Sử dụngchugn của vợ và chồng</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Lâu dài</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rFonts w:ascii="Times New Roman" w:hAnsi="Times New Roman" w:eastAsia="Times New Roman" w:cs="Times New Roman"/>
                <w:bCs/>
                <w:i/>
                <w:color w:val="000000"/>
                <w:sz w:val="24"/>
                <w:szCs w:val="24"/>
              </w:rPr>
            </w:pPr>
            <w:r>
              <w:rPr>
                <w:rFonts w:ascii="Times New Roman" w:hAnsi="Times New Roman" w:eastAsia="Times New Roman" w:cs="Times New Roman"/>
                <w:i/>
                <w:color w:val="000000"/>
                <w:sz w:val="24"/>
              </w:rPr>
              <w:t xml:space="preserve">+ Thửa đất này được tách từ thửa đất thuộc Giấy chứng nhận số BN 793405 được UBND quận Hoàng Mai cấp ngày 09/4/2013;</w:t>
              <w:br/>
              <w:t xml:space="preserve">+ Số tờ, số thửa và bản đồ được xác định theo bản đồ dự án tổng thể (phường Đại Kim, quận Hoàng Mai cũ);</w:t>
            </w:r>
            <w:r>
              <w:rPr>
                <w:rFonts w:ascii="Times New Roman" w:hAnsi="Times New Roman" w:eastAsia="Times New Roman" w:cs="Times New Roman"/>
                <w:bCs/>
                <w:i/>
                <w:color w:val="000000"/>
                <w:sz w:val="24"/>
                <w:szCs w:val="24"/>
              </w:rPr>
            </w:r>
            <w:r>
              <w:rPr>
                <w:rFonts w:ascii="Times New Roman" w:hAnsi="Times New Roman" w:eastAsia="Times New Roman" w:cs="Times New Roman"/>
                <w:bCs/>
                <w:i/>
                <w:color w:val="000000"/>
                <w:sz w:val="24"/>
                <w:szCs w:val="24"/>
              </w:rPr>
            </w:r>
          </w:p>
          <w:p>
            <w:pPr>
              <w:pBdr/>
              <w:spacing w:after="0" w:before="0" w:line="240" w:lineRule="auto"/>
              <w:ind/>
              <w:jc w:val="both"/>
              <w:rPr/>
            </w:pPr>
            <w:r>
              <w:rPr>
                <w:rFonts w:ascii="Times New Roman" w:hAnsi="Times New Roman" w:eastAsia="Times New Roman" w:cs="Times New Roman"/>
                <w:i/>
                <w:color w:val="000000"/>
                <w:sz w:val="24"/>
              </w:rPr>
              <w:t xml:space="preserve">+ Bản đồ 1994: Một phần thửa đất số</w:t>
            </w:r>
            <w:r>
              <w:rPr>
                <w:rFonts w:ascii="Times New Roman" w:hAnsi="Times New Roman" w:eastAsia="Times New Roman" w:cs="Times New Roman"/>
                <w:i/>
                <w:color w:val="000000"/>
                <w:sz w:val="24"/>
              </w:rPr>
              <w:t xml:space="preserve"> 25, tờ bản đồ số 26.</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Tại thời điểm thẩm định, Tổ thẩm định tham khảo website quy hoạch Meeymap nhận thấy tài sản thẩm định nằm trong quy hoạch đất ở.</w:t>
            </w:r>
            <w:r/>
          </w:p>
          <w:p>
            <w:pPr>
              <w:pBdr/>
              <w:spacing w:after="0" w:before="0" w:line="240" w:lineRule="auto"/>
              <w:ind/>
              <w:jc w:val="both"/>
              <w:rPr/>
            </w:pPr>
            <w:r>
              <mc:AlternateContent>
                <mc:Choice Requires="wpg">
                  <w:drawing>
                    <wp:inline xmlns:wp="http://schemas.openxmlformats.org/drawingml/2006/wordprocessingDrawing" distT="0" distB="0" distL="0" distR="0">
                      <wp:extent cx="3852261" cy="199509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735315" name=""/>
                              <pic:cNvPicPr>
                                <a:picLocks noChangeAspect="1"/>
                              </pic:cNvPicPr>
                              <pic:nvPr/>
                            </pic:nvPicPr>
                            <pic:blipFill rotWithShape="1">
                              <a:blip r:embed="rId17"/>
                              <a:stretch/>
                            </pic:blipFill>
                            <pic:spPr bwMode="auto">
                              <a:xfrm flipH="0" flipV="0">
                                <a:off x="0" y="0"/>
                                <a:ext cx="3852261" cy="199509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03.33pt;height:157.09pt;mso-wrap-distance-left:0.00pt;mso-wrap-distance-top:0.00pt;mso-wrap-distance-right:0.00pt;mso-wrap-distance-bottom:0.00pt;z-index:1;" stroked="false">
                      <v:imagedata r:id="rId17" o:title=""/>
                      <o:lock v:ext="edit" rotation="t"/>
                    </v:shape>
                  </w:pict>
                </mc:Fallback>
              </mc:AlternateConten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Đường bê tông</w:t>
            </w: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02 mặt tiền (lô góc)</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Khoảng 2,5m</w:t>
            </w: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Khoảng 2,5m</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nằm tại ngõ 158 Đại Từ, Phường Định Công, Thành phố Hà Nội; cách đường Đại Từ khoảng 30m</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 Hướng Tây: Tiếp giáp đường bê tông khoảng 2,5m;</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 Hướng Bắc: Tiếp giáp đường bê tông khoảng 2m;</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after="0" w:before="0" w:line="240" w:lineRule="auto"/>
              <w:ind/>
              <w:jc w:val="both"/>
              <w:rPr/>
            </w:pPr>
            <w:r>
              <w:rPr>
                <w:rFonts w:ascii="Times New Roman" w:hAnsi="Times New Roman" w:eastAsia="Times New Roman" w:cs="Times New Roman"/>
                <w:color w:val="000000"/>
                <w:sz w:val="24"/>
              </w:rPr>
              <w:t xml:space="preserve">+ Các hướng khác: Tiếp giáp các thửa đất khác.</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20.971474, 105.834110</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5470775" cy="307797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20556" name=""/>
                              <pic:cNvPicPr>
                                <a:picLocks noChangeAspect="1"/>
                              </pic:cNvPicPr>
                              <pic:nvPr/>
                            </pic:nvPicPr>
                            <pic:blipFill rotWithShape="1">
                              <a:blip r:embed="rId18"/>
                              <a:stretch/>
                            </pic:blipFill>
                            <pic:spPr bwMode="auto">
                              <a:xfrm flipH="0" flipV="0">
                                <a:off x="0" y="0"/>
                                <a:ext cx="5470774" cy="30779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30.77pt;height:242.36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60,0</w:t>
            </w: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6,45</w:t>
            </w: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9,48</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Vuông vức</w:t>
            </w: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Tây</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w:t>
            </w:r>
            <w:r>
              <w:rPr>
                <w:color w:val="000000"/>
              </w:rPr>
            </w:r>
            <w:r>
              <w:rPr>
                <w:color w:val="000000"/>
              </w:rPr>
            </w:r>
          </w:p>
          <w:p>
            <w:pPr>
              <w:pBdr/>
              <w:spacing/>
              <w:ind/>
              <w:rPr>
                <w:color w:val="000000"/>
              </w:rPr>
            </w:pPr>
            <w:r>
              <w:rPr>
                <w:color w:val="000000"/>
              </w:rPr>
              <w:t xml:space="preserve">Hạ tầng thoát nước: Rãnh có nắp, </w:t>
            </w:r>
            <w:r>
              <w:rPr>
                <w:color w:val="000000"/>
              </w:rPr>
            </w:r>
            <w:r>
              <w:rPr>
                <w:color w:val="000000"/>
              </w:rPr>
            </w:r>
          </w:p>
          <w:p>
            <w:pPr>
              <w:pBdr/>
              <w:spacing/>
              <w:ind/>
              <w:rPr>
                <w:color w:val="000000"/>
              </w:rPr>
            </w:pPr>
            <w:r>
              <w:rPr>
                <w:color w:val="000000"/>
              </w:rPr>
              <w:t xml:space="preserve">Hạ tầng cấp điện: Điện lưới, </w:t>
            </w:r>
            <w:r>
              <w:rPr>
                <w:color w:val="000000"/>
              </w:rPr>
            </w:r>
            <w:r>
              <w:rPr>
                <w:color w:val="000000"/>
              </w:rPr>
            </w:r>
          </w:p>
          <w:p>
            <w:pPr>
              <w:pBdr/>
              <w:spacing/>
              <w:ind/>
              <w:rPr>
                <w:color w:val="000000"/>
              </w:rPr>
            </w:pPr>
            <w:r>
              <w:rPr>
                <w:color w:val="000000"/>
              </w:rPr>
              <w:t xml:space="preserve">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Đông đúc</w:t>
            </w: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Phù hợp để ở/kinh doanh</w:t>
            </w: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i/>
                <w:color w:val="000000"/>
              </w:rPr>
            </w:pPr>
            <w:r>
              <w:rPr>
                <w:b/>
                <w:bCs/>
                <w:color w:val="000000"/>
              </w:rPr>
              <w:t xml:space="preserve">Tài sản gắn liền với đất: </w:t>
            </w:r>
            <w:r>
              <w:rPr>
                <w:b/>
                <w:bCs/>
                <w:i w:val="0"/>
                <w:iCs w:val="0"/>
                <w:color w:val="000000"/>
              </w:rPr>
              <w:t xml:space="preserve">Đất trống.</w:t>
            </w:r>
            <w:r>
              <w:rPr>
                <w:b/>
                <w:bCs/>
                <w:i w:val="0"/>
                <w:iCs w:val="0"/>
                <w:color w:val="000000"/>
              </w:rPr>
            </w:r>
            <w:r>
              <w:rPr>
                <w:b/>
                <w:bCs/>
                <w:i/>
                <w:color w:val="000000"/>
              </w:rPr>
            </w:r>
          </w:p>
        </w:tc>
      </w:tr>
    </w:tbl>
    <w:p>
      <w:pPr>
        <w:pBdr/>
        <w:spacing w:line="235" w:lineRule="auto"/>
        <w:ind w:left="0"/>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tbl>
      <w:tblPr>
        <w:tblStyle w:val="1029"/>
        <w:jc w:val="center"/>
        <w:tblW w:w="0" w:type="auto"/>
        <w:tblBorders/>
        <w:tblLayout w:type="fixed"/>
        <w:tblLook w:val="04A0" w:firstRow="1" w:lastRow="0" w:firstColumn="1" w:lastColumn="0" w:noHBand="0" w:noVBand="1"/>
      </w:tblPr>
      <w:tblGrid>
        <w:gridCol w:w="732"/>
        <w:gridCol w:w="1984"/>
        <w:gridCol w:w="2055"/>
        <w:gridCol w:w="2055"/>
        <w:gridCol w:w="1344"/>
        <w:gridCol w:w="1344"/>
      </w:tblGrid>
      <w:tr>
        <w:trPr>
          <w:jc w:val="center"/>
        </w:trPr>
        <w:tc>
          <w:tcPr>
            <w:tcBorders/>
            <w:tcW w:w="732" w:type="dxa"/>
            <w:vAlign w:val="center"/>
            <w:textDirection w:val="lrTb"/>
            <w:noWrap w:val="false"/>
          </w:tcPr>
          <w:p>
            <w:pPr>
              <w:pBdr/>
              <w:spacing/>
              <w:ind/>
              <w:jc w:val="center"/>
              <w:rPr>
                <w:b/>
                <w:bCs/>
              </w:rPr>
            </w:pPr>
            <w:r>
              <w:rPr>
                <w:b/>
                <w:bCs/>
              </w:rPr>
              <w:t xml:space="preserve">STT</w:t>
            </w:r>
            <w:r>
              <w:rPr>
                <w:b/>
                <w:bCs/>
              </w:rPr>
            </w:r>
            <w:r>
              <w:rPr>
                <w:b/>
                <w:bCs/>
              </w:rPr>
            </w:r>
          </w:p>
        </w:tc>
        <w:tc>
          <w:tcPr>
            <w:tcBorders/>
            <w:tcW w:w="1984"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2055"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205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44"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1344"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732" w:type="dxa"/>
            <w:vAlign w:val="center"/>
            <w:textDirection w:val="lrTb"/>
            <w:noWrap w:val="false"/>
          </w:tcPr>
          <w:p>
            <w:pPr>
              <w:pBdr/>
              <w:spacing/>
              <w:ind/>
              <w:jc w:val="center"/>
              <w:rPr/>
            </w:pPr>
            <w:r>
              <w:t xml:space="preserve">1</w:t>
            </w:r>
            <w:r/>
          </w:p>
        </w:tc>
        <w:tc>
          <w:tcPr>
            <w:tcBorders/>
            <w:tcW w:w="1984" w:type="dxa"/>
            <w:vAlign w:val="center"/>
            <w:textDirection w:val="lrTb"/>
            <w:noWrap w:val="false"/>
          </w:tcPr>
          <w:p>
            <w:pPr>
              <w:pBdr/>
              <w:spacing/>
              <w:ind/>
              <w:jc w:val="center"/>
              <w:rPr/>
            </w:pPr>
            <w:r>
              <w:t xml:space="preserve">Địa chỉ trên sổ</w:t>
            </w:r>
            <w:r/>
          </w:p>
        </w:tc>
        <w:tc>
          <w:tcPr>
            <w:tcBorders/>
            <w:tcW w:w="2055" w:type="dxa"/>
            <w:vAlign w:val="center"/>
            <w:textDirection w:val="lrTb"/>
            <w:noWrap w:val="false"/>
          </w:tcPr>
          <w:p>
            <w:pPr>
              <w:pBdr/>
              <w:spacing/>
              <w:ind/>
              <w:jc w:val="center"/>
              <w:rPr/>
            </w:pPr>
            <w:r>
              <w:t xml:space="preserve">Phường Định Công, Thành phố Hà Nội</w:t>
            </w:r>
            <w:r/>
          </w:p>
        </w:tc>
        <w:tc>
          <w:tcPr>
            <w:tcBorders/>
            <w:tcW w:w="2055" w:type="dxa"/>
            <w:vAlign w:val="center"/>
            <w:textDirection w:val="lrTb"/>
            <w:noWrap w:val="false"/>
          </w:tcPr>
          <w:p>
            <w:pPr>
              <w:pBdr/>
              <w:spacing/>
              <w:ind/>
              <w:jc w:val="center"/>
              <w:rPr/>
            </w:pPr>
            <w:r>
              <w:t xml:space="preserve">Phường Định Công, Thành phố Hà Nội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2</w:t>
            </w:r>
            <w:r/>
          </w:p>
        </w:tc>
        <w:tc>
          <w:tcPr>
            <w:tcBorders/>
            <w:tcW w:w="1984" w:type="dxa"/>
            <w:vAlign w:val="center"/>
            <w:textDirection w:val="lrTb"/>
            <w:noWrap w:val="false"/>
          </w:tcPr>
          <w:p>
            <w:pPr>
              <w:pBdr/>
              <w:spacing/>
              <w:ind/>
              <w:jc w:val="center"/>
              <w:rPr/>
            </w:pPr>
            <w:r>
              <w:t xml:space="preserve">Địa chỉ thực tế</w:t>
            </w:r>
            <w:r/>
          </w:p>
        </w:tc>
        <w:tc>
          <w:tcPr>
            <w:tcBorders/>
            <w:tcW w:w="2055" w:type="dxa"/>
            <w:vAlign w:val="center"/>
            <w:textDirection w:val="lrTb"/>
            <w:noWrap w:val="false"/>
          </w:tcPr>
          <w:p>
            <w:pPr>
              <w:pBdr/>
              <w:spacing/>
              <w:ind/>
              <w:jc w:val="center"/>
              <w:rPr/>
            </w:pPr>
            <w:r>
              <w:t xml:space="preserve">Phường Định Công, Thành phố Hà Nội</w:t>
            </w:r>
            <w:r/>
          </w:p>
        </w:tc>
        <w:tc>
          <w:tcPr>
            <w:tcBorders/>
            <w:tcW w:w="2055" w:type="dxa"/>
            <w:vAlign w:val="center"/>
            <w:textDirection w:val="lrTb"/>
            <w:noWrap w:val="false"/>
          </w:tcPr>
          <w:p>
            <w:pPr>
              <w:pBdr/>
              <w:spacing/>
              <w:ind/>
              <w:jc w:val="center"/>
              <w:rPr/>
            </w:pPr>
            <w:r>
              <w:t xml:space="preserve">Phường Định Công, Thành phố Hà Nội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3</w:t>
            </w:r>
            <w:r/>
          </w:p>
        </w:tc>
        <w:tc>
          <w:tcPr>
            <w:tcBorders/>
            <w:tcW w:w="1984" w:type="dxa"/>
            <w:vAlign w:val="center"/>
            <w:textDirection w:val="lrTb"/>
            <w:noWrap w:val="false"/>
          </w:tcPr>
          <w:p>
            <w:pPr>
              <w:pBdr/>
              <w:spacing/>
              <w:ind/>
              <w:jc w:val="center"/>
              <w:rPr/>
            </w:pPr>
            <w:r>
              <w:t xml:space="preserve">Pháp lý</w:t>
            </w:r>
            <w:r/>
          </w:p>
        </w:tc>
        <w:tc>
          <w:tcPr>
            <w:tcBorders/>
            <w:tcW w:w="2055" w:type="dxa"/>
            <w:vAlign w:val="center"/>
            <w:textDirection w:val="lrTb"/>
            <w:noWrap w:val="false"/>
          </w:tcPr>
          <w:p>
            <w:pPr>
              <w:pBdr/>
              <w:spacing/>
              <w:ind/>
              <w:jc w:val="center"/>
              <w:rPr/>
            </w:pPr>
            <w:r>
              <w:t xml:space="preserve">Giấy chứng nhận quyền sử dụng đất, quyền sở hữu tài sản gắn liền với đất</w:t>
            </w:r>
            <w:r/>
          </w:p>
        </w:tc>
        <w:tc>
          <w:tcPr>
            <w:tcBorders/>
            <w:tcW w:w="2055" w:type="dxa"/>
            <w:vAlign w:val="center"/>
            <w:textDirection w:val="lrTb"/>
            <w:noWrap w:val="false"/>
          </w:tcPr>
          <w:p>
            <w:pPr>
              <w:pBdr/>
              <w:spacing/>
              <w:ind/>
              <w:jc w:val="center"/>
              <w:rPr/>
            </w:pPr>
            <w:r>
              <w:t xml:space="preserve">Giấy chứng nhận quyền sử dụng đất, quyền sở hữu tài sản gắn liền với đất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4</w:t>
            </w:r>
            <w:r/>
          </w:p>
        </w:tc>
        <w:tc>
          <w:tcPr>
            <w:tcBorders/>
            <w:tcW w:w="1984" w:type="dxa"/>
            <w:vAlign w:val="center"/>
            <w:textDirection w:val="lrTb"/>
            <w:noWrap w:val="false"/>
          </w:tcPr>
          <w:p>
            <w:pPr>
              <w:pBdr/>
              <w:spacing/>
              <w:ind/>
              <w:jc w:val="center"/>
              <w:rPr/>
            </w:pPr>
            <w:r>
              <w:t xml:space="preserve">Loại đất</w:t>
            </w:r>
            <w:r/>
          </w:p>
        </w:tc>
        <w:tc>
          <w:tcPr>
            <w:tcBorders/>
            <w:tcW w:w="2055" w:type="dxa"/>
            <w:vAlign w:val="center"/>
            <w:textDirection w:val="lrTb"/>
            <w:noWrap w:val="false"/>
          </w:tcPr>
          <w:p>
            <w:pPr>
              <w:pBdr/>
              <w:spacing/>
              <w:ind/>
              <w:jc w:val="center"/>
              <w:rPr/>
            </w:pPr>
            <w:r>
              <w:t xml:space="preserve">Đất ở tại đô thị</w:t>
            </w:r>
            <w:r/>
          </w:p>
        </w:tc>
        <w:tc>
          <w:tcPr>
            <w:tcBorders/>
            <w:tcW w:w="2055" w:type="dxa"/>
            <w:vAlign w:val="center"/>
            <w:textDirection w:val="lrTb"/>
            <w:noWrap w:val="false"/>
          </w:tcPr>
          <w:p>
            <w:pPr>
              <w:pBdr/>
              <w:spacing/>
              <w:ind/>
              <w:jc w:val="center"/>
              <w:rPr/>
            </w:pPr>
            <w:r>
              <w:t xml:space="preserve">Đất ở tại đô thị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5</w:t>
            </w:r>
            <w:r/>
          </w:p>
        </w:tc>
        <w:tc>
          <w:tcPr>
            <w:tcBorders/>
            <w:tcW w:w="1984" w:type="dxa"/>
            <w:vAlign w:val="center"/>
            <w:textDirection w:val="lrTb"/>
            <w:noWrap w:val="false"/>
          </w:tcPr>
          <w:p>
            <w:pPr>
              <w:pBdr/>
              <w:spacing/>
              <w:ind/>
              <w:jc w:val="center"/>
              <w:rPr/>
            </w:pPr>
            <w:r>
              <w:t xml:space="preserve">Thời hạn sử dụng</w:t>
            </w:r>
            <w:r/>
          </w:p>
        </w:tc>
        <w:tc>
          <w:tcPr>
            <w:tcBorders/>
            <w:tcW w:w="2055" w:type="dxa"/>
            <w:vAlign w:val="center"/>
            <w:textDirection w:val="lrTb"/>
            <w:noWrap w:val="false"/>
          </w:tcPr>
          <w:p>
            <w:pPr>
              <w:pBdr/>
              <w:spacing/>
              <w:ind/>
              <w:jc w:val="center"/>
              <w:rPr/>
            </w:pPr>
            <w:r>
              <w:t xml:space="preserve">Lâu dài</w:t>
            </w:r>
            <w:r/>
          </w:p>
        </w:tc>
        <w:tc>
          <w:tcPr>
            <w:tcBorders/>
            <w:tcW w:w="2055" w:type="dxa"/>
            <w:vAlign w:val="center"/>
            <w:textDirection w:val="lrTb"/>
            <w:noWrap w:val="false"/>
          </w:tcPr>
          <w:p>
            <w:pPr>
              <w:pBdr/>
              <w:spacing/>
              <w:ind/>
              <w:jc w:val="center"/>
              <w:rPr/>
            </w:pPr>
            <w:r>
              <w:t xml:space="preserve">Lâu dài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6</w:t>
            </w:r>
            <w:r/>
          </w:p>
        </w:tc>
        <w:tc>
          <w:tcPr>
            <w:tcBorders/>
            <w:tcW w:w="1984" w:type="dxa"/>
            <w:vAlign w:val="center"/>
            <w:textDirection w:val="lrTb"/>
            <w:noWrap w:val="false"/>
          </w:tcPr>
          <w:p>
            <w:pPr>
              <w:pBdr/>
              <w:spacing/>
              <w:ind/>
              <w:jc w:val="center"/>
              <w:rPr/>
            </w:pPr>
            <w:r>
              <w:t xml:space="preserve">Kết cấu mặt đường</w:t>
            </w:r>
            <w:r/>
          </w:p>
        </w:tc>
        <w:tc>
          <w:tcPr>
            <w:tcBorders/>
            <w:tcW w:w="2055" w:type="dxa"/>
            <w:vAlign w:val="center"/>
            <w:textDirection w:val="lrTb"/>
            <w:noWrap w:val="false"/>
          </w:tcPr>
          <w:p>
            <w:pPr>
              <w:pBdr/>
              <w:spacing/>
              <w:ind/>
              <w:jc w:val="center"/>
              <w:rPr/>
            </w:pPr>
            <w:r>
              <w:t xml:space="preserve">Đường bê tông</w:t>
            </w:r>
            <w:r/>
          </w:p>
        </w:tc>
        <w:tc>
          <w:tcPr>
            <w:tcBorders/>
            <w:tcW w:w="2055" w:type="dxa"/>
            <w:vAlign w:val="center"/>
            <w:textDirection w:val="lrTb"/>
            <w:noWrap w:val="false"/>
          </w:tcPr>
          <w:p>
            <w:pPr>
              <w:pBdr/>
              <w:spacing/>
              <w:ind/>
              <w:jc w:val="center"/>
              <w:rPr/>
            </w:pPr>
            <w:r>
              <w:t xml:space="preserve">Đường bê tông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7</w:t>
            </w:r>
            <w:r/>
          </w:p>
        </w:tc>
        <w:tc>
          <w:tcPr>
            <w:tcBorders/>
            <w:tcW w:w="1984" w:type="dxa"/>
            <w:vAlign w:val="center"/>
            <w:textDirection w:val="lrTb"/>
            <w:noWrap w:val="false"/>
          </w:tcPr>
          <w:p>
            <w:pPr>
              <w:pBdr/>
              <w:spacing/>
              <w:ind/>
              <w:jc w:val="center"/>
              <w:rPr/>
            </w:pPr>
            <w:r>
              <w:t xml:space="preserve">Mặt cắt đường trước nhà</w:t>
            </w:r>
            <w:r/>
          </w:p>
        </w:tc>
        <w:tc>
          <w:tcPr>
            <w:tcBorders/>
            <w:tcW w:w="2055" w:type="dxa"/>
            <w:vAlign w:val="center"/>
            <w:textDirection w:val="lrTb"/>
            <w:noWrap w:val="false"/>
          </w:tcPr>
          <w:p>
            <w:pPr>
              <w:pBdr/>
              <w:spacing/>
              <w:ind/>
              <w:jc w:val="center"/>
              <w:rPr/>
            </w:pPr>
            <w:r>
              <w:t xml:space="preserve">2,5</w:t>
            </w:r>
            <w:r/>
          </w:p>
        </w:tc>
        <w:tc>
          <w:tcPr>
            <w:tcBorders/>
            <w:tcW w:w="2055" w:type="dxa"/>
            <w:vAlign w:val="center"/>
            <w:textDirection w:val="lrTb"/>
            <w:noWrap w:val="false"/>
          </w:tcPr>
          <w:p>
            <w:pPr>
              <w:pBdr/>
              <w:spacing/>
              <w:ind/>
              <w:jc w:val="center"/>
              <w:rPr/>
            </w:pPr>
            <w:r>
              <w:t xml:space="preserve">2,5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8</w:t>
            </w:r>
            <w:r/>
          </w:p>
        </w:tc>
        <w:tc>
          <w:tcPr>
            <w:tcBorders/>
            <w:tcW w:w="1984" w:type="dxa"/>
            <w:vAlign w:val="center"/>
            <w:textDirection w:val="lrTb"/>
            <w:noWrap w:val="false"/>
          </w:tcPr>
          <w:p>
            <w:pPr>
              <w:pBdr/>
              <w:spacing/>
              <w:ind/>
              <w:jc w:val="center"/>
              <w:rPr/>
            </w:pPr>
            <w:r>
              <w:t xml:space="preserve">Diện tích</w:t>
            </w:r>
            <w:r/>
          </w:p>
        </w:tc>
        <w:tc>
          <w:tcPr>
            <w:tcBorders/>
            <w:tcW w:w="2055" w:type="dxa"/>
            <w:vAlign w:val="center"/>
            <w:textDirection w:val="lrTb"/>
            <w:noWrap w:val="false"/>
          </w:tcPr>
          <w:p>
            <w:pPr>
              <w:pBdr/>
              <w:spacing/>
              <w:ind/>
              <w:jc w:val="center"/>
              <w:rPr/>
            </w:pPr>
            <w:r>
              <w:t xml:space="preserve">60,0</w:t>
            </w:r>
            <w:r/>
          </w:p>
        </w:tc>
        <w:tc>
          <w:tcPr>
            <w:tcBorders/>
            <w:tcW w:w="2055" w:type="dxa"/>
            <w:vAlign w:val="center"/>
            <w:textDirection w:val="lrTb"/>
            <w:noWrap w:val="false"/>
          </w:tcPr>
          <w:p>
            <w:pPr>
              <w:pBdr/>
              <w:spacing/>
              <w:ind/>
              <w:jc w:val="center"/>
              <w:rPr/>
            </w:pPr>
            <w:r>
              <w:t xml:space="preserve">60,0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9</w:t>
            </w:r>
            <w:r/>
          </w:p>
        </w:tc>
        <w:tc>
          <w:tcPr>
            <w:tcBorders/>
            <w:tcW w:w="1984" w:type="dxa"/>
            <w:vAlign w:val="center"/>
            <w:textDirection w:val="lrTb"/>
            <w:noWrap w:val="false"/>
          </w:tcPr>
          <w:p>
            <w:pPr>
              <w:pBdr/>
              <w:spacing/>
              <w:ind/>
              <w:jc w:val="center"/>
              <w:rPr/>
            </w:pPr>
            <w:r>
              <w:t xml:space="preserve">Mặt tiền</w:t>
            </w:r>
            <w:r/>
          </w:p>
        </w:tc>
        <w:tc>
          <w:tcPr>
            <w:tcBorders/>
            <w:tcW w:w="2055" w:type="dxa"/>
            <w:vAlign w:val="center"/>
            <w:textDirection w:val="lrTb"/>
            <w:noWrap w:val="false"/>
          </w:tcPr>
          <w:p>
            <w:pPr>
              <w:pBdr/>
              <w:spacing/>
              <w:ind/>
              <w:jc w:val="center"/>
              <w:rPr/>
            </w:pPr>
            <w:r>
              <w:t xml:space="preserve">6,45</w:t>
            </w:r>
            <w:r/>
          </w:p>
        </w:tc>
        <w:tc>
          <w:tcPr>
            <w:tcBorders/>
            <w:tcW w:w="2055" w:type="dxa"/>
            <w:vAlign w:val="center"/>
            <w:textDirection w:val="lrTb"/>
            <w:noWrap w:val="false"/>
          </w:tcPr>
          <w:p>
            <w:pPr>
              <w:pBdr/>
              <w:spacing/>
              <w:ind/>
              <w:jc w:val="center"/>
              <w:rPr/>
            </w:pPr>
            <w:r>
              <w:t xml:space="preserve">6,45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10</w:t>
            </w:r>
            <w:r/>
          </w:p>
        </w:tc>
        <w:tc>
          <w:tcPr>
            <w:tcBorders/>
            <w:tcW w:w="1984" w:type="dxa"/>
            <w:vAlign w:val="center"/>
            <w:textDirection w:val="lrTb"/>
            <w:noWrap w:val="false"/>
          </w:tcPr>
          <w:p>
            <w:pPr>
              <w:pBdr/>
              <w:spacing/>
              <w:ind/>
              <w:jc w:val="center"/>
              <w:rPr/>
            </w:pPr>
            <w:r>
              <w:t xml:space="preserve">Chiều sâu</w:t>
            </w:r>
            <w:r/>
          </w:p>
        </w:tc>
        <w:tc>
          <w:tcPr>
            <w:tcBorders/>
            <w:tcW w:w="2055" w:type="dxa"/>
            <w:vAlign w:val="center"/>
            <w:textDirection w:val="lrTb"/>
            <w:noWrap w:val="false"/>
          </w:tcPr>
          <w:p>
            <w:pPr>
              <w:pBdr/>
              <w:spacing/>
              <w:ind/>
              <w:jc w:val="center"/>
              <w:rPr/>
            </w:pPr>
            <w:r>
              <w:t xml:space="preserve">9,48</w:t>
            </w:r>
            <w:r/>
          </w:p>
        </w:tc>
        <w:tc>
          <w:tcPr>
            <w:tcBorders/>
            <w:tcW w:w="2055" w:type="dxa"/>
            <w:vAlign w:val="center"/>
            <w:textDirection w:val="lrTb"/>
            <w:noWrap w:val="false"/>
          </w:tcPr>
          <w:p>
            <w:pPr>
              <w:pBdr/>
              <w:spacing/>
              <w:ind/>
              <w:jc w:val="center"/>
              <w:rPr/>
            </w:pPr>
            <w:r>
              <w:t xml:space="preserve">9,48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12</w:t>
            </w:r>
            <w:r/>
          </w:p>
        </w:tc>
        <w:tc>
          <w:tcPr>
            <w:tcBorders/>
            <w:tcW w:w="1984" w:type="dxa"/>
            <w:vAlign w:val="center"/>
            <w:textDirection w:val="lrTb"/>
            <w:noWrap w:val="false"/>
          </w:tcPr>
          <w:p>
            <w:pPr>
              <w:pBdr/>
              <w:spacing/>
              <w:ind/>
              <w:jc w:val="center"/>
              <w:rPr/>
            </w:pPr>
            <w:r>
              <w:t xml:space="preserve">Mặt tiếp giáp</w:t>
            </w:r>
            <w:r/>
          </w:p>
        </w:tc>
        <w:tc>
          <w:tcPr>
            <w:tcBorders/>
            <w:tcW w:w="2055" w:type="dxa"/>
            <w:vAlign w:val="center"/>
            <w:textDirection w:val="lrTb"/>
            <w:noWrap w:val="false"/>
          </w:tcPr>
          <w:p>
            <w:pPr>
              <w:pBdr/>
              <w:spacing/>
              <w:ind/>
              <w:jc w:val="center"/>
              <w:rPr/>
            </w:pPr>
            <w:r>
              <w:t xml:space="preserve">02 mặt tiền (lô góc)</w:t>
            </w:r>
            <w:r/>
          </w:p>
        </w:tc>
        <w:tc>
          <w:tcPr>
            <w:tcBorders/>
            <w:tcW w:w="2055" w:type="dxa"/>
            <w:vAlign w:val="center"/>
            <w:textDirection w:val="lrTb"/>
            <w:noWrap w:val="false"/>
          </w:tcPr>
          <w:p>
            <w:pPr>
              <w:pBdr/>
              <w:spacing/>
              <w:ind/>
              <w:jc w:val="center"/>
              <w:rPr/>
            </w:pPr>
            <w:r>
              <w:t xml:space="preserve">02 mặt tiền (lô góc)</w:t>
            </w:r>
            <w:r>
              <w:t xml:space="preserve">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12</w:t>
            </w:r>
            <w:r/>
          </w:p>
        </w:tc>
        <w:tc>
          <w:tcPr>
            <w:tcBorders/>
            <w:tcW w:w="1984" w:type="dxa"/>
            <w:vAlign w:val="center"/>
            <w:textDirection w:val="lrTb"/>
            <w:noWrap w:val="false"/>
          </w:tcPr>
          <w:p>
            <w:pPr>
              <w:pBdr/>
              <w:spacing/>
              <w:ind/>
              <w:jc w:val="center"/>
              <w:rPr/>
            </w:pPr>
            <w:r>
              <w:t xml:space="preserve">Hình dạng thửa đất</w:t>
            </w:r>
            <w:r/>
          </w:p>
        </w:tc>
        <w:tc>
          <w:tcPr>
            <w:tcBorders/>
            <w:tcW w:w="2055" w:type="dxa"/>
            <w:vAlign w:val="center"/>
            <w:textDirection w:val="lrTb"/>
            <w:noWrap w:val="false"/>
          </w:tcPr>
          <w:p>
            <w:pPr>
              <w:pBdr/>
              <w:spacing/>
              <w:ind/>
              <w:jc w:val="center"/>
              <w:rPr/>
            </w:pPr>
            <w:r>
              <w:t xml:space="preserve">Vuông vức</w:t>
            </w:r>
            <w:r/>
          </w:p>
        </w:tc>
        <w:tc>
          <w:tcPr>
            <w:tcBorders/>
            <w:tcW w:w="2055" w:type="dxa"/>
            <w:vAlign w:val="center"/>
            <w:textDirection w:val="lrTb"/>
            <w:noWrap w:val="false"/>
          </w:tcPr>
          <w:p>
            <w:pPr>
              <w:pBdr/>
              <w:spacing/>
              <w:ind/>
              <w:jc w:val="center"/>
              <w:rPr/>
            </w:pPr>
            <w:r>
              <w:t xml:space="preserve">Vuông vức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14</w:t>
            </w:r>
            <w:r/>
          </w:p>
        </w:tc>
        <w:tc>
          <w:tcPr>
            <w:tcBorders/>
            <w:tcW w:w="1984" w:type="dxa"/>
            <w:vAlign w:val="center"/>
            <w:textDirection w:val="lrTb"/>
            <w:noWrap w:val="false"/>
          </w:tcPr>
          <w:p>
            <w:pPr>
              <w:pBdr/>
              <w:spacing/>
              <w:ind/>
              <w:jc w:val="center"/>
              <w:rPr/>
            </w:pPr>
            <w:r>
              <w:t xml:space="preserve">Hướng</w:t>
            </w:r>
            <w:r/>
          </w:p>
        </w:tc>
        <w:tc>
          <w:tcPr>
            <w:tcBorders/>
            <w:tcW w:w="2055" w:type="dxa"/>
            <w:vAlign w:val="center"/>
            <w:textDirection w:val="lrTb"/>
            <w:noWrap w:val="false"/>
          </w:tcPr>
          <w:p>
            <w:pPr>
              <w:pBdr/>
              <w:spacing/>
              <w:ind/>
              <w:jc w:val="center"/>
              <w:rPr/>
            </w:pPr>
            <w:r>
              <w:t xml:space="preserve">Tây</w:t>
            </w:r>
            <w:r/>
          </w:p>
        </w:tc>
        <w:tc>
          <w:tcPr>
            <w:tcBorders/>
            <w:tcW w:w="2055" w:type="dxa"/>
            <w:vAlign w:val="center"/>
            <w:textDirection w:val="lrTb"/>
            <w:noWrap w:val="false"/>
          </w:tcPr>
          <w:p>
            <w:pPr>
              <w:pBdr/>
              <w:spacing/>
              <w:ind/>
              <w:jc w:val="center"/>
              <w:rPr/>
            </w:pPr>
            <w:r>
              <w:t xml:space="preserve">Tây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bl>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5"/>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25"/>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5"/>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w:t>
      </w:r>
      <w:r>
        <w:rPr>
          <w:spacing w:val="-2"/>
          <w:lang w:val="pt-BR"/>
        </w:rPr>
        <w:t xml:space="preserve">.</w:t>
      </w:r>
      <w:r>
        <w:rPr>
          <w:lang w:val="de-DE"/>
        </w:rPr>
      </w:r>
      <w:r>
        <w:rPr>
          <w:lang w:val="de-DE"/>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15"/>
        <w:gridCol w:w="1964"/>
        <w:gridCol w:w="1736"/>
        <w:gridCol w:w="1736"/>
        <w:gridCol w:w="1736"/>
        <w:gridCol w:w="1736"/>
      </w:tblGrid>
      <w:tr>
        <w:trPr>
          <w:trHeight w:val="300"/>
          <w:tblHeader/>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15"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tcBorders>
              <w:top w:val="single" w:color="000000" w:sz="6" w:space="0"/>
              <w:bottom w:val="single" w:color="000000" w:sz="6" w:space="0"/>
              <w:right w:val="single" w:color="000000" w:sz="6" w:space="0"/>
            </w:tcBorders>
            <w:tcMar>
              <w:left w:w="0" w:type="dxa"/>
              <w:top w:w="0" w:type="dxa"/>
              <w:right w:w="0" w:type="dxa"/>
              <w:bottom w:w="0" w:type="dxa"/>
            </w:tcMar>
            <w:tcW w:w="1964"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ĐẶC ĐIỂM BĐS</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6" w:space="0"/>
              <w:right w:val="single" w:color="000000" w:sz="6" w:space="0"/>
            </w:tcBorders>
            <w:tcMar>
              <w:left w:w="0" w:type="dxa"/>
              <w:top w:w="0" w:type="dxa"/>
              <w:right w:w="0" w:type="dxa"/>
              <w:bottom w:w="0" w:type="dxa"/>
            </w:tcMar>
            <w:tcW w:w="1964" w:type="dxa"/>
            <w:vAlign w:val="top"/>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Thông tin về tài sản</w:t>
            </w:r>
            <w:r/>
          </w:p>
        </w:tc>
        <w:tc>
          <w:tcPr>
            <w:tcBorders>
              <w:bottom w:val="single" w:color="000000" w:sz="6" w:space="0"/>
              <w:right w:val="single" w:color="000000" w:sz="6"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196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Địa chỉ</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Phường Định Công, Thành phố Hà Nội</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Phường Định Công, Thành phố Hà Nội</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Phường Định Công, Thành phố Hà Nội</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Phường Định Công, Thành phố Hà Nội</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196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Nguồn tham khảo</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r>
      <w:tr>
        <w:trPr>
          <w:trHeight w:val="828"/>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196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Thông tin liên lạc</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0979.584880 </w:t>
              <w:br/>
              <w:t xml:space="preserve">(Sale Đặng Đường)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0918.683886 </w:t>
              <w:br/>
              <w:t xml:space="preserve">(Sale Phạm Huy)</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0969.153993 </w:t>
              <w:br/>
              <w:t xml:space="preserve">(Sale Nguyễn Thành)</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196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Tình trạng giao dịch</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196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Thời điểm thu thập thông tin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3/2026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3/2026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3/2026 </w:t>
            </w:r>
            <w:r/>
          </w:p>
        </w:tc>
      </w:tr>
      <w:tr>
        <w:trPr>
          <w:trHeight w:val="828"/>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196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196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196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0" w:type="dxa"/>
              <w:top w:w="0" w:type="dxa"/>
              <w:right w:w="0" w:type="dxa"/>
              <w:bottom w:w="0" w:type="dxa"/>
            </w:tcMar>
            <w:tcW w:w="196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Thời hạn sử dụng đất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r>
      <w:tr>
        <w:trPr>
          <w:trHeight w:val="1656"/>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0" w:type="dxa"/>
              <w:top w:w="0" w:type="dxa"/>
              <w:right w:w="0" w:type="dxa"/>
              <w:bottom w:w="0" w:type="dxa"/>
            </w:tcMar>
            <w:tcW w:w="196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ngõ 158 Đại Từ, Phường Định Công, Thành phố Hà Nội; cách đường Đại Từ khoảng 30m</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ngõ Đại Từ, phường Định Công, Thành phố Hà Nội; cách mặt đường Đại Từ khoảng 20m</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ngõ Đại Từ, phường Định Công, Thành phố Hà Nội; cách mặt đường Đại Từ khoảng 200m</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ngõ Đại Từ, phường Định Công, Thành phố Hà Nội; cách mặt đường Đại Từ khoảng 200m</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0" w:type="dxa"/>
              <w:top w:w="0" w:type="dxa"/>
              <w:right w:w="0" w:type="dxa"/>
              <w:bottom w:w="0" w:type="dxa"/>
            </w:tcMar>
            <w:tcW w:w="196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Giao thông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2,5m</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2m</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2,5m</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2,5m</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0" w:type="dxa"/>
              <w:top w:w="0" w:type="dxa"/>
              <w:right w:w="0" w:type="dxa"/>
              <w:bottom w:w="0" w:type="dxa"/>
            </w:tcMar>
            <w:tcW w:w="196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Diện tích đất (m²)</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60,0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76,0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46,7</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84,1</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6" w:space="0"/>
              <w:right w:val="single" w:color="000000" w:sz="6" w:space="0"/>
            </w:tcBorders>
            <w:tcMar>
              <w:left w:w="0" w:type="dxa"/>
              <w:top w:w="0" w:type="dxa"/>
              <w:right w:w="0" w:type="dxa"/>
              <w:bottom w:w="0" w:type="dxa"/>
            </w:tcMar>
            <w:tcW w:w="196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Mặt tiền (m)</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6,45</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7,2</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3,7</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5,1</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6" w:space="0"/>
              <w:right w:val="single" w:color="000000" w:sz="6" w:space="0"/>
            </w:tcBorders>
            <w:tcMar>
              <w:left w:w="0" w:type="dxa"/>
              <w:top w:w="0" w:type="dxa"/>
              <w:right w:w="0" w:type="dxa"/>
              <w:bottom w:w="0" w:type="dxa"/>
            </w:tcMar>
            <w:tcW w:w="196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Số lượng mặt tiếp giáp</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02 mặt tiền (lô góc)</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6" w:space="0"/>
              <w:right w:val="single" w:color="000000" w:sz="6" w:space="0"/>
            </w:tcBorders>
            <w:tcMar>
              <w:left w:w="0" w:type="dxa"/>
              <w:top w:w="0" w:type="dxa"/>
              <w:right w:w="0" w:type="dxa"/>
              <w:bottom w:w="0" w:type="dxa"/>
            </w:tcMar>
            <w:tcW w:w="196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Hình dáng thửa đất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Nở hậu</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đối vuông vức</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6" w:space="0"/>
              <w:right w:val="single" w:color="000000" w:sz="6" w:space="0"/>
            </w:tcBorders>
            <w:tcMar>
              <w:left w:w="0" w:type="dxa"/>
              <w:top w:w="0" w:type="dxa"/>
              <w:right w:w="0" w:type="dxa"/>
              <w:bottom w:w="0" w:type="dxa"/>
            </w:tcMar>
            <w:tcW w:w="196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Yếu tố phong thủy</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r>
      <w:tr>
        <w:trPr>
          <w:trHeight w:val="828"/>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6" w:space="0"/>
              <w:right w:val="single" w:color="000000" w:sz="6" w:space="0"/>
            </w:tcBorders>
            <w:tcMar>
              <w:left w:w="0" w:type="dxa"/>
              <w:top w:w="0" w:type="dxa"/>
              <w:right w:w="0" w:type="dxa"/>
              <w:bottom w:w="0" w:type="dxa"/>
            </w:tcMar>
            <w:tcW w:w="196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6" w:space="0"/>
              <w:right w:val="single" w:color="000000" w:sz="6" w:space="0"/>
            </w:tcBorders>
            <w:tcMar>
              <w:left w:w="0" w:type="dxa"/>
              <w:top w:w="0" w:type="dxa"/>
              <w:right w:w="0" w:type="dxa"/>
              <w:bottom w:w="0" w:type="dxa"/>
            </w:tcMar>
            <w:tcW w:w="196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Điều kiện môi trường an ninh</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bottom w:val="single" w:color="000000" w:sz="6" w:space="0"/>
              <w:right w:val="single" w:color="000000" w:sz="6" w:space="0"/>
            </w:tcBorders>
            <w:tcMar>
              <w:left w:w="0" w:type="dxa"/>
              <w:top w:w="0" w:type="dxa"/>
              <w:right w:w="0" w:type="dxa"/>
              <w:bottom w:w="0" w:type="dxa"/>
            </w:tcMar>
            <w:tcW w:w="196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Tài sản trên đất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01 tầng cũ bán đất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06 tầng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05 tầng</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196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Số tầng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06</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05</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196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Diện tích sàn sử dụng (m²)</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276,0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300,0</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tcBorders>
              <w:bottom w:val="single" w:color="000000" w:sz="6" w:space="0"/>
              <w:right w:val="single" w:color="000000" w:sz="6" w:space="0"/>
            </w:tcBorders>
            <w:tcMar>
              <w:left w:w="0" w:type="dxa"/>
              <w:top w:w="0" w:type="dxa"/>
              <w:right w:w="0" w:type="dxa"/>
              <w:bottom w:w="0" w:type="dxa"/>
            </w:tcMar>
            <w:tcW w:w="196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rao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16.900.000.000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13.700.000.000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18.500.000.000</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tcBorders>
              <w:bottom w:val="single" w:color="000000" w:sz="6" w:space="0"/>
              <w:right w:val="single" w:color="000000" w:sz="6" w:space="0"/>
            </w:tcBorders>
            <w:tcMar>
              <w:left w:w="0" w:type="dxa"/>
              <w:top w:w="0" w:type="dxa"/>
              <w:right w:w="0" w:type="dxa"/>
              <w:bottom w:w="0" w:type="dxa"/>
            </w:tcMar>
            <w:tcW w:w="196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thương lượng/bán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15.210.000.000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12.330.000.000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16.650.000.000</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0" w:type="dxa"/>
              <w:top w:w="0" w:type="dxa"/>
              <w:right w:w="0" w:type="dxa"/>
              <w:bottom w:w="0" w:type="dxa"/>
            </w:tcMar>
            <w:tcW w:w="196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Chi tiết tính toán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196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bCs/>
                <w:i/>
              </w:rPr>
            </w:pPr>
            <w:r>
              <w:rPr>
                <w:rFonts w:ascii="Times New Roman" w:hAnsi="Times New Roman" w:eastAsia="Times New Roman" w:cs="Times New Roman"/>
                <w:i/>
                <w:iCs/>
                <w:color w:val="000000"/>
                <w:sz w:val="22"/>
              </w:rPr>
              <w:t xml:space="preserve">-</w:t>
            </w:r>
            <w:r>
              <w:rPr>
                <w:i/>
                <w:iCs/>
              </w:rP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bCs/>
                <w:i/>
              </w:rPr>
            </w:pPr>
            <w:r>
              <w:rPr>
                <w:rFonts w:ascii="Times New Roman" w:hAnsi="Times New Roman" w:eastAsia="Times New Roman" w:cs="Times New Roman"/>
                <w:i/>
                <w:iCs/>
                <w:color w:val="000000"/>
                <w:sz w:val="22"/>
              </w:rPr>
              <w:t xml:space="preserve">2.261.601.055</w:t>
            </w:r>
            <w:r>
              <w:rPr>
                <w:i/>
                <w:iCs/>
              </w:rP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bCs/>
                <w:i/>
              </w:rPr>
            </w:pPr>
            <w:r>
              <w:rPr>
                <w:rFonts w:ascii="Times New Roman" w:hAnsi="Times New Roman" w:eastAsia="Times New Roman" w:cs="Times New Roman"/>
                <w:i/>
                <w:iCs/>
                <w:color w:val="000000"/>
                <w:sz w:val="22"/>
              </w:rPr>
              <w:t xml:space="preserve">1.669.332.000</w:t>
            </w:r>
            <w:r>
              <w:rPr>
                <w:i/>
                <w:iCs/>
              </w:rPr>
            </w:r>
          </w:p>
        </w:tc>
      </w:tr>
      <w:tr>
        <w:trPr>
          <w:trHeight w:val="1452"/>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196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Đơn giá xây dựng theo Quyết định số 409/QĐ-BXD ngày 11/4/2025 của Bộ Xây Dựng (đồng/m²)</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bCs/>
                <w:i/>
              </w:rPr>
            </w:pPr>
            <w:r>
              <w:rPr>
                <w:rFonts w:ascii="Times New Roman" w:hAnsi="Times New Roman" w:eastAsia="Times New Roman" w:cs="Times New Roman"/>
                <w:i/>
                <w:iCs/>
                <w:color w:val="000000"/>
                <w:sz w:val="22"/>
              </w:rPr>
              <w:t xml:space="preserve">-</w:t>
            </w:r>
            <w:r>
              <w:rPr>
                <w:i/>
                <w:iCs/>
              </w:rP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bCs/>
                <w:i/>
              </w:rPr>
            </w:pPr>
            <w:r>
              <w:rPr>
                <w:rFonts w:ascii="Times New Roman" w:hAnsi="Times New Roman" w:eastAsia="Times New Roman" w:cs="Times New Roman"/>
                <w:i/>
                <w:iCs/>
                <w:color w:val="000000"/>
                <w:sz w:val="22"/>
              </w:rPr>
              <w:t xml:space="preserve">8.535.632</w:t>
            </w:r>
            <w:r>
              <w:rPr>
                <w:i/>
                <w:iCs/>
              </w:rP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bCs/>
                <w:i/>
              </w:rPr>
            </w:pPr>
            <w:r>
              <w:rPr>
                <w:rFonts w:ascii="Times New Roman" w:hAnsi="Times New Roman" w:eastAsia="Times New Roman" w:cs="Times New Roman"/>
                <w:i/>
                <w:iCs/>
                <w:color w:val="000000"/>
                <w:sz w:val="22"/>
              </w:rPr>
              <w:t xml:space="preserve">7.949.200</w:t>
            </w:r>
            <w:r>
              <w:rPr>
                <w:i/>
                <w:iCs/>
              </w:rP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196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 Tỷ lệ % CLCL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bCs/>
                <w:i/>
              </w:rPr>
            </w:pPr>
            <w:r>
              <w:rPr>
                <w:rFonts w:ascii="Times New Roman" w:hAnsi="Times New Roman" w:eastAsia="Times New Roman" w:cs="Times New Roman"/>
                <w:i/>
                <w:iCs/>
                <w:color w:val="000000"/>
                <w:sz w:val="22"/>
              </w:rPr>
              <w:t xml:space="preserve">-</w:t>
            </w:r>
            <w:r>
              <w:rPr>
                <w:i/>
                <w:iCs/>
              </w:rP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bCs/>
                <w:i/>
              </w:rPr>
            </w:pPr>
            <w:r>
              <w:rPr>
                <w:rFonts w:ascii="Times New Roman" w:hAnsi="Times New Roman" w:eastAsia="Times New Roman" w:cs="Times New Roman"/>
                <w:i/>
                <w:iCs/>
                <w:color w:val="000000"/>
                <w:sz w:val="22"/>
              </w:rPr>
              <w:t xml:space="preserve">96%</w:t>
            </w:r>
            <w:r>
              <w:rPr>
                <w:i/>
                <w:iCs/>
              </w:rP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bCs/>
                <w:i/>
              </w:rPr>
            </w:pPr>
            <w:r>
              <w:rPr>
                <w:rFonts w:ascii="Times New Roman" w:hAnsi="Times New Roman" w:eastAsia="Times New Roman" w:cs="Times New Roman"/>
                <w:i/>
                <w:iCs/>
                <w:color w:val="000000"/>
                <w:sz w:val="22"/>
              </w:rPr>
              <w:t xml:space="preserve">70%</w:t>
            </w:r>
            <w:r>
              <w:rPr>
                <w:i/>
                <w:iCs/>
              </w:rP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196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Giá trị đất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15.210.000.000</w:t>
            </w:r>
            <w:r>
              <w:rPr>
                <w:b/>
                <w:bCs/>
              </w:rP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10.068.398.945</w:t>
            </w:r>
            <w:r>
              <w:rPr>
                <w:b/>
                <w:bCs/>
              </w:rP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14.980.668.000</w:t>
            </w:r>
            <w:r>
              <w:rPr>
                <w:b/>
                <w:bCs/>
              </w:rP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196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Đơn giá QSDĐ (đồng/m²)</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b/>
                <w:bCs/>
              </w:rPr>
            </w:pPr>
            <w:r>
              <w:rPr>
                <w:rFonts w:ascii="Times New Roman" w:hAnsi="Times New Roman" w:eastAsia="Times New Roman" w:cs="Times New Roman"/>
                <w:b/>
                <w:bCs/>
                <w:color w:val="000000"/>
                <w:sz w:val="22"/>
              </w:rPr>
              <w:t xml:space="preserve">200.131.579</w:t>
            </w:r>
            <w:r>
              <w:rPr>
                <w:b/>
                <w:bCs/>
              </w:rP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b/>
                <w:bCs/>
              </w:rPr>
            </w:pPr>
            <w:r>
              <w:rPr>
                <w:rFonts w:ascii="Times New Roman" w:hAnsi="Times New Roman" w:eastAsia="Times New Roman" w:cs="Times New Roman"/>
                <w:b/>
                <w:bCs/>
                <w:color w:val="000000"/>
                <w:sz w:val="22"/>
              </w:rPr>
              <w:t xml:space="preserve">215.597.408</w:t>
            </w:r>
            <w:r>
              <w:rPr>
                <w:b/>
                <w:bCs/>
              </w:rP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b/>
                <w:bCs/>
              </w:rPr>
            </w:pPr>
            <w:r>
              <w:rPr>
                <w:rFonts w:ascii="Times New Roman" w:hAnsi="Times New Roman" w:eastAsia="Times New Roman" w:cs="Times New Roman"/>
                <w:b/>
                <w:bCs/>
                <w:color w:val="000000"/>
                <w:sz w:val="22"/>
              </w:rPr>
              <w:t xml:space="preserve">178.129.227</w:t>
            </w:r>
            <w:r>
              <w:rPr>
                <w:b/>
                <w:bCs/>
              </w:rP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tcBorders>
              <w:bottom w:val="single" w:color="000000" w:sz="6" w:space="0"/>
              <w:right w:val="single" w:color="000000" w:sz="6" w:space="0"/>
            </w:tcBorders>
            <w:tcMar>
              <w:left w:w="0" w:type="dxa"/>
              <w:top w:w="0" w:type="dxa"/>
              <w:right w:w="0" w:type="dxa"/>
              <w:bottom w:w="0" w:type="dxa"/>
            </w:tcMar>
            <w:tcW w:w="196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NHẬN XÉT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196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196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196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Giao thông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196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Diện tích đất (m²)</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196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Mặt tiền (m)</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196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Số lượng mặt tiếp giáp</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196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Hình dáng thửa đất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10"/>
        <w:gridCol w:w="1686"/>
        <w:gridCol w:w="992"/>
        <w:gridCol w:w="1559"/>
        <w:gridCol w:w="1559"/>
        <w:gridCol w:w="1559"/>
        <w:gridCol w:w="1559"/>
      </w:tblGrid>
      <w:tr>
        <w:trPr>
          <w:trHeight w:val="630"/>
          <w:tblHeader/>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828"/>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15.210.000.000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10.068.398.945</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14.980.668.000</w:t>
            </w:r>
            <w:r/>
          </w:p>
        </w:tc>
      </w:tr>
      <w:tr>
        <w:trPr>
          <w:trHeight w:val="55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6" w:space="0"/>
              <w:right w:val="single" w:color="000000" w:sz="6" w:space="0"/>
            </w:tcBorders>
            <w:tcMar>
              <w:left w:w="0" w:type="dxa"/>
              <w:top w:w="0" w:type="dxa"/>
              <w:right w:w="0" w:type="dxa"/>
              <w:bottom w:w="0" w:type="dxa"/>
            </w:tcMar>
            <w:tcW w:w="99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200.131.579</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215.597.408</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178.129.227</w:t>
            </w:r>
            <w:r/>
          </w:p>
        </w:tc>
      </w:tr>
      <w:tr>
        <w:trPr>
          <w:trHeight w:val="52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552"/>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200.131.579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215.597.408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178.129.227 </w:t>
            </w:r>
            <w:r/>
          </w:p>
        </w:tc>
      </w:tr>
      <w:tr>
        <w:trPr>
          <w:trHeight w:val="1656"/>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tại ngõ 158 Đại Từ, Phường Định Công, Thành phố Hà Nội; cách đường Đại Từ khoảng 30m</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tại ngõ Đại Từ, phường Định Công, Thành phố Hà Nội; cách mặt đường Đại Từ khoảng 20m</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tại ngõ Đại Từ, phường Định Công, Thành phố Hà Nội; cách mặt đường Đại Từ khoảng 200m</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tại ngõ Đại Từ, phường Định Công, Thành phố Hà Nội; cách mặt đường Đại Từ khoảng 200m</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6.467.922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5.343.877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200.131.579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222.065.330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183.473.104 </w:t>
            </w:r>
            <w:r/>
          </w:p>
        </w:tc>
      </w:tr>
      <w:tr>
        <w:trPr>
          <w:trHeight w:val="276"/>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2,5m</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2m</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2,5m</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2,5m</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10.006.579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210.138.158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222.065.330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183.473.104 </w:t>
            </w:r>
            <w:r/>
          </w:p>
        </w:tc>
      </w:tr>
      <w:tr>
        <w:trPr>
          <w:trHeight w:val="276"/>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Diện tích đất </w:t>
            </w:r>
            <w:r/>
          </w:p>
        </w:tc>
        <w:tc>
          <w:tcPr>
            <w:shd w:val="clear" w:color="ffffff" w:fill="ffffff"/>
            <w:tcBorders>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r>
            <w:r>
              <w:rPr>
                <w:rFonts w:ascii="Times New Roman" w:hAnsi="Times New Roman" w:eastAsia="Times New Roman" w:cs="Times New Roman"/>
                <w:b/>
                <w:color w:val="000000"/>
                <w:sz w:val="22"/>
              </w:rPr>
              <w:t xml:space="preserve">(m²)</w:t>
            </w:r>
            <w:r/>
            <w:r>
              <w:rPr>
                <w:rFonts w:ascii="Times New Roman" w:hAnsi="Times New Roman" w:eastAsia="Times New Roman" w:cs="Times New Roman"/>
                <w:b/>
                <w:color w:val="000000"/>
                <w:sz w:val="22"/>
              </w:rPr>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76,0</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46,7</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84,1</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10.006.579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-10.779.870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14.250.338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220.144.737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211.285.460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197.723.442 </w:t>
            </w:r>
            <w:r/>
          </w:p>
        </w:tc>
      </w:tr>
      <w:tr>
        <w:trPr>
          <w:trHeight w:val="276"/>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tcPr>
          <w:p>
            <w:pPr>
              <w:pBdr/>
              <w:spacing w:after="0" w:before="0" w:line="240" w:lineRule="auto"/>
              <w:ind w:right="0" w:firstLine="0" w:left="142"/>
              <w:rPr/>
            </w:pPr>
            <w:r>
              <w:rPr>
                <w:rFonts w:ascii="Times New Roman" w:hAnsi="Times New Roman" w:eastAsia="Times New Roman" w:cs="Times New Roman"/>
                <w:b/>
                <w:color w:val="000000"/>
                <w:sz w:val="22"/>
              </w:rPr>
              <w:t xml:space="preserve">Mặt tiền </w:t>
            </w:r>
            <w:r/>
          </w:p>
        </w:tc>
        <w:tc>
          <w:tcPr>
            <w:shd w:val="clear" w:color="ffffff" w:fill="ffffff"/>
            <w:tcBorders>
              <w:bottom w:val="single" w:color="000000" w:sz="6" w:space="0"/>
              <w:right w:val="single" w:color="000000" w:sz="6" w:space="0"/>
            </w:tcBorders>
            <w:tcMar>
              <w:left w:w="0" w:type="dxa"/>
              <w:top w:w="0" w:type="dxa"/>
              <w:right w:w="0" w:type="dxa"/>
              <w:bottom w:w="0" w:type="dxa"/>
            </w:tcMar>
            <w:tcW w:w="99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(m)</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6,45</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7,2</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3,69</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5,12</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-6.003.947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21.559.741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8.906.461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214.140.789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232.845.200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206.629.903 </w:t>
            </w:r>
            <w:r/>
          </w:p>
        </w:tc>
      </w:tr>
      <w:tr>
        <w:trPr>
          <w:trHeight w:val="552"/>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02 mặt tiền (lô góc)</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10.006.579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10.779.870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8.906.461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224.147.368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243.625.071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215.536.365 </w:t>
            </w:r>
            <w:r/>
          </w:p>
        </w:tc>
      </w:tr>
      <w:tr>
        <w:trPr>
          <w:trHeight w:val="552"/>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Nở hậu</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Tương đối vuông vức</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-6.467.922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5.343.877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224.147.368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237.157.149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220.880.242 </w:t>
            </w: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tcPr>
          <w:p>
            <w:pPr>
              <w:pBdr/>
              <w:spacing w:after="0" w:before="0" w:line="240" w:lineRule="auto"/>
              <w:ind w:right="0" w:firstLine="0" w:left="142"/>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6" w:space="0"/>
              <w:right w:val="single" w:color="000000" w:sz="6" w:space="0"/>
            </w:tcBorders>
            <w:tcMar>
              <w:left w:w="0" w:type="dxa"/>
              <w:top w:w="0" w:type="dxa"/>
              <w:right w:w="0" w:type="dxa"/>
              <w:bottom w:w="0" w:type="dxa"/>
            </w:tcMar>
            <w:tcW w:w="99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224.147.368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237.157.149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220.880.242 </w:t>
            </w: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6" w:space="0"/>
              <w:right w:val="single" w:color="000000" w:sz="6" w:space="0"/>
            </w:tcBorders>
            <w:tcMar>
              <w:left w:w="0" w:type="dxa"/>
              <w:top w:w="0" w:type="dxa"/>
              <w:right w:w="0" w:type="dxa"/>
              <w:bottom w:w="0" w:type="dxa"/>
            </w:tcMar>
            <w:tcW w:w="9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6" w:space="0"/>
              <w:right w:val="single" w:color="000000" w:sz="6" w:space="0"/>
            </w:tcBorders>
            <w:tcMar>
              <w:left w:w="0" w:type="dxa"/>
              <w:top w:w="0" w:type="dxa"/>
              <w:right w:w="0" w:type="dxa"/>
              <w:bottom w:w="0" w:type="dxa"/>
            </w:tcMar>
            <w:tcW w:w="4678"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227.394.920 </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-1,43%</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4,29%</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-2,86%</w:t>
            </w:r>
            <w:r/>
          </w:p>
        </w:tc>
      </w:tr>
      <w:tr>
        <w:trPr>
          <w:trHeight w:val="828"/>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6" w:space="0"/>
              <w:right w:val="single" w:color="000000" w:sz="6" w:space="0"/>
            </w:tcBorders>
            <w:tcMar>
              <w:left w:w="0" w:type="dxa"/>
              <w:top w:w="0" w:type="dxa"/>
              <w:right w:w="0" w:type="dxa"/>
              <w:bottom w:w="0" w:type="dxa"/>
            </w:tcMar>
            <w:tcW w:w="992"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55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6" w:space="0"/>
              <w:right w:val="single" w:color="000000" w:sz="6" w:space="0"/>
            </w:tcBorders>
            <w:tcMar>
              <w:left w:w="0" w:type="dxa"/>
              <w:top w:w="0" w:type="dxa"/>
              <w:right w:w="0" w:type="dxa"/>
              <w:bottom w:w="0" w:type="dxa"/>
            </w:tcMar>
            <w:tcW w:w="9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36.023.684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56.055.326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42.751.015 </w:t>
            </w:r>
            <w:r/>
          </w:p>
        </w:tc>
      </w:tr>
      <w:tr>
        <w:trPr>
          <w:trHeight w:val="55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 - 5%</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 - 10%</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 - 8%</w:t>
            </w:r>
            <w:r/>
          </w:p>
        </w:tc>
      </w:tr>
      <w:tr>
        <w:trPr>
          <w:trHeight w:val="55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6" w:space="0"/>
              <w:right w:val="single" w:color="000000" w:sz="6" w:space="0"/>
            </w:tcBorders>
            <w:tcMar>
              <w:left w:w="0" w:type="dxa"/>
              <w:top w:w="0" w:type="dxa"/>
              <w:right w:w="0" w:type="dxa"/>
              <w:bottom w:w="0" w:type="dxa"/>
            </w:tcMar>
            <w:tcW w:w="9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24.015.789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21.559.741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42.751.015 </w:t>
            </w: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-2.86</w:t>
      </w:r>
      <w:r>
        <w:t xml:space="preserve">% đến</w:t>
      </w:r>
      <w:r>
        <w:t xml:space="preserve"> </w:t>
      </w:r>
      <w:r>
        <w:t xml:space="preserve"> </w:t>
      </w:r>
      <w:r>
        <w:t xml:space="preserve">4.29</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930"/>
        <w:gridCol w:w="2213"/>
        <w:gridCol w:w="2224"/>
        <w:gridCol w:w="2217"/>
        <w:gridCol w:w="2225"/>
      </w:tblGrid>
      <w:tr>
        <w:trPr>
          <w:trHeight w:val="936"/>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Mức giá chỉ dẫn của các TSSS</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Trọng số của các TSSS sau điều chỉnh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2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9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1</w:t>
            </w:r>
            <w:r/>
          </w:p>
        </w:tc>
        <w:tc>
          <w:tcPr>
            <w:shd w:val="clear" w:color="ffffff" w:fill="ffffff"/>
            <w:tcBorders>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224.147.368</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6" w:space="0"/>
              <w:right w:val="single" w:color="000000" w:sz="6" w:space="0"/>
            </w:tcBorders>
            <w:tcMar>
              <w:left w:w="0" w:type="dxa"/>
              <w:top w:w="0" w:type="dxa"/>
              <w:right w:w="0" w:type="dxa"/>
              <w:bottom w:w="0" w:type="dxa"/>
            </w:tcMar>
            <w:tcW w:w="22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74.715.789</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9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2</w:t>
            </w:r>
            <w:r/>
          </w:p>
        </w:tc>
        <w:tc>
          <w:tcPr>
            <w:shd w:val="clear" w:color="ffffff" w:fill="ffffff"/>
            <w:tcBorders>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237.157.149</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6" w:space="0"/>
              <w:right w:val="single" w:color="000000" w:sz="6" w:space="0"/>
            </w:tcBorders>
            <w:tcMar>
              <w:left w:w="0" w:type="dxa"/>
              <w:top w:w="0" w:type="dxa"/>
              <w:right w:w="0" w:type="dxa"/>
              <w:bottom w:w="0" w:type="dxa"/>
            </w:tcMar>
            <w:tcW w:w="22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79.052.383</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9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3</w:t>
            </w:r>
            <w:r/>
          </w:p>
        </w:tc>
        <w:tc>
          <w:tcPr>
            <w:shd w:val="clear" w:color="ffffff" w:fill="ffffff"/>
            <w:tcBorders>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220.880.242</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6" w:space="0"/>
              <w:right w:val="single" w:color="000000" w:sz="6" w:space="0"/>
            </w:tcBorders>
            <w:tcMar>
              <w:left w:w="0" w:type="dxa"/>
              <w:top w:w="0" w:type="dxa"/>
              <w:right w:w="0" w:type="dxa"/>
              <w:bottom w:w="0" w:type="dxa"/>
            </w:tcMar>
            <w:tcW w:w="22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73.626.747</w:t>
            </w:r>
            <w:r/>
          </w:p>
        </w:tc>
      </w:tr>
      <w:tr>
        <w:trPr>
          <w:trHeight w:val="312"/>
        </w:trPr>
        <w:tc>
          <w:tcPr>
            <w:gridSpan w:val="4"/>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8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bình quân theo trọng số:</w:t>
            </w:r>
            <w:r/>
          </w:p>
        </w:tc>
        <w:tc>
          <w:tcPr>
            <w:shd w:val="clear" w:color="ffffff" w:fill="ffffff"/>
            <w:tcBorders>
              <w:bottom w:val="single" w:color="000000" w:sz="6" w:space="0"/>
              <w:right w:val="single" w:color="000000" w:sz="6" w:space="0"/>
            </w:tcBorders>
            <w:tcMar>
              <w:left w:w="0" w:type="dxa"/>
              <w:top w:w="0" w:type="dxa"/>
              <w:right w:w="0" w:type="dxa"/>
              <w:bottom w:w="0" w:type="dxa"/>
            </w:tcMar>
            <w:tcW w:w="222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227.394.920</w:t>
            </w:r>
            <w:r/>
          </w:p>
        </w:tc>
      </w:tr>
      <w:tr>
        <w:trPr>
          <w:trHeight w:val="312"/>
        </w:trPr>
        <w:tc>
          <w:tcPr>
            <w:gridSpan w:val="4"/>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8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shd w:val="clear" w:color="ffffff" w:fill="ffffff"/>
            <w:tcBorders>
              <w:bottom w:val="single" w:color="000000" w:sz="6" w:space="0"/>
              <w:right w:val="single" w:color="000000" w:sz="6" w:space="0"/>
            </w:tcBorders>
            <w:tcMar>
              <w:left w:w="0" w:type="dxa"/>
              <w:top w:w="0" w:type="dxa"/>
              <w:right w:w="0" w:type="dxa"/>
              <w:bottom w:w="0" w:type="dxa"/>
            </w:tcMar>
            <w:tcW w:w="222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227.000.000</w:t>
            </w: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227.000.000</w:t>
      </w:r>
      <w:r>
        <w:rPr>
          <w:b/>
          <w:bCs/>
          <w:color w:val="000000" w:themeColor="text1"/>
        </w:rPr>
        <w:t xml:space="preserve"> </w:t>
      </w:r>
      <w:r>
        <w:rPr>
          <w:b/>
          <w:bCs/>
        </w:rPr>
        <w:t xml:space="preserve">đồng/m².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5"/>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4/2026</w:t>
      </w:r>
      <w:r>
        <w:t xml:space="preserve"> </w:t>
      </w:r>
      <w:r>
        <w:t xml:space="preserve">ước tính </w:t>
      </w:r>
      <w:r>
        <w:t xml:space="preserve">như sau</w:t>
      </w:r>
      <w:r>
        <w:t xml:space="preserve">:</w:t>
      </w:r>
      <w:r>
        <w:rPr>
          <w:highlight w:val="none"/>
        </w:rPr>
      </w:r>
      <w:r>
        <w:rPr>
          <w:highlight w:val="none"/>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878"/>
        <w:gridCol w:w="2693"/>
        <w:gridCol w:w="1843"/>
        <w:gridCol w:w="2126"/>
        <w:gridCol w:w="1984"/>
      </w:tblGrid>
      <w:tr>
        <w:trPr>
          <w:trHeight w:val="729"/>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878"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TT</w:t>
            </w:r>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693"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Tài sản</w:t>
            </w:r>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Diện tích </w:t>
              <w:br/>
              <w:t xml:space="preserve">(m²)</w:t>
            </w:r>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Đơn giá </w:t>
              <w:br/>
              <w:t xml:space="preserve">(đồng/m²)</w:t>
            </w:r>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Thành tiền </w:t>
              <w:br/>
              <w:t xml:space="preserve">(đồng)</w:t>
            </w:r>
            <w:r/>
            <w:r/>
          </w:p>
        </w:tc>
      </w:tr>
      <w:tr>
        <w:trPr>
          <w:trHeight w:val="2423"/>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878"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 </w:t>
            </w:r>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661" w:type="dxa"/>
            <w:vAlign w:val="center"/>
            <w:textDirection w:val="lrTb"/>
            <w:noWrap w:val="false"/>
          </w:tcPr>
          <w:p>
            <w:pPr>
              <w:pBdr/>
              <w:spacing w:after="0" w:before="0" w:line="288" w:lineRule="auto"/>
              <w:ind w:right="142" w:firstLine="0" w:left="142"/>
              <w:jc w:val="both"/>
              <w:rPr/>
            </w:pPr>
            <w:r>
              <w:rPr>
                <w:rFonts w:ascii="Times New Roman" w:hAnsi="Times New Roman" w:eastAsia="Times New Roman" w:cs="Times New Roman"/>
                <w:b/>
                <w:color w:val="000000"/>
                <w:sz w:val="24"/>
              </w:rPr>
              <w:t xml:space="preserve">Giá trị quyền sử dụng đất tại thửa đất số: 524, tờ bản đồ số 32 có địa chỉ: Phường Định Công, Thành phố Hà Nội theo Giấy chứng nhận quyền sử dụng đất, quyền sở hữu tài sản gắn liền với đất số: AA 05869178, số vào sổ cấp GCN: CN 04129 do Chi nhánh Văn phòng</w:t>
            </w:r>
            <w:r>
              <w:rPr>
                <w:rFonts w:ascii="Times New Roman" w:hAnsi="Times New Roman" w:eastAsia="Times New Roman" w:cs="Times New Roman"/>
                <w:b/>
                <w:color w:val="000000"/>
                <w:sz w:val="24"/>
              </w:rPr>
              <w:t xml:space="preserve"> đăng ký đất đai Hà Nội - quận Hoàng Mai cấp ngày 03/2/2026; Chủ sử dụng đất là Ông Phạm Văn Dương và vợ Vũ Thị Nhâm.</w:t>
            </w:r>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88" w:lineRule="auto"/>
              <w:ind/>
              <w:jc w:val="right"/>
              <w:rPr/>
            </w:pPr>
            <w:r>
              <w:rPr>
                <w:rFonts w:ascii="Times New Roman" w:hAnsi="Times New Roman" w:eastAsia="Times New Roman" w:cs="Times New Roman"/>
                <w:b/>
                <w:color w:val="000000"/>
                <w:sz w:val="24"/>
              </w:rPr>
              <w:t xml:space="preserve"> </w:t>
            </w:r>
            <w:r/>
            <w:r/>
          </w:p>
        </w:tc>
      </w:tr>
      <w:tr>
        <w:trPr>
          <w:trHeight w:val="41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878" w:type="dxa"/>
            <w:vAlign w:val="center"/>
            <w:textDirection w:val="lrTb"/>
            <w:noWrap w:val="false"/>
          </w:tcPr>
          <w:p>
            <w:pPr>
              <w:pBdr/>
              <w:spacing w:after="0" w:before="0" w:line="288" w:lineRule="auto"/>
              <w:ind/>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6" w:space="0"/>
              <w:right w:val="single" w:color="000000" w:sz="6" w:space="0"/>
            </w:tcBorders>
            <w:tcMar>
              <w:left w:w="0" w:type="dxa"/>
              <w:top w:w="0" w:type="dxa"/>
              <w:right w:w="0" w:type="dxa"/>
              <w:bottom w:w="0" w:type="dxa"/>
            </w:tcMar>
            <w:tcW w:w="2693" w:type="dxa"/>
            <w:vAlign w:val="center"/>
            <w:textDirection w:val="lrTb"/>
            <w:noWrap w:val="false"/>
          </w:tcPr>
          <w:p>
            <w:pPr>
              <w:pBdr/>
              <w:spacing w:after="0" w:before="0" w:line="288" w:lineRule="auto"/>
              <w:ind w:right="0" w:firstLine="0" w:left="142"/>
              <w:rPr/>
            </w:pPr>
            <w:r>
              <w:rPr>
                <w:rFonts w:ascii="Times New Roman" w:hAnsi="Times New Roman" w:eastAsia="Times New Roman" w:cs="Times New Roman"/>
                <w:color w:val="000000"/>
                <w:sz w:val="24"/>
              </w:rPr>
              <w:t xml:space="preserve">Đất ở tại đô thị</w:t>
            </w:r>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88" w:lineRule="auto"/>
              <w:ind w:right="0" w:firstLine="0" w:left="142"/>
              <w:jc w:val="center"/>
              <w:rPr/>
            </w:pPr>
            <w:r>
              <w:rPr>
                <w:rFonts w:ascii="Times New Roman" w:hAnsi="Times New Roman" w:eastAsia="Times New Roman" w:cs="Times New Roman"/>
                <w:color w:val="000000"/>
                <w:sz w:val="24"/>
              </w:rPr>
              <w:t xml:space="preserve">60,0</w:t>
            </w:r>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88" w:lineRule="auto"/>
              <w:ind w:right="0" w:firstLine="0" w:left="142"/>
              <w:jc w:val="center"/>
              <w:rPr/>
            </w:pPr>
            <w:r>
              <w:rPr>
                <w:rFonts w:ascii="Times New Roman" w:hAnsi="Times New Roman" w:eastAsia="Times New Roman" w:cs="Times New Roman"/>
                <w:color w:val="000000"/>
                <w:sz w:val="24"/>
              </w:rPr>
              <w:t xml:space="preserve">227.000.000</w:t>
            </w:r>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88" w:lineRule="auto"/>
              <w:ind w:right="141" w:firstLine="0" w:left="0"/>
              <w:jc w:val="right"/>
              <w:rPr/>
            </w:pPr>
            <w:r>
              <w:rPr>
                <w:rFonts w:ascii="Times New Roman" w:hAnsi="Times New Roman" w:eastAsia="Times New Roman" w:cs="Times New Roman"/>
                <w:color w:val="000000"/>
                <w:sz w:val="24"/>
              </w:rPr>
              <w:t xml:space="preserve">13.620.000.000</w:t>
            </w:r>
            <w:r/>
            <w:r/>
          </w:p>
        </w:tc>
      </w:tr>
      <w:tr>
        <w:trPr>
          <w:trHeight w:val="45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40" w:type="dxa"/>
            <w:vAlign w:val="center"/>
            <w:textDirection w:val="lrTb"/>
            <w:noWrap/>
          </w:tcPr>
          <w:p>
            <w:pPr>
              <w:pBdr/>
              <w:spacing w:after="0" w:before="0" w:line="288" w:lineRule="auto"/>
              <w:ind/>
              <w:jc w:val="center"/>
              <w:rPr/>
            </w:pPr>
            <w:r>
              <w:rPr>
                <w:rFonts w:ascii="Times New Roman" w:hAnsi="Times New Roman" w:eastAsia="Times New Roman" w:cs="Times New Roman"/>
                <w:b/>
                <w:color w:val="000000"/>
                <w:sz w:val="24"/>
              </w:rPr>
              <w:t xml:space="preserve">TỔNG CỘNG:</w:t>
            </w:r>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pPr>
              <w:pBdr/>
              <w:spacing w:after="0" w:before="0" w:line="288" w:lineRule="auto"/>
              <w:ind w:right="141" w:firstLine="0" w:left="0"/>
              <w:jc w:val="right"/>
              <w:rPr/>
            </w:pPr>
            <w:r>
              <w:rPr>
                <w:rFonts w:ascii="Times New Roman" w:hAnsi="Times New Roman" w:eastAsia="Times New Roman" w:cs="Times New Roman"/>
                <w:b/>
                <w:color w:val="000000"/>
                <w:sz w:val="24"/>
              </w:rPr>
              <w:t xml:space="preserve">13.620.000.000</w:t>
            </w:r>
            <w:r/>
            <w:r/>
          </w:p>
        </w:tc>
      </w:tr>
      <w:tr>
        <w:trPr>
          <w:trHeight w:val="531"/>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524" w:type="dxa"/>
            <w:vAlign w:val="center"/>
            <w:textDirection w:val="lrTb"/>
            <w:noWrap w:val="false"/>
          </w:tcPr>
          <w:p>
            <w:pPr>
              <w:pBdr/>
              <w:spacing w:after="0" w:before="0" w:line="288" w:lineRule="auto"/>
              <w:ind/>
              <w:jc w:val="center"/>
              <w:rPr/>
            </w:pPr>
            <w:r>
              <w:rPr>
                <w:rFonts w:ascii="Times New Roman" w:hAnsi="Times New Roman" w:eastAsia="Times New Roman" w:cs="Times New Roman"/>
                <w:b/>
                <w:i/>
                <w:color w:val="000000"/>
                <w:sz w:val="24"/>
              </w:rPr>
              <w:t xml:space="preserve">(Bằng chữ: Mười ba tỷ, sáu trăm hai mươi triệu đồng chẵn./.)</w:t>
            </w:r>
            <w:r/>
            <w:r/>
          </w:p>
        </w:tc>
      </w:tr>
    </w:tbl>
    <w:p>
      <w:pPr>
        <w:pStyle w:val="1025"/>
        <w:pBdr/>
        <w:tabs>
          <w:tab w:val="left" w:leader="none" w:pos="993"/>
        </w:tabs>
        <w:spacing w:after="120" w:before="120" w:line="276"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76"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5"/>
        <w:pBdr/>
        <w:tabs>
          <w:tab w:val="left" w:leader="none" w:pos="993"/>
        </w:tabs>
        <w:spacing w:after="120" w:before="120" w:line="276"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76"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5"/>
        <w:numPr>
          <w:ilvl w:val="0"/>
          <w:numId w:val="5"/>
        </w:numPr>
        <w:pBdr/>
        <w:tabs>
          <w:tab w:val="left" w:leader="none" w:pos="993"/>
        </w:tabs>
        <w:spacing w:after="120" w:before="120" w:line="276"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5"/>
        <w:numPr>
          <w:ilvl w:val="0"/>
          <w:numId w:val="5"/>
        </w:numPr>
        <w:pBdr/>
        <w:tabs>
          <w:tab w:val="left" w:leader="none" w:pos="993"/>
        </w:tabs>
        <w:spacing w:after="120" w:before="120" w:line="276"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5"/>
        <w:numPr>
          <w:ilvl w:val="0"/>
          <w:numId w:val="5"/>
        </w:numPr>
        <w:pBdr/>
        <w:tabs>
          <w:tab w:val="left" w:leader="none" w:pos="993"/>
        </w:tabs>
        <w:spacing w:after="120" w:before="120" w:line="276"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5"/>
        <w:numPr>
          <w:ilvl w:val="0"/>
          <w:numId w:val="10"/>
        </w:numPr>
        <w:pBdr/>
        <w:spacing w:after="120" w:before="120" w:line="276"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5"/>
        <w:numPr>
          <w:ilvl w:val="0"/>
          <w:numId w:val="10"/>
        </w:numPr>
        <w:pBdr/>
        <w:spacing w:after="120" w:before="120" w:line="276"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5"/>
        <w:numPr>
          <w:ilvl w:val="0"/>
          <w:numId w:val="10"/>
        </w:numPr>
        <w:pBdr/>
        <w:spacing w:after="120" w:before="120" w:line="276"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5"/>
        <w:pBdr/>
        <w:tabs>
          <w:tab w:val="left" w:leader="none" w:pos="993"/>
        </w:tabs>
        <w:spacing w:after="120" w:before="120" w:line="276"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76"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5"/>
        <w:numPr>
          <w:ilvl w:val="0"/>
          <w:numId w:val="5"/>
        </w:numPr>
        <w:pBdr/>
        <w:tabs>
          <w:tab w:val="left" w:leader="none" w:pos="993"/>
        </w:tabs>
        <w:spacing w:after="120" w:before="120" w:line="276"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5"/>
        <w:numPr>
          <w:ilvl w:val="0"/>
          <w:numId w:val="5"/>
        </w:numPr>
        <w:pBdr/>
        <w:tabs>
          <w:tab w:val="left" w:leader="none" w:pos="993"/>
        </w:tabs>
        <w:spacing w:after="120" w:before="120" w:line="276"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5"/>
        <w:numPr>
          <w:ilvl w:val="0"/>
          <w:numId w:val="5"/>
        </w:numPr>
        <w:pBdr/>
        <w:tabs>
          <w:tab w:val="left" w:leader="none" w:pos="993"/>
        </w:tabs>
        <w:spacing w:after="120" w:before="120" w:line="276"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5"/>
        <w:numPr>
          <w:ilvl w:val="0"/>
          <w:numId w:val="5"/>
        </w:numPr>
        <w:pBdr/>
        <w:tabs>
          <w:tab w:val="left" w:leader="none" w:pos="993"/>
        </w:tabs>
        <w:spacing w:after="120" w:before="120" w:line="276"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5"/>
        <w:numPr>
          <w:ilvl w:val="0"/>
          <w:numId w:val="5"/>
        </w:numPr>
        <w:pBdr/>
        <w:tabs>
          <w:tab w:val="left" w:leader="none" w:pos="993"/>
        </w:tabs>
        <w:spacing w:after="120" w:before="120" w:line="276"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5"/>
        <w:numPr>
          <w:ilvl w:val="0"/>
          <w:numId w:val="5"/>
        </w:numPr>
        <w:pBdr/>
        <w:spacing w:after="120" w:before="120" w:line="276"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76"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5"/>
        <w:numPr>
          <w:ilvl w:val="0"/>
          <w:numId w:val="5"/>
        </w:numPr>
        <w:pBdr/>
        <w:spacing w:after="120" w:before="120" w:line="276"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76"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76"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5"/>
        <w:numPr>
          <w:ilvl w:val="0"/>
          <w:numId w:val="5"/>
        </w:numPr>
        <w:pBdr/>
        <w:tabs>
          <w:tab w:val="left" w:leader="none" w:pos="993"/>
        </w:tabs>
        <w:spacing w:after="120" w:before="120" w:line="276"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76"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76"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5"/>
        <w:pBdr/>
        <w:tabs>
          <w:tab w:val="left" w:leader="none" w:pos="993"/>
        </w:tabs>
        <w:spacing w:after="120" w:before="120" w:line="276" w:lineRule="auto"/>
        <w:ind w:left="0"/>
        <w:jc w:val="both"/>
        <w:rPr>
          <w:lang w:val="pt-BR"/>
        </w:rPr>
      </w:pPr>
      <w:r>
        <w:rPr>
          <w:lang w:val="pt-BR"/>
        </w:rPr>
        <w:t xml:space="preserve">Phụ lục 2: Thông tin </w:t>
      </w:r>
      <w:r>
        <w:rPr>
          <w:lang w:val="pt-BR"/>
        </w:rPr>
        <w:t xml:space="preserve">thu thập thị trường </w:t>
      </w:r>
      <w:r>
        <w:rPr>
          <w:bCs/>
          <w:lang w:val="pt-BR"/>
        </w:rPr>
        <w:t xml:space="preserve">+ Pháp lý + BBKS</w:t>
      </w:r>
      <w:r>
        <w:rPr>
          <w:lang w:val="pt-BR"/>
        </w:rPr>
        <w:t xml:space="preserve">.</w:t>
      </w:r>
      <w:r>
        <w:rPr>
          <w:lang w:val="pt-BR"/>
        </w:rPr>
      </w:r>
      <w:r>
        <w:rPr>
          <w:lang w:val="pt-BR"/>
        </w:rPr>
      </w:r>
    </w:p>
    <w:p>
      <w:pPr>
        <w:pBdr/>
        <w:shd w:val="nil" w:color="auto"/>
        <w:spacing/>
        <w:ind/>
        <w:rPr>
          <w:lang w:val="vi-VN"/>
        </w:rPr>
      </w:pPr>
      <w:r>
        <w:rPr>
          <w:highlight w:val="none"/>
          <w:lang w:val="vi-VN"/>
        </w:rPr>
        <w:br w:type="page" w:clear="all"/>
      </w:r>
      <w:r>
        <w:rPr>
          <w:lang w:val="vi-VN"/>
        </w:rPr>
      </w:r>
      <w:r>
        <w:rPr>
          <w:lang w:val="vi-VN"/>
        </w:rPr>
      </w:r>
    </w:p>
    <w:p>
      <w:pPr>
        <w:pStyle w:val="1025"/>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275/2026/0530/VFI-CT.21.A</w:t>
      </w:r>
      <w:r>
        <w:rPr>
          <w:color w:val="ff0000"/>
          <w:lang w:val="vi-VN"/>
        </w:rPr>
        <w:t xml:space="preserve"> </w:t>
      </w:r>
      <w:r>
        <w:rPr>
          <w:color w:val="000000" w:themeColor="text1"/>
        </w:rPr>
        <w:t xml:space="preserve">ngày 04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5000" w:type="pct"/>
        <w:tblBorders/>
        <w:tblLayout w:type="fixed"/>
        <w:tblLook w:val="01E0" w:firstRow="1" w:lastRow="1" w:firstColumn="1" w:lastColumn="1" w:noHBand="0" w:noVBand="0"/>
      </w:tblPr>
      <w:tblGrid>
        <w:gridCol w:w="4422"/>
        <w:gridCol w:w="5102"/>
      </w:tblGrid>
      <w:tr>
        <w:trPr>
          <w:trHeight w:val="20"/>
        </w:trPr>
        <w:tc>
          <w:tcPr>
            <w:tcBorders/>
            <w:tcW w:w="4422"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02" w:type="dxa"/>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422"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02"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422"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5102"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Trương Thị Diệp</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275/2026/0530/VFI-BC.21.A</w:t>
      </w:r>
      <w:r>
        <w:rPr>
          <w:i/>
          <w:lang w:val="pt-BR"/>
        </w:rPr>
        <w:t xml:space="preserve"> </w:t>
      </w:r>
      <w:r>
        <w:rPr>
          <w:i/>
          <w:lang w:val="pt-BR"/>
        </w:rPr>
        <w:t xml:space="preserve">ngày 04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964683" cy="2090146"/>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936789" name=""/>
                              <pic:cNvPicPr>
                                <a:picLocks noChangeAspect="1"/>
                              </pic:cNvPicPr>
                              <pic:nvPr/>
                            </pic:nvPicPr>
                            <pic:blipFill rotWithShape="1">
                              <a:blip r:embed="rId19"/>
                              <a:stretch/>
                            </pic:blipFill>
                            <pic:spPr bwMode="auto">
                              <a:xfrm flipH="0" flipV="0">
                                <a:off x="0" y="0"/>
                                <a:ext cx="964682" cy="20901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75.96pt;height:164.58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576356" name=""/>
                              <pic:cNvPicPr>
                                <a:picLocks noChangeAspect="1"/>
                              </pic:cNvPicPr>
                              <pic:nvPr/>
                            </pic:nvPicPr>
                            <pic:blipFill rotWithShape="1">
                              <a:blip r:embed="rId20"/>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6.77pt;height:170.08pt;mso-wrap-distance-left:0.00pt;mso-wrap-distance-top:0.00pt;mso-wrap-distance-right:0.00pt;mso-wrap-distance-bottom:0.00pt;rotation:0;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cạnh tài sản</w:t>
            </w:r>
            <w:r>
              <w:rPr>
                <w:b/>
                <w:bCs/>
                <w:i/>
                <w:lang w:val="pt-BR"/>
              </w:rPr>
            </w:r>
            <w:r>
              <w:rPr>
                <w:b/>
                <w:bCs/>
                <w:i/>
                <w:lang w:val="pt-BR"/>
              </w:rPr>
            </w:r>
          </w:p>
        </w:tc>
      </w:tr>
      <w:tr>
        <w:trPr/>
        <w:tc>
          <w:tcPr>
            <w:tcBorders/>
            <w:tcW w:w="4758" w:type="dxa"/>
            <w:vAlign w:val="center"/>
            <w:textDirection w:val="lrTb"/>
            <w:noWrap w:val="false"/>
          </w:tcPr>
          <w:p>
            <w:pPr>
              <w:pBdr/>
              <w:spacing/>
              <w:ind/>
              <w:rPr/>
            </w:pPr>
            <w:r>
              <mc:AlternateContent>
                <mc:Choice Requires="wpg">
                  <w:drawing>
                    <wp:inline xmlns:wp="http://schemas.openxmlformats.org/drawingml/2006/wordprocessingDrawing" distT="0" distB="0" distL="0" distR="0">
                      <wp:extent cx="2880000" cy="21600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311328" name=""/>
                              <pic:cNvPicPr>
                                <a:picLocks noChangeAspect="1"/>
                              </pic:cNvPicPr>
                              <pic:nvPr/>
                            </pic:nvPicPr>
                            <pic:blipFill rotWithShape="1">
                              <a:blip r:embed="rId21"/>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6.77pt;height:170.08pt;mso-wrap-distance-left:0.00pt;mso-wrap-distance-top:0.00pt;mso-wrap-distance-right:0.00pt;mso-wrap-distance-bottom:0.00pt;rotation:0;z-index:1;" stroked="false">
                      <v:imagedata r:id="rId21" o:title=""/>
                      <o:lock v:ext="edit" rotation="t"/>
                    </v:shape>
                  </w:pict>
                </mc:Fallback>
              </mc:AlternateContent>
            </w: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994656" name=""/>
                              <pic:cNvPicPr>
                                <a:picLocks noChangeAspect="1"/>
                              </pic:cNvPicPr>
                              <pic:nvPr/>
                            </pic:nvPicPr>
                            <pic:blipFill rotWithShape="1">
                              <a:blip r:embed="rId22"/>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6.77pt;height:170.08pt;mso-wrap-distance-left:0.00pt;mso-wrap-distance-top:0.00pt;mso-wrap-distance-right:0.00pt;mso-wrap-distance-bottom:0.00pt;rotation:0;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ind/>
              <w:rPr/>
            </w:pPr>
            <w:r>
              <mc:AlternateContent>
                <mc:Choice Requires="wpg">
                  <w:drawing>
                    <wp:inline xmlns:wp="http://schemas.openxmlformats.org/drawingml/2006/wordprocessingDrawing" distT="0" distB="0" distL="0" distR="0">
                      <wp:extent cx="2880000" cy="21564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070549" name=""/>
                              <pic:cNvPicPr>
                                <a:picLocks noChangeAspect="1"/>
                              </pic:cNvPicPr>
                              <pic:nvPr/>
                            </pic:nvPicPr>
                            <pic:blipFill rotWithShape="1">
                              <a:blip r:embed="rId23"/>
                              <a:stretch/>
                            </pic:blipFill>
                            <pic:spPr bwMode="auto">
                              <a:xfrm rot="0" flipH="0" flipV="0">
                                <a:off x="0" y="0"/>
                                <a:ext cx="2880000" cy="2156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6.77pt;height:169.80pt;mso-wrap-distance-left:0.00pt;mso-wrap-distance-top:0.00pt;mso-wrap-distance-right:0.00pt;mso-wrap-distance-bottom:0.00pt;rotation:0;z-index:1;" stroked="false">
                      <v:imagedata r:id="rId23" o:title=""/>
                      <o:lock v:ext="edit" rotation="t"/>
                    </v:shape>
                  </w:pict>
                </mc:Fallback>
              </mc:AlternateContent>
            </w:r>
            <w:r/>
          </w:p>
        </w:tc>
        <w:tc>
          <w:tcPr>
            <w:tcBorders/>
            <w:tcW w:w="4757" w:type="dxa"/>
            <w:vAlign w:val="center"/>
            <w:textDirection w:val="lrTb"/>
            <w:noWrap w:val="false"/>
          </w:tcPr>
          <w:p>
            <w:pPr>
              <w:pBdr/>
              <w:spacing/>
              <w:ind/>
              <w:rPr/>
            </w:pPr>
            <w:r>
              <mc:AlternateContent>
                <mc:Choice Requires="wpg">
                  <w:drawing>
                    <wp:inline xmlns:wp="http://schemas.openxmlformats.org/drawingml/2006/wordprocessingDrawing" distT="0" distB="0" distL="0" distR="0">
                      <wp:extent cx="2880000" cy="21600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799944" name=""/>
                              <pic:cNvPicPr>
                                <a:picLocks noChangeAspect="1"/>
                              </pic:cNvPicPr>
                              <pic:nvPr/>
                            </pic:nvPicPr>
                            <pic:blipFill rotWithShape="1">
                              <a:blip r:embed="rId24"/>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6.77pt;height:170.08pt;mso-wrap-distance-left:0.00pt;mso-wrap-distance-top:0.00pt;mso-wrap-distance-right:0.00pt;mso-wrap-distance-bottom:0.00pt;rotation:0;z-index:1;" stroked="false">
                      <v:imagedata r:id="rId24" o:title=""/>
                      <o:lock v:ext="edit" rotation="t"/>
                    </v:shape>
                  </w:pict>
                </mc:Fallback>
              </mc:AlternateContent>
            </w: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275/2026/0530/VFI-BC.21.A</w:t>
      </w:r>
      <w:r>
        <w:rPr>
          <w:i/>
          <w:lang w:val="pt-BR"/>
        </w:rPr>
        <w:t xml:space="preserve"> ngày </w:t>
      </w:r>
      <w:r>
        <w:rPr>
          <w:i/>
          <w:lang w:val="pt-BR"/>
        </w:rPr>
        <w:t xml:space="preserve">4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mc:AlternateContent>
          <mc:Choice Requires="wpg">
            <w:drawing>
              <wp:inline xmlns:wp="http://schemas.openxmlformats.org/drawingml/2006/wordprocessingDrawing" distT="0" distB="0" distL="0" distR="0">
                <wp:extent cx="5581841" cy="6816613"/>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503411" name=""/>
                        <pic:cNvPicPr>
                          <a:picLocks noChangeAspect="1"/>
                        </pic:cNvPicPr>
                        <pic:nvPr/>
                      </pic:nvPicPr>
                      <pic:blipFill rotWithShape="1">
                        <a:blip r:embed="rId25"/>
                        <a:stretch/>
                      </pic:blipFill>
                      <pic:spPr bwMode="auto">
                        <a:xfrm flipH="0" flipV="0">
                          <a:off x="0" y="0"/>
                          <a:ext cx="5581841" cy="68166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39.52pt;height:536.74pt;mso-wrap-distance-left:0.00pt;mso-wrap-distance-top:0.00pt;mso-wrap-distance-right:0.00pt;mso-wrap-distance-bottom:0.00pt;z-index:1;" stroked="false">
                <v:imagedata r:id="rId25" o:title=""/>
                <o:lock v:ext="edit" rotation="t"/>
              </v:shape>
            </w:pict>
          </mc:Fallback>
        </mc:AlternateContent>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1824"/>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mc:AlternateContent>
                <mc:Choice Requires="wpg">
                  <w:drawing>
                    <wp:inline xmlns:wp="http://schemas.openxmlformats.org/drawingml/2006/wordprocessingDrawing" distT="0" distB="0" distL="0" distR="0">
                      <wp:extent cx="1723106" cy="1210277"/>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006751" name=""/>
                              <pic:cNvPicPr>
                                <a:picLocks noChangeAspect="1"/>
                              </pic:cNvPicPr>
                              <pic:nvPr/>
                            </pic:nvPicPr>
                            <pic:blipFill rotWithShape="1">
                              <a:blip r:embed="rId26"/>
                              <a:stretch/>
                            </pic:blipFill>
                            <pic:spPr bwMode="auto">
                              <a:xfrm flipH="0" flipV="0">
                                <a:off x="0" y="0"/>
                                <a:ext cx="1723105" cy="12102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35.68pt;height:95.30pt;mso-wrap-distance-left:0.00pt;mso-wrap-distance-top:0.00pt;mso-wrap-distance-right:0.00pt;mso-wrap-distance-bottom:0.00pt;z-index:1;" stroked="false">
                      <v:imagedata r:id="rId26" o:title=""/>
                      <o:lock v:ext="edit" rotation="t"/>
                    </v:shape>
                  </w:pict>
                </mc:Fallback>
              </mc:AlternateConten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Trương Thị Diệp</w:t>
            </w:r>
            <w:r>
              <w:rPr>
                <w:b/>
                <w:bCs/>
              </w:rPr>
            </w:r>
            <w:r>
              <w:rPr>
                <w:b/>
                <w:bCs/>
              </w:rPr>
            </w:r>
          </w:p>
        </w:tc>
      </w:tr>
    </w:tbl>
    <w:p>
      <w:pPr>
        <w:pBdr/>
        <w:spacing w:after="200" w:line="276" w:lineRule="auto"/>
        <w:ind/>
        <w:rPr>
          <w:iCs/>
          <w:lang w:val="pt-BR"/>
        </w:rPr>
      </w:pPr>
      <w:r>
        <w:rPr>
          <w:iCs/>
          <w:lang w:val="pt-BR"/>
        </w:rPr>
      </w:r>
      <w:r>
        <mc:AlternateContent>
          <mc:Choice Requires="wpg">
            <w:drawing>
              <wp:inline xmlns:wp="http://schemas.openxmlformats.org/drawingml/2006/wordprocessingDrawing" distT="0" distB="0" distL="0" distR="0">
                <wp:extent cx="5943940" cy="750516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704604" name=""/>
                        <pic:cNvPicPr>
                          <a:picLocks noChangeAspect="1"/>
                        </pic:cNvPicPr>
                        <pic:nvPr/>
                      </pic:nvPicPr>
                      <pic:blipFill rotWithShape="1">
                        <a:blip r:embed="rId27"/>
                        <a:stretch/>
                      </pic:blipFill>
                      <pic:spPr bwMode="auto">
                        <a:xfrm flipH="0" flipV="0">
                          <a:off x="0" y="0"/>
                          <a:ext cx="5943939" cy="75051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68.03pt;height:590.96pt;mso-wrap-distance-left:0.00pt;mso-wrap-distance-top:0.00pt;mso-wrap-distance-right:0.00pt;mso-wrap-distance-bottom:0.00pt;z-index:1;" stroked="false">
                <v:imagedata r:id="rId27" o:title=""/>
                <o:lock v:ext="edit" rotation="t"/>
              </v:shape>
            </w:pict>
          </mc:Fallback>
        </mc:AlternateContent>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mc:AlternateContent>
                <mc:Choice Requires="wpg">
                  <w:drawing>
                    <wp:inline xmlns:wp="http://schemas.openxmlformats.org/drawingml/2006/wordprocessingDrawing" distT="0" distB="0" distL="0" distR="0">
                      <wp:extent cx="1633560" cy="1147381"/>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784836" name=""/>
                              <pic:cNvPicPr>
                                <a:picLocks noChangeAspect="1"/>
                              </pic:cNvPicPr>
                              <pic:nvPr/>
                            </pic:nvPicPr>
                            <pic:blipFill rotWithShape="1">
                              <a:blip r:embed="rId28"/>
                              <a:stretch/>
                            </pic:blipFill>
                            <pic:spPr bwMode="auto">
                              <a:xfrm flipH="0" flipV="0">
                                <a:off x="0" y="0"/>
                                <a:ext cx="1633559" cy="11473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28.63pt;height:90.34pt;mso-wrap-distance-left:0.00pt;mso-wrap-distance-top:0.00pt;mso-wrap-distance-right:0.00pt;mso-wrap-distance-bottom:0.00pt;z-index:1;" stroked="false">
                      <v:imagedata r:id="rId28" o:title=""/>
                      <o:lock v:ext="edit" rotation="t"/>
                    </v:shape>
                  </w:pict>
                </mc:Fallback>
              </mc:AlternateConten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Trương Thị Diệp</w:t>
            </w:r>
            <w:r>
              <w:rPr>
                <w:b/>
                <w:bCs/>
              </w:rPr>
            </w:r>
            <w:r>
              <w:rPr>
                <w:b/>
                <w:bCs/>
              </w:rPr>
            </w:r>
          </w:p>
        </w:tc>
      </w:tr>
    </w:tbl>
    <w:p>
      <w:pPr>
        <w:pBdr/>
        <w:spacing w:after="200" w:line="276" w:lineRule="auto"/>
        <w:ind/>
        <w:jc w:val="center"/>
        <w:rPr>
          <w:iCs/>
          <w:lang w:val="pt-BR"/>
        </w:rPr>
      </w:pPr>
      <w:r>
        <w:rPr>
          <w:iCs/>
          <w:lang w:val="pt-BR"/>
        </w:rPr>
      </w:r>
      <w:r>
        <mc:AlternateContent>
          <mc:Choice Requires="wpg">
            <w:drawing>
              <wp:inline xmlns:wp="http://schemas.openxmlformats.org/drawingml/2006/wordprocessingDrawing" distT="0" distB="0" distL="0" distR="0">
                <wp:extent cx="5686868" cy="7400385"/>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668927" name=""/>
                        <pic:cNvPicPr>
                          <a:picLocks noChangeAspect="1"/>
                        </pic:cNvPicPr>
                        <pic:nvPr/>
                      </pic:nvPicPr>
                      <pic:blipFill rotWithShape="1">
                        <a:blip r:embed="rId29"/>
                        <a:stretch/>
                      </pic:blipFill>
                      <pic:spPr bwMode="auto">
                        <a:xfrm flipH="0" flipV="0">
                          <a:off x="0" y="0"/>
                          <a:ext cx="5686867" cy="74003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47.78pt;height:582.71pt;mso-wrap-distance-left:0.00pt;mso-wrap-distance-top:0.00pt;mso-wrap-distance-right:0.00pt;mso-wrap-distance-bottom:0.00pt;z-index:1;" stroked="false">
                <v:imagedata r:id="rId29" o:title=""/>
                <o:lock v:ext="edit" rotation="t"/>
              </v:shape>
            </w:pict>
          </mc:Fallback>
        </mc:AlternateContent>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mc:AlternateContent>
                <mc:Choice Requires="wpg">
                  <w:drawing>
                    <wp:inline xmlns:wp="http://schemas.openxmlformats.org/drawingml/2006/wordprocessingDrawing" distT="0" distB="0" distL="0" distR="0">
                      <wp:extent cx="1852635" cy="1301255"/>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996744" name=""/>
                              <pic:cNvPicPr>
                                <a:picLocks noChangeAspect="1"/>
                              </pic:cNvPicPr>
                              <pic:nvPr/>
                            </pic:nvPicPr>
                            <pic:blipFill rotWithShape="1">
                              <a:blip r:embed="rId30"/>
                              <a:stretch/>
                            </pic:blipFill>
                            <pic:spPr bwMode="auto">
                              <a:xfrm flipH="0" flipV="0">
                                <a:off x="0" y="0"/>
                                <a:ext cx="1852634" cy="13012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45.88pt;height:102.46pt;mso-wrap-distance-left:0.00pt;mso-wrap-distance-top:0.00pt;mso-wrap-distance-right:0.00pt;mso-wrap-distance-bottom:0.00pt;z-index:1;" stroked="false">
                      <v:imagedata r:id="rId30" o:title=""/>
                      <o:lock v:ext="edit" rotation="t"/>
                    </v:shape>
                  </w:pict>
                </mc:Fallback>
              </mc:AlternateConten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Trương Thị Diệp</w:t>
            </w:r>
            <w:r>
              <w:rPr>
                <w:b/>
                <w:bCs/>
              </w:rPr>
            </w:r>
            <w:r>
              <w:rPr>
                <w:b/>
                <w:bCs/>
              </w:rPr>
            </w:r>
          </w:p>
        </w:tc>
      </w:tr>
    </w:tbl>
    <w:p>
      <w:pPr>
        <w:pBdr/>
        <w:spacing w:after="200" w:line="276" w:lineRule="auto"/>
        <w:ind/>
        <w:rPr>
          <w:iCs/>
          <w:highlight w:val="none"/>
          <w:lang w:val="pt-BR"/>
        </w:rPr>
      </w:pPr>
      <w:r>
        <w:rPr>
          <w:iCs/>
          <w:lang w:val="pt-BR"/>
        </w:rPr>
      </w:r>
      <w:r>
        <mc:AlternateContent>
          <mc:Choice Requires="wpg">
            <w:drawing>
              <wp:inline xmlns:wp="http://schemas.openxmlformats.org/drawingml/2006/wordprocessingDrawing" distT="0" distB="0" distL="0" distR="0">
                <wp:extent cx="6048375" cy="806450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586864" name=""/>
                        <pic:cNvPicPr>
                          <a:picLocks noChangeAspect="1"/>
                        </pic:cNvPicPr>
                        <pic:nvPr/>
                      </pic:nvPicPr>
                      <pic:blipFill rotWithShape="1">
                        <a:blip r:embed="rId31"/>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635.00pt;mso-wrap-distance-left:0.00pt;mso-wrap-distance-top:0.00pt;mso-wrap-distance-right:0.00pt;mso-wrap-distance-bottom:0.00pt;z-index:1;" stroked="false">
                <v:imagedata r:id="rId31" o:title=""/>
                <o:lock v:ext="edit" rotation="t"/>
              </v:shape>
            </w:pict>
          </mc:Fallback>
        </mc:AlternateContent>
      </w:r>
      <w:r>
        <w:rPr>
          <w:iCs/>
          <w:highlight w:val="none"/>
          <w:lang w:val="pt-BR"/>
        </w:rPr>
      </w:r>
      <w:r>
        <w:rPr>
          <w:iCs/>
          <w:highlight w:val="none"/>
          <w:lang w:val="pt-BR"/>
        </w:rPr>
      </w:r>
    </w:p>
    <w:p>
      <w:pPr>
        <w:pBdr/>
        <w:shd w:val="nil" w:color="auto"/>
        <w:spacing/>
        <w:ind/>
        <w:rPr>
          <w:lang w:val="pt-BR"/>
        </w:rPr>
      </w:pPr>
      <w:r>
        <w:rPr>
          <w:lang w:val="pt-BR"/>
        </w:rPr>
        <w:br w:type="page" w:clear="all"/>
      </w:r>
      <w:r>
        <w:rPr>
          <w:lang w:val="pt-BR"/>
        </w:rPr>
      </w:r>
      <w:r>
        <w:rPr>
          <w:lang w:val="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053904" name=""/>
                        <pic:cNvPicPr>
                          <a:picLocks noChangeAspect="1"/>
                        </pic:cNvPicPr>
                        <pic:nvPr/>
                      </pic:nvPicPr>
                      <pic:blipFill rotWithShape="1">
                        <a:blip r:embed="rId32"/>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35.00pt;mso-wrap-distance-left:0.00pt;mso-wrap-distance-top:0.00pt;mso-wrap-distance-right:0.00pt;mso-wrap-distance-bottom:0.00pt;z-index:1;" stroked="false">
                <v:imagedata r:id="rId32" o:title=""/>
                <o:lock v:ext="edit" rotation="t"/>
              </v:shape>
            </w:pict>
          </mc:Fallback>
        </mc:AlternateContent>
      </w:r>
      <w:r>
        <w:rPr>
          <w:highlight w:val="none"/>
          <w:lang w:val="pt-BR" w:bidi="pt-BR"/>
        </w:rPr>
      </w:r>
      <w:r>
        <w:rPr>
          <w:highlight w:val="none"/>
          <w:lang w:val="pt-BR" w:bidi="pt-BR"/>
        </w:rPr>
      </w:r>
    </w:p>
    <w:p>
      <w:pPr>
        <w:pBdr/>
        <w:shd w:val="nil" w:color="auto"/>
        <w:spacing/>
        <w:ind/>
        <w:rPr>
          <w:lang w:val="pt-BR"/>
        </w:rPr>
      </w:pPr>
      <w:r>
        <w:rPr>
          <w:lang w:val="pt-BR"/>
        </w:rPr>
        <w:br w:type="page" w:clear="all"/>
      </w:r>
      <w:r>
        <w:rPr>
          <w:lang w:val="pt-BR"/>
        </w:rPr>
      </w:r>
      <w:r>
        <w:rPr>
          <w:lang w:val="pt-BR"/>
        </w:rPr>
      </w:r>
    </w:p>
    <w:p>
      <w:pPr>
        <w:pBdr/>
        <w:spacing w:after="200" w:line="276" w:lineRule="auto"/>
        <w:ind/>
        <w:rPr>
          <w:lang w:val="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300318" name=""/>
                        <pic:cNvPicPr>
                          <a:picLocks noChangeAspect="1"/>
                        </pic:cNvPicPr>
                        <pic:nvPr/>
                      </pic:nvPicPr>
                      <pic:blipFill rotWithShape="1">
                        <a:blip r:embed="rId33"/>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35.00pt;mso-wrap-distance-left:0.00pt;mso-wrap-distance-top:0.00pt;mso-wrap-distance-right:0.00pt;mso-wrap-distance-bottom:0.00pt;z-index:1;" stroked="false">
                <v:imagedata r:id="rId33" o:title=""/>
                <o:lock v:ext="edit" rotation="t"/>
              </v:shape>
            </w:pict>
          </mc:Fallback>
        </mc:AlternateContent>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281</cp:revision>
  <dcterms:created xsi:type="dcterms:W3CDTF">2025-09-15T09:58:00Z</dcterms:created>
  <dcterms:modified xsi:type="dcterms:W3CDTF">2026-04-06T02:21:28Z</dcterms:modified>
</cp:coreProperties>
</file>