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275/2026/0376/VFI-CT.24.A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địa chỉ: Căn hộ 103 - Nhà B12 – TT Kim Giang, phường Kim Giang, quận Thanh Xuân, TP Hà Nội </w:t>
                            </w:r>
                            <w:r>
                              <w:rPr>
                                <w:i/>
                                <w:iCs/>
                                <w:color w:val="000000"/>
                              </w:rPr>
                              <w:t xml:space="preserve">(</w:t>
                            </w:r>
                            <w:r>
                              <w:rPr>
                                <w:b w:val="0"/>
                                <w:bCs w:val="0"/>
                                <w:i/>
                                <w:iCs/>
                                <w:color w:val="000000"/>
                              </w:rPr>
                              <w:t xml:space="preserve">Nay là Số 20 ngõ 102 ngách 36 Hoàng Đạo Thành, phường Hạ Đình, thành phố Hà Nội</w:t>
                            </w:r>
                            <w:r>
                              <w:rPr>
                                <w:i/>
                                <w:iCs/>
                                <w:color w:val="000000"/>
                              </w:rPr>
                              <w:t xml:space="preserve">) </w:t>
                            </w:r>
                            <w:r>
                              <w:rPr>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275/2026/0376/VFI-CT.24.A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Hằng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địa chỉ: Căn hộ 103 - Nhà B12 – TT Kim Giang, phường Kim Giang, quận Thanh Xuân, TP Hà Nội </w:t>
                      </w:r>
                      <w:r>
                        <w:rPr>
                          <w:i/>
                          <w:iCs/>
                          <w:color w:val="000000"/>
                        </w:rPr>
                        <w:t xml:space="preserve">(</w:t>
                      </w:r>
                      <w:r>
                        <w:rPr>
                          <w:b w:val="0"/>
                          <w:bCs w:val="0"/>
                          <w:i/>
                          <w:iCs/>
                          <w:color w:val="000000"/>
                        </w:rPr>
                        <w:t xml:space="preserve">Nay là Số 20 ngõ 102 ngách 36 Hoàng Đạo Thành, phường Hạ Đình, thành phố Hà Nội</w:t>
                      </w:r>
                      <w:r>
                        <w:rPr>
                          <w:i/>
                          <w:iCs/>
                          <w:color w:val="000000"/>
                        </w:rPr>
                        <w:t xml:space="preserve">) </w:t>
                      </w:r>
                      <w:r>
                        <w:rPr>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25-30</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699"/>
        <w:gridCol w:w="2127"/>
        <w:gridCol w:w="5953"/>
      </w:tblGrid>
      <w:tr>
        <w:trPr>
          <w:trHeight w:val="1152"/>
        </w:trPr>
        <w:tc>
          <w:tcPr>
            <w:gridSpan w:val="2"/>
            <w:tcBorders/>
            <w:tcW w:w="172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8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275/2026/0376/VFI-CT.24.A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Hằng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275/2026/0376/VFI-HĐTĐ.24.A</w:t>
      </w:r>
      <w:r>
        <w:rPr>
          <w:spacing w:val="-4"/>
          <w:lang w:val="vi-VN"/>
        </w:rPr>
        <w:t xml:space="preserve"> ký ngày </w:t>
      </w:r>
      <w:r>
        <w:rPr>
          <w:color w:val="000000" w:themeColor="text1"/>
          <w:spacing w:val="-4"/>
        </w:rPr>
        <w:t xml:space="preserve">10 tháng 3 năm 2026</w:t>
      </w:r>
      <w:r>
        <w:rPr>
          <w:spacing w:val="-4"/>
          <w:lang w:val="vi-VN"/>
        </w:rPr>
        <w:t xml:space="preserve"> </w:t>
      </w:r>
      <w:r>
        <w:rPr>
          <w:spacing w:val="-4"/>
          <w:lang w:val="vi-VN"/>
        </w:rPr>
        <w:t xml:space="preserve">giữa </w:t>
      </w:r>
      <w:r>
        <w:rPr>
          <w:color w:val="000000" w:themeColor="text1"/>
          <w:spacing w:val="-4"/>
        </w:rPr>
        <w:t xml:space="preserve">Bà Trần Thị Hằng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275/2026/0376/VFI-BC.24.A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Bà Trần Thị Hằng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001150013091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103B12, Kim Giang, Thanh Xuân, Hà Nội </w:t>
            </w:r>
            <w:r>
              <w:rPr>
                <w:rFonts w:ascii="Times New Roman" w:hAnsi="Times New Roman" w:eastAsia="Times New Roman" w:cs="Times New Roman"/>
                <w:i/>
                <w:color w:val="000000"/>
                <w:sz w:val="24"/>
              </w:rPr>
              <w:t xml:space="preserve">(Nay là phường Hạ Đình,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b/>
        </w:rPr>
      </w:r>
      <w:r>
        <w:rPr>
          <w:color w:val="000000"/>
        </w:rPr>
        <w:t xml:space="preserve">Giá trị quyền sử dụng đất tại địa chỉ: Căn hộ 103 - Nhà B12 – TT Kim Giang, phường Kim Giang, quận Thanh Xuân, TP Hà Nội </w:t>
      </w:r>
      <w:r>
        <w:rPr>
          <w:i/>
          <w:iCs/>
          <w:color w:val="000000"/>
        </w:rPr>
        <w:t xml:space="preserve">(</w:t>
      </w:r>
      <w:r>
        <w:rPr>
          <w:b w:val="0"/>
          <w:bCs w:val="0"/>
          <w:i/>
          <w:iCs/>
          <w:color w:val="000000"/>
        </w:rPr>
        <w:t xml:space="preserve">Nay là Số 20 ngõ 102 ngách 36 Hoàng Đạo Thành, phường Hạ Đình, thành phố Hà Nội</w:t>
      </w:r>
      <w:r>
        <w:rPr>
          <w:i/>
          <w:iCs/>
          <w:color w:val="000000"/>
        </w:rPr>
        <w:t xml:space="preserve">) </w:t>
      </w:r>
      <w:r>
        <w:rPr>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b/>
                <w:bCs/>
                <w:color w:val="000000"/>
              </w:rPr>
              <w:t xml:space="preserve">Giá trị quyền sử dụng đất tại địa chỉ: Căn hộ 103 - Nhà B12 – TT Kim Giang, phường Kim Giang, quận Thanh Xuân, TP Hà Nội </w:t>
            </w:r>
            <w:r>
              <w:rPr>
                <w:b/>
                <w:bCs/>
                <w:i/>
                <w:iCs/>
                <w:color w:val="000000"/>
              </w:rPr>
              <w:t xml:space="preserve">(</w:t>
            </w:r>
            <w:r>
              <w:rPr>
                <w:b/>
                <w:bCs/>
                <w:i/>
                <w:iCs/>
                <w:color w:val="000000"/>
              </w:rPr>
              <w:t xml:space="preserve">Nay là Số 20 ngõ 102 ngách 36 Hoàng Đạo Thành, phường Hạ Đình, thành phố Hà Nội</w:t>
            </w:r>
            <w:r>
              <w:rPr>
                <w:b/>
                <w:bCs/>
                <w:i/>
                <w:iCs/>
                <w:color w:val="000000"/>
              </w:rPr>
              <w:t xml:space="preserve">) </w:t>
            </w:r>
            <w:r>
              <w:rPr>
                <w:b/>
                <w:bCs/>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523"/>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103,42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190.000.000</w:t>
            </w:r>
            <w:r/>
          </w:p>
        </w:tc>
        <w:tc>
          <w:tcPr>
            <w:shd w:val="clear" w:color="000000" w:fill="ffffff"/>
            <w:tcBorders/>
            <w:tcW w:w="1136" w:type="pct"/>
            <w:vAlign w:val="center"/>
            <w:textDirection w:val="lrTb"/>
            <w:noWrap w:val="false"/>
          </w:tcPr>
          <w:p>
            <w:pPr>
              <w:pBdr/>
              <w:spacing w:after="40" w:before="40" w:line="288" w:lineRule="auto"/>
              <w:ind/>
              <w:jc w:val="right"/>
              <w:rPr/>
            </w:pPr>
            <w:r>
              <w:rPr>
                <w:color w:val="000000" w:themeColor="text1"/>
              </w:rPr>
              <w:t xml:space="preserve">19.649.800.000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t xml:space="preserve">19.649.800.000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right"/>
              <w:rPr>
                <w:b/>
                <w:bCs/>
                <w:color w:val="000000"/>
              </w:rPr>
            </w:pPr>
            <w:r>
              <w:rPr>
                <w:b/>
                <w:bCs/>
                <w:color w:val="000000"/>
              </w:rPr>
              <w:t xml:space="preserve">19.650.000.000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chín tỷ, sáu trăm năm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1559"/>
        <w:gridCol w:w="2268"/>
        <w:gridCol w:w="6236"/>
      </w:tblGrid>
      <w:tr>
        <w:trPr>
          <w:trHeight w:val="1152"/>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275/2026/0376/VFI-CT.24.A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10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275/2026/0376/VFI-CT.24.A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lang w:val="vi-VN"/>
              </w:rPr>
            </w:r>
            <w:r>
              <w:rPr>
                <w:b/>
                <w:bCs/>
                <w:lang w:val="vi-VN"/>
              </w:rPr>
            </w:r>
          </w:p>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Bà Trần Thị Hằng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001150013091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103B12, Kim Giang, Thanh Xuân, Hà Nội </w:t>
            </w:r>
            <w:r>
              <w:rPr>
                <w:rFonts w:ascii="Times New Roman" w:hAnsi="Times New Roman" w:eastAsia="Times New Roman" w:cs="Times New Roman"/>
                <w:i/>
                <w:color w:val="000000"/>
                <w:sz w:val="24"/>
              </w:rPr>
              <w:t xml:space="preserve">(Nay là phường Hạ Đình,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
              </w:rPr>
            </w:r>
            <w:r>
              <w:rPr>
                <w:color w:val="000000"/>
              </w:rPr>
              <w:t xml:space="preserve">Giá trị quyền sử dụng đất tại địa chỉ: Căn hộ 103 - Nhà B12 – TT Kim Giang, phường Kim Giang, quận Thanh Xuân, TP Hà Nội </w:t>
            </w:r>
            <w:r>
              <w:rPr>
                <w:i/>
                <w:iCs/>
                <w:color w:val="000000"/>
              </w:rPr>
              <w:t xml:space="preserve">(</w:t>
            </w:r>
            <w:r>
              <w:rPr>
                <w:b w:val="0"/>
                <w:bCs w:val="0"/>
                <w:i/>
                <w:iCs/>
                <w:color w:val="000000"/>
              </w:rPr>
              <w:t xml:space="preserve">Nay là Số 20 ngõ 102 ngách 36 Hoàng Đạo Thành, phường Hạ Đình, thành phố Hà Nội</w:t>
            </w:r>
            <w:r>
              <w:rPr>
                <w:i/>
                <w:iCs/>
                <w:color w:val="000000"/>
              </w:rPr>
              <w:t xml:space="preserve">) </w:t>
            </w:r>
            <w:r>
              <w:rPr>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Hạ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20.984611111111, 105.81016666667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rPr>
      </w:r>
      <w:r>
        <w:rPr>
          <w:color w:val="000000"/>
        </w:rPr>
      </w:r>
      <w:r>
        <w:rPr>
          <w:color w:val="000000"/>
        </w:rPr>
        <w:t xml:space="preserve">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275/2026/0376/VFI-HĐTĐ.24.A ngày 10/3/2026 giữa Bà Trần Thị Hằng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tại địa chỉ: Căn hộ 103 - Nhà B12 – TT Kim Giang, phường Kim Giang, quận Thanh Xuân, TP Hà Nội </w:t>
            </w:r>
            <w:r>
              <w:rPr>
                <w:b/>
                <w:bCs/>
                <w:i/>
                <w:iCs/>
                <w:color w:val="000000"/>
              </w:rPr>
              <w:t xml:space="preserve">(</w:t>
            </w:r>
            <w:r>
              <w:rPr>
                <w:b/>
                <w:bCs/>
                <w:i/>
                <w:iCs/>
                <w:color w:val="000000"/>
              </w:rPr>
              <w:t xml:space="preserve">Nay là Số 20 ngõ 102 ngách 36 Hoàng Đạo Thành, phường Hạ Đình, thành phố Hà Nội</w:t>
            </w:r>
            <w:r>
              <w:rPr>
                <w:b/>
                <w:bCs/>
                <w:i/>
                <w:iCs/>
                <w:color w:val="000000"/>
              </w:rPr>
              <w:t xml:space="preserve">) </w:t>
            </w:r>
            <w:r>
              <w:rPr>
                <w:b/>
                <w:bCs/>
                <w:color w:val="000000"/>
              </w:rPr>
              <w:t xml:space="preserve">theo Giấy chứng nhận quyền sử dụng đất quyền sở hữu nhà ở và tài sản khác gắn liền với đất số: BP 690032, số vào sổ cấp GCN: CH 00385 do UBND quậ</w:t>
            </w:r>
            <w:r>
              <w:rPr>
                <w:color w:val="000000"/>
              </w:rPr>
              <w:t xml:space="preserve">n Thanh Xuân cấp ngày 09/9/2013 cho ông Nguyễn Văn Hợi và bà Trần Thị Hằng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Kim Giang, Quận Thanh Xuân,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103,42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none"/>
              </w:rPr>
            </w:pPr>
            <w:r>
              <w:rPr>
                <w:color w:val="000000"/>
              </w:rPr>
              <w:t xml:space="preserve">Sử dụng riêng</w:t>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30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028270" cy="234130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02550" name=""/>
                              <pic:cNvPicPr>
                                <a:picLocks noChangeAspect="1"/>
                              </pic:cNvPicPr>
                              <pic:nvPr/>
                            </pic:nvPicPr>
                            <pic:blipFill rotWithShape="1">
                              <a:blip r:embed="rId17"/>
                              <a:stretch/>
                            </pic:blipFill>
                            <pic:spPr bwMode="auto">
                              <a:xfrm flipH="0" flipV="0">
                                <a:off x="0" y="0"/>
                                <a:ext cx="5028269" cy="23413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5.93pt;height:184.3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7m (cả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7m (cả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Hoàng Đạo Thành khoảng 300m.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 Hướng Bắc: tiếp giáp đường ngõ;</w:t>
            </w:r>
            <w:r>
              <w:rPr>
                <w:highlight w:val="none"/>
              </w:rPr>
            </w:r>
            <w:r>
              <w:rPr>
                <w:highlight w:val="none"/>
              </w:rPr>
            </w:r>
          </w:p>
          <w:p>
            <w:pPr>
              <w:pBdr/>
              <w:spacing/>
              <w:ind/>
              <w:rPr>
                <w:color w:val="000000" w:themeColor="text1"/>
              </w:rPr>
            </w:pPr>
            <w:r>
              <w:rPr>
                <w:highlight w:val="none"/>
              </w:rPr>
              <w:t xml:space="preserve">+ Các hướng còn lại: tiếp giáp bất động sản liền kề.</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20.984611111111</w:t>
            </w:r>
            <w:r>
              <w:rPr>
                <w:color w:val="000000"/>
              </w:rPr>
              <w:t xml:space="preserve">, </w:t>
            </w:r>
            <w:r>
              <w:rPr>
                <w:color w:val="000000"/>
              </w:rPr>
              <w:t xml:space="preserve">105.81016666667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544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5447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49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103,42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10,61</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10,64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Theo khảo sát thực tế, tài sản trên đất là Công trình nhà 04 tầng, diện tích xây dựng 103,42m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w:t>
            </w:r>
            <w:r>
              <w:rPr>
                <w:rFonts w:ascii="Times New Roman" w:hAnsi="Times New Roman" w:eastAsia="Times New Roman" w:cs="Times New Roman"/>
                <w:color w:val="000000"/>
                <w:sz w:val="24"/>
              </w:rPr>
              <w:t xml:space="preserve">CTXD chưa được chứng nhận trên Giấy chứng nhận quyền sử dụng đất. Do vậy, theo yêu cầu của Ngân hàng/khách hàng, Tổ thẩm định không xác định giá trị của công trình xây dựng</w:t>
            </w:r>
            <w:r>
              <w:rPr>
                <w:rFonts w:ascii="Times New Roman" w:hAnsi="Times New Roman" w:eastAsia="Times New Roman" w:cs="Times New Roman"/>
                <w:color w:val="000000"/>
                <w:sz w:val="24"/>
              </w:rPr>
              <w:t xml:space="preserve">.</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Căn hộ 103- nhà B12, TT Kim Giang, phường Kim Giang, Thanh Xuân, Hà Nội</w:t>
            </w:r>
            <w:r/>
          </w:p>
        </w:tc>
        <w:tc>
          <w:tcPr>
            <w:tcBorders/>
            <w:tcW w:w="1605" w:type="dxa"/>
            <w:vAlign w:val="center"/>
            <w:textDirection w:val="lrTb"/>
            <w:noWrap w:val="false"/>
          </w:tcPr>
          <w:p>
            <w:pPr>
              <w:pBdr/>
              <w:spacing/>
              <w:ind/>
              <w:jc w:val="center"/>
              <w:rPr/>
            </w:pPr>
            <w:r>
              <w:rPr>
                <w:b w:val="0"/>
                <w:bCs w:val="0"/>
                <w:i w:val="0"/>
                <w:iCs w:val="0"/>
                <w:color w:val="000000"/>
              </w:rPr>
              <w:t xml:space="preserve">Số 20 ngõ 102 ngách 36 Hoàng Đạo Thành, phường Hạ Đình, thành phố Hà Nội</w:t>
            </w:r>
            <w:r>
              <w:rPr>
                <w:b w:val="0"/>
                <w:bCs w:val="0"/>
                <w:i w:val="0"/>
                <w:iCs w:val="0"/>
              </w:rPr>
              <w:t xml:space="preserve"> </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Kim Giang, Quận Thanh Xuân, Thành phố Hà Nội</w:t>
            </w:r>
            <w:r/>
          </w:p>
        </w:tc>
        <w:tc>
          <w:tcPr>
            <w:tcBorders/>
            <w:tcW w:w="1605" w:type="dxa"/>
            <w:vAlign w:val="center"/>
            <w:textDirection w:val="lrTb"/>
            <w:noWrap w:val="false"/>
          </w:tcPr>
          <w:p>
            <w:pPr>
              <w:pBdr/>
              <w:spacing/>
              <w:ind/>
              <w:jc w:val="center"/>
              <w:rPr/>
            </w:pPr>
            <w:r>
              <w:rPr>
                <w:b w:val="0"/>
                <w:bCs w:val="0"/>
                <w:i w:val="0"/>
                <w:iCs w:val="0"/>
                <w:color w:val="000000"/>
              </w:rPr>
              <w:t xml:space="preserve">Số 20 ngõ 102 ngách 36 Hoàng Đạo Thành, phường Hạ Đình, thành phố Hà Nội</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w:t>
            </w:r>
            <w:r/>
          </w:p>
        </w:tc>
        <w:tc>
          <w:tcPr>
            <w:tcBorders/>
            <w:tcW w:w="1605" w:type="dxa"/>
            <w:vAlign w:val="center"/>
            <w:textDirection w:val="lrTb"/>
            <w:noWrap w:val="false"/>
          </w:tcPr>
          <w:p>
            <w:pPr>
              <w:pBdr/>
              <w:spacing/>
              <w:ind/>
              <w:jc w:val="center"/>
              <w:rPr/>
            </w:pPr>
            <w:r>
              <w:t xml:space="preserve">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103.42 ✔</w:t>
            </w:r>
            <w:r/>
          </w:p>
        </w:tc>
        <w:tc>
          <w:tcPr>
            <w:tcBorders/>
            <w:tcW w:w="1605" w:type="dxa"/>
            <w:vAlign w:val="center"/>
            <w:textDirection w:val="lrTb"/>
            <w:noWrap w:val="false"/>
          </w:tcPr>
          <w:p>
            <w:pPr>
              <w:pBdr/>
              <w:spacing/>
              <w:ind/>
              <w:jc w:val="center"/>
              <w:rPr/>
            </w:pPr>
            <w:r>
              <w:t xml:space="preserve">103.42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10,61 ✔</w:t>
            </w:r>
            <w:r/>
          </w:p>
        </w:tc>
        <w:tc>
          <w:tcPr>
            <w:tcBorders/>
            <w:tcW w:w="1605" w:type="dxa"/>
            <w:vAlign w:val="center"/>
            <w:textDirection w:val="lrTb"/>
            <w:noWrap w:val="false"/>
          </w:tcPr>
          <w:p>
            <w:pPr>
              <w:pBdr/>
              <w:spacing/>
              <w:ind/>
              <w:jc w:val="center"/>
              <w:rPr/>
            </w:pPr>
            <w:r>
              <w:t xml:space="preserve">10,61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10,64✔</w:t>
            </w:r>
            <w:r/>
          </w:p>
        </w:tc>
        <w:tc>
          <w:tcPr>
            <w:tcBorders/>
            <w:tcW w:w="1605" w:type="dxa"/>
            <w:vAlign w:val="center"/>
            <w:textDirection w:val="lrTb"/>
            <w:noWrap w:val="false"/>
          </w:tcPr>
          <w:p>
            <w:pPr>
              <w:pBdr/>
              <w:spacing/>
              <w:ind/>
              <w:jc w:val="center"/>
              <w:rPr/>
            </w:pPr>
            <w:r>
              <w:t xml:space="preserve">10,64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 ✔</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 ✔</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992"/>
        <w:gridCol w:w="255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18"/>
        <w:gridCol w:w="1019"/>
        <w:gridCol w:w="2609"/>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1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0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18"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pPr>
            <w:r>
              <w:t xml:space="preserve">Không</w:t>
            </w: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Theo khảo sát thực tế, tài sản trên đất là Công trình nhà 04 tầng, d</w:t>
      </w:r>
      <w:r>
        <w:rPr>
          <w:rFonts w:ascii="Times New Roman" w:hAnsi="Times New Roman" w:eastAsia="Times New Roman" w:cs="Times New Roman"/>
          <w:color w:val="000000"/>
          <w:sz w:val="24"/>
        </w:rPr>
        <w:t xml:space="preserve">iện tích xây dựng 103,42m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Do vậy, theo yêu cầu của Ngân hàng/khách hàng, Tổ thẩm định không xác định giá t</w:t>
      </w:r>
      <w:r>
        <w:rPr>
          <w:rFonts w:ascii="Times New Roman" w:hAnsi="Times New Roman" w:eastAsia="Times New Roman" w:cs="Times New Roman"/>
          <w:color w:val="000000"/>
          <w:sz w:val="24"/>
        </w:rPr>
        <w:t xml:space="preserve">rị của công trình xây dựng, tuy nhiên, công trình xây dựng này là một phần không thể tách rời của tài sản thẩm định</w:t>
      </w:r>
      <w:r>
        <w:rPr>
          <w:rFonts w:ascii="Times New Roman" w:hAnsi="Times New Roman" w:eastAsia="Times New Roman" w:cs="Times New Roman"/>
          <w:color w:val="000000"/>
          <w:spacing w:val="-2"/>
          <w:sz w:val="24"/>
        </w:rPr>
        <w:t xml:space="preserve">.</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các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gridSpan w:val="2"/>
            <w:tcBorders>
              <w:top w:val="none" w:color="000000" w:sz="4" w:space="0"/>
              <w:left w:val="none" w:color="000000" w:sz="4" w:space="0"/>
              <w:bottom w:val="single" w:color="auto" w:sz="4" w:space="0"/>
              <w:right w:val="single" w:color="auto" w:sz="4" w:space="0"/>
            </w:tcBorders>
            <w:tcW w:w="3585"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Hạ Đình,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https://batdongsan.com.vn/ban-nha-rieng-duong-hoang-dao-thanh-phuong-ha-dinh-5/danh-cho-cac-sep-au-tu-tay-to-ao-thanh-xuan-197-m2-lo-goc-3-mat-tien-hang-fo-pr45206126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https://batdongsan.com.vn/ban-nha-rieng-duong-hoang-dao-thanh-phuong-ha-dinh-5/danh-cho-cac-sep-au-tu-tay-to-ao-thanh-xuan-197-m2-lo-goc-3-mat-tien-hang-fo-pr45206126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https://www.facebook.com/groups/1542753442755244/posts/2659627901067787/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0987.802199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0987.802199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0352.214433</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36/102 Hoàng Đạo Thành, cách đường Hoàng Đạo Thành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4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1.225.595.227</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1.286.644.293</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924.376.114</w:t>
            </w:r>
            <w:r>
              <w:rPr>
                <w:b/>
                <w:bCs/>
                <w:color w:val="000000" w:themeColor="text1"/>
                <w:sz w:val="22"/>
                <w:szCs w:val="22"/>
              </w:rPr>
            </w:r>
            <w:r>
              <w:rPr>
                <w:b/>
                <w:bCs/>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sz w:val="22"/>
                <w:szCs w:val="22"/>
              </w:rPr>
            </w:pPr>
            <w:r>
              <w:rPr>
                <w:i/>
                <w:iCs/>
                <w:color w:val="000000"/>
                <w:sz w:val="22"/>
                <w:szCs w:val="22"/>
              </w:rPr>
              <w:t xml:space="preserve">Số</w:t>
            </w:r>
            <w:r>
              <w:rPr>
                <w:i/>
                <w:iCs/>
                <w:color w:val="000000"/>
                <w:sz w:val="22"/>
                <w:szCs w:val="22"/>
              </w:rPr>
              <w:t xml:space="preserve"> </w:t>
            </w:r>
            <w:r>
              <w:rPr>
                <w:i/>
                <w:iCs/>
                <w:color w:val="000000"/>
                <w:sz w:val="22"/>
                <w:szCs w:val="22"/>
              </w:rPr>
              <w:t xml:space="preserve">tầng</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 </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04</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03</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04</w:t>
            </w:r>
            <w:r>
              <w:rPr>
                <w:bCs/>
                <w:i/>
                <w:color w:val="000000"/>
                <w:sz w:val="22"/>
                <w:szCs w:val="22"/>
              </w:rPr>
            </w:r>
            <w:r>
              <w:rPr>
                <w:bCs/>
                <w:i/>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sz w:val="22"/>
                <w:szCs w:val="22"/>
              </w:rPr>
            </w:pPr>
            <w:r>
              <w:rPr>
                <w:i/>
                <w:iCs/>
                <w:color w:val="000000"/>
                <w:sz w:val="22"/>
                <w:szCs w:val="22"/>
              </w:rPr>
              <w:t xml:space="preserve">Diện</w:t>
            </w:r>
            <w:r>
              <w:rPr>
                <w:i/>
                <w:iCs/>
                <w:color w:val="000000"/>
                <w:sz w:val="22"/>
                <w:szCs w:val="22"/>
              </w:rPr>
              <w:t xml:space="preserve"> </w:t>
            </w:r>
            <w:r>
              <w:rPr>
                <w:i/>
                <w:iCs/>
                <w:color w:val="000000"/>
                <w:sz w:val="22"/>
                <w:szCs w:val="22"/>
              </w:rPr>
              <w:t xml:space="preserve">tích</w:t>
            </w:r>
            <w:r>
              <w:rPr>
                <w:i/>
                <w:iCs/>
                <w:color w:val="000000"/>
                <w:sz w:val="22"/>
                <w:szCs w:val="22"/>
              </w:rPr>
              <w:t xml:space="preserve"> </w:t>
            </w:r>
            <w:r>
              <w:rPr>
                <w:i/>
                <w:iCs/>
                <w:color w:val="000000"/>
                <w:sz w:val="22"/>
                <w:szCs w:val="22"/>
              </w:rPr>
              <w:t xml:space="preserve">sàn</w:t>
            </w:r>
            <w:r>
              <w:rPr>
                <w:i/>
                <w:iCs/>
                <w:color w:val="000000"/>
                <w:sz w:val="22"/>
                <w:szCs w:val="22"/>
              </w:rPr>
              <w:t xml:space="preserve"> </w:t>
            </w:r>
            <w:r>
              <w:rPr>
                <w:i/>
                <w:iCs/>
                <w:color w:val="000000"/>
                <w:sz w:val="22"/>
                <w:szCs w:val="22"/>
              </w:rPr>
              <w:t xml:space="preserve">sử</w:t>
            </w:r>
            <w:r>
              <w:rPr>
                <w:i/>
                <w:iCs/>
                <w:color w:val="000000"/>
                <w:sz w:val="22"/>
                <w:szCs w:val="22"/>
              </w:rPr>
              <w:t xml:space="preserve"> </w:t>
            </w:r>
            <w:r>
              <w:rPr>
                <w:i/>
                <w:iCs/>
                <w:color w:val="000000"/>
                <w:sz w:val="22"/>
                <w:szCs w:val="22"/>
              </w:rPr>
              <w:t xml:space="preserve">dụng</w:t>
            </w:r>
            <w:r>
              <w:rPr>
                <w:i/>
                <w:iCs/>
                <w:color w:val="000000"/>
                <w:sz w:val="22"/>
                <w:szCs w:val="22"/>
              </w:rPr>
              <w:t xml:space="preserve"> (m²)</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t xml:space="preserve"> </w:t>
            </w:r>
            <w:r>
              <w:rPr>
                <w:i/>
                <w:iCs/>
                <w:color w:val="000000" w:themeColor="text1"/>
                <w:sz w:val="22"/>
                <w:szCs w:val="22"/>
              </w:rPr>
              <w:t xml:space="preserve"> </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307,6</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361,5</w:t>
            </w:r>
            <w:r>
              <w:rPr>
                <w:bCs/>
                <w:i/>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themeColor="text1"/>
                <w:sz w:val="22"/>
                <w:szCs w:val="22"/>
              </w:rPr>
              <w:t xml:space="preserve">232</w:t>
            </w:r>
            <w:r>
              <w:rPr>
                <w:bCs/>
                <w:i/>
                <w:color w:val="000000"/>
                <w:sz w:val="22"/>
                <w:szCs w:val="22"/>
              </w:rPr>
            </w:r>
            <w:r>
              <w:rPr>
                <w:bCs/>
                <w:i/>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rPr>
                <w:bCs/>
                <w:i/>
                <w:color w:val="000000"/>
                <w:sz w:val="22"/>
                <w:szCs w:val="22"/>
                <w14:ligatures w14:val="none"/>
              </w:rPr>
            </w:pPr>
            <w:r>
              <w:rPr>
                <w:i/>
                <w:iCs/>
                <w:color w:val="000000"/>
                <w:sz w:val="22"/>
                <w:szCs w:val="22"/>
              </w:rPr>
              <w:t xml:space="preserve">Đơn giá xây dựng theo Quyết định số 409/QĐ-BXD ngày 11/4/2025 của Bộ XD (đồng/m²)</w:t>
            </w:r>
            <w:r>
              <w:rPr>
                <w:i/>
                <w:iCs/>
                <w:color w:val="000000"/>
                <w:sz w:val="22"/>
                <w:szCs w:val="22"/>
                <w14:ligatures w14:val="none"/>
              </w:rPr>
            </w:r>
            <w:r>
              <w:rPr>
                <w:i/>
                <w:iCs/>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bCs/>
                <w:i/>
              </w:rPr>
            </w:pPr>
            <w:r>
              <w:rPr>
                <w:i/>
                <w:iCs/>
              </w:rPr>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6.640.633   </w:t>
            </w:r>
            <w:r>
              <w:rPr>
                <w:i/>
                <w:iCs/>
                <w:color w:val="000000" w:themeColor="text1"/>
                <w:sz w:val="22"/>
                <w:szCs w:val="22"/>
                <w14:ligatures w14:val="none"/>
              </w:rPr>
            </w:r>
            <w:r>
              <w:rPr>
                <w:i/>
                <w:iCs/>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7.118.364</w:t>
            </w:r>
            <w:r>
              <w:rPr>
                <w:i/>
                <w:iCs/>
                <w:color w:val="000000" w:themeColor="text1"/>
                <w:sz w:val="22"/>
                <w:szCs w:val="22"/>
                <w14:ligatures w14:val="none"/>
              </w:rPr>
            </w:r>
            <w:r>
              <w:rPr>
                <w:i/>
                <w:iCs/>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6.640.633</w:t>
            </w:r>
            <w:r>
              <w:rPr>
                <w:i/>
                <w:iCs/>
                <w:color w:val="000000" w:themeColor="text1"/>
                <w:sz w:val="22"/>
                <w:szCs w:val="22"/>
                <w14:ligatures w14:val="none"/>
              </w:rPr>
            </w:r>
            <w:r>
              <w:rPr>
                <w:i/>
                <w:iCs/>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sz w:val="22"/>
                <w:szCs w:val="22"/>
                <w14:ligatures w14:val="none"/>
              </w:rPr>
            </w:pPr>
            <w:r>
              <w:rPr>
                <w:i/>
                <w:iCs/>
                <w:color w:val="000000"/>
                <w:sz w:val="22"/>
                <w:szCs w:val="22"/>
              </w:rPr>
              <w:t xml:space="preserve">Tỷ lệ CLCL</w:t>
            </w:r>
            <w:r>
              <w:rPr>
                <w:i/>
                <w:iCs/>
                <w:color w:val="000000"/>
                <w:sz w:val="22"/>
                <w:szCs w:val="22"/>
                <w14:ligatures w14:val="none"/>
              </w:rPr>
            </w:r>
            <w:r>
              <w:rPr>
                <w:i/>
                <w:iCs/>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bCs/>
                <w:i/>
              </w:rPr>
            </w:pPr>
            <w:r>
              <w:rPr>
                <w:i/>
                <w:iCs/>
              </w:rPr>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60%</w:t>
            </w:r>
            <w:r>
              <w:rPr>
                <w:i/>
                <w:iCs/>
                <w:color w:val="000000" w:themeColor="text1"/>
                <w:sz w:val="22"/>
                <w:szCs w:val="22"/>
              </w:rPr>
            </w:r>
            <w:r>
              <w:rPr>
                <w:i/>
                <w:iCs/>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50%</w:t>
            </w:r>
            <w:r>
              <w:rPr>
                <w:i/>
                <w:iCs/>
                <w:color w:val="000000" w:themeColor="text1"/>
                <w:sz w:val="22"/>
                <w:szCs w:val="22"/>
              </w:rPr>
            </w:r>
            <w:r>
              <w:rPr>
                <w:i/>
                <w:iCs/>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14:ligatures w14:val="none"/>
              </w:rPr>
            </w:pPr>
            <w:r>
              <w:rPr>
                <w:i/>
                <w:iCs/>
                <w:color w:val="000000" w:themeColor="text1"/>
                <w:sz w:val="22"/>
                <w:szCs w:val="22"/>
              </w:rPr>
              <w:t xml:space="preserve">60%</w:t>
            </w:r>
            <w:r>
              <w:rPr>
                <w:i/>
                <w:iCs/>
                <w:color w:val="000000" w:themeColor="text1"/>
                <w:sz w:val="22"/>
                <w:szCs w:val="22"/>
              </w:rPr>
            </w:r>
            <w:r>
              <w:rPr>
                <w:i/>
                <w:iCs/>
                <w:color w:val="000000" w:themeColor="text1"/>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 </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19.537.404.773</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31.248.355.707</w:t>
            </w:r>
            <w:r>
              <w:rPr>
                <w:b/>
                <w:bCs/>
                <w:color w:val="000000" w:themeColor="text1"/>
                <w:sz w:val="22"/>
                <w:szCs w:val="22"/>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13.925.623.886</w:t>
            </w:r>
            <w:r>
              <w:rPr>
                <w:b/>
                <w:bCs/>
                <w:color w:val="000000" w:themeColor="text1"/>
                <w:sz w:val="22"/>
                <w:szCs w:val="22"/>
              </w:rPr>
            </w:r>
            <w:r>
              <w:rPr>
                <w:b/>
                <w:bCs/>
                <w:color w:val="000000" w:themeColor="text1"/>
                <w:sz w:val="22"/>
                <w:szCs w:val="22"/>
                <w14:ligatures w14:val="none"/>
              </w:rPr>
            </w:r>
          </w:p>
        </w:tc>
      </w:tr>
      <w:tr>
        <w:trPr>
          <w:trHeight w:val="46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254.062.481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259.322.454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240.096.964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45"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28"/>
        <w:gridCol w:w="1030"/>
        <w:gridCol w:w="1522"/>
        <w:gridCol w:w="1599"/>
        <w:gridCol w:w="1699"/>
        <w:gridCol w:w="170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0"/>
                <w:szCs w:val="20"/>
              </w:rPr>
            </w:pPr>
            <w:r>
              <w:rPr>
                <w:color w:val="000000" w:themeColor="text1"/>
                <w:sz w:val="22"/>
                <w:szCs w:val="22"/>
              </w:rPr>
              <w:t xml:space="preserve">19.537.404.773</w:t>
            </w:r>
            <w:r>
              <w:rPr>
                <w:color w:val="000000"/>
                <w:sz w:val="20"/>
                <w:szCs w:val="20"/>
              </w:rPr>
            </w:r>
            <w:r>
              <w:rPr>
                <w:color w:val="000000"/>
                <w:sz w:val="20"/>
                <w:szCs w:val="20"/>
              </w:rPr>
            </w:r>
          </w:p>
        </w:tc>
        <w:tc>
          <w:tcPr>
            <w:shd w:val="clear" w:color="000000" w:fill="ffffff"/>
            <w:tcBorders/>
            <w:tcW w:w="1699" w:type="dxa"/>
            <w:vAlign w:val="center"/>
            <w:textDirection w:val="lrTb"/>
            <w:noWrap w:val="false"/>
          </w:tcPr>
          <w:p>
            <w:pPr>
              <w:pBdr/>
              <w:spacing/>
              <w:ind/>
              <w:jc w:val="center"/>
              <w:rPr>
                <w:color w:val="000000"/>
                <w:sz w:val="20"/>
                <w:szCs w:val="20"/>
              </w:rPr>
            </w:pPr>
            <w:r>
              <w:rPr>
                <w:color w:val="000000" w:themeColor="text1"/>
                <w:sz w:val="22"/>
                <w:szCs w:val="22"/>
              </w:rPr>
              <w:t xml:space="preserve">31.248.355.707</w:t>
            </w:r>
            <w:r>
              <w:rPr>
                <w:color w:val="000000"/>
                <w:sz w:val="20"/>
                <w:szCs w:val="20"/>
              </w:rPr>
            </w:r>
            <w:r>
              <w:rPr>
                <w:color w:val="000000"/>
                <w:sz w:val="20"/>
                <w:szCs w:val="20"/>
              </w:rPr>
            </w:r>
          </w:p>
        </w:tc>
        <w:tc>
          <w:tcPr>
            <w:shd w:val="clear" w:color="000000" w:fill="ffffff"/>
            <w:tcBorders/>
            <w:tcW w:w="1702" w:type="dxa"/>
            <w:vAlign w:val="center"/>
            <w:textDirection w:val="lrTb"/>
            <w:noWrap w:val="false"/>
          </w:tcPr>
          <w:p>
            <w:pPr>
              <w:pBdr/>
              <w:spacing/>
              <w:ind/>
              <w:jc w:val="center"/>
              <w:rPr>
                <w:color w:val="000000"/>
                <w:sz w:val="20"/>
                <w:szCs w:val="20"/>
              </w:rPr>
            </w:pPr>
            <w:r>
              <w:rPr>
                <w:color w:val="000000" w:themeColor="text1"/>
                <w:sz w:val="22"/>
                <w:szCs w:val="22"/>
              </w:rPr>
              <w:t xml:space="preserve">13.925.623.886</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254.062.481</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259.322.454</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240.096.964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254.062.481</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259.322.454</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240.096.964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36/102 Hoàng Đạo Thành, cách đường Hoàng Đạo Thành khoảng 300m</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p>
        </w:tc>
        <w:tc>
          <w:tcPr>
            <w:shd w:val="clear" w:color="000000" w:fill="ffffff"/>
            <w:tcBorders/>
            <w:tcW w:w="1699"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p>
        </w:tc>
        <w:tc>
          <w:tcPr>
            <w:shd w:val="clear" w:color="000000" w:fill="ffffff"/>
            <w:tcBorders/>
            <w:tcW w:w="1702" w:type="dxa"/>
            <w:vAlign w:val="center"/>
            <w:textDirection w:val="lrTb"/>
            <w:noWrap w:val="false"/>
          </w:tcPr>
          <w:p>
            <w:pPr>
              <w:pBdr/>
              <w:spacing/>
              <w:ind/>
              <w:jc w:val="center"/>
              <w:rPr/>
            </w:pPr>
            <w:r>
              <w:rPr>
                <w:color w:val="000000" w:themeColor="text1"/>
                <w:sz w:val="22"/>
                <w:szCs w:val="22"/>
              </w:rPr>
              <w:t xml:space="preserve">Ngõ 58 Hoàng Đạo Thành, cách đường Hoàng Đạo Thành khoảng 200m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254.062.481</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259.322.454</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240.096.964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-7.621.874</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-7.779.674</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-7.202.909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246.440.607</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251.542.780</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232.894.055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pPr>
              <w:pBdr/>
              <w:spacing/>
              <w:ind/>
              <w:jc w:val="center"/>
              <w:rPr/>
            </w:pPr>
            <w:r/>
            <w:r>
              <w:rPr>
                <w:b/>
                <w:bCs/>
                <w:color w:val="000000" w:themeColor="text1"/>
                <w:sz w:val="22"/>
                <w:szCs w:val="22"/>
              </w:rPr>
              <w:t xml:space="preserve">(m²)</w:t>
            </w: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103,42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76,9</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120,5</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-38.109.372</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-36.014.545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208.331.235</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251.542.780</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196.879.510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10,61</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4,37</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17,15</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20.324.998</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-10.372.898</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19.207.757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228.656.233</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241.169.882</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216.087.267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-12.703.124</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-25.932.245</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-12.004.848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215.953.109</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215.237.637</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204.082.419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-20.324.998</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-20.745.796</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-19.207.757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195.628.111</w:t>
            </w:r>
            <w:r>
              <w:rPr>
                <w:color w:val="000000"/>
                <w:sz w:val="22"/>
                <w:szCs w:val="22"/>
              </w:rPr>
            </w:r>
            <w:r>
              <w:rPr>
                <w:color w:val="000000"/>
                <w:sz w:val="22"/>
                <w:szCs w:val="22"/>
              </w:rPr>
            </w:r>
          </w:p>
        </w:tc>
        <w:tc>
          <w:tcPr>
            <w:shd w:val="clear" w:color="000000" w:fill="ffffff"/>
            <w:tcBorders/>
            <w:tcW w:w="1699" w:type="dxa"/>
            <w:vAlign w:val="center"/>
            <w:textDirection w:val="lrTb"/>
            <w:noWrap/>
          </w:tcPr>
          <w:p>
            <w:pPr>
              <w:pBdr/>
              <w:spacing/>
              <w:ind/>
              <w:jc w:val="center"/>
              <w:rPr>
                <w:color w:val="000000"/>
                <w:sz w:val="22"/>
                <w:szCs w:val="22"/>
              </w:rPr>
            </w:pPr>
            <w:r>
              <w:rPr>
                <w:color w:val="000000" w:themeColor="text1"/>
                <w:sz w:val="22"/>
                <w:szCs w:val="22"/>
              </w:rPr>
              <w:t xml:space="preserve">194.491.841</w:t>
            </w:r>
            <w:r>
              <w:rPr>
                <w:color w:val="000000"/>
                <w:sz w:val="22"/>
                <w:szCs w:val="22"/>
              </w:rPr>
            </w:r>
            <w:r>
              <w:rPr>
                <w:color w:val="000000"/>
                <w:sz w:val="22"/>
                <w:szCs w:val="22"/>
              </w:rPr>
            </w:r>
          </w:p>
        </w:tc>
        <w:tc>
          <w:tcPr>
            <w:shd w:val="clear" w:color="000000" w:fill="ffffff"/>
            <w:tcBorders/>
            <w:tcW w:w="1702" w:type="dxa"/>
            <w:vAlign w:val="center"/>
            <w:textDirection w:val="lrTb"/>
            <w:noWrap/>
          </w:tcPr>
          <w:p>
            <w:pPr>
              <w:pBdr/>
              <w:spacing/>
              <w:ind/>
              <w:jc w:val="center"/>
              <w:rPr>
                <w:color w:val="000000"/>
                <w:sz w:val="22"/>
                <w:szCs w:val="22"/>
              </w:rPr>
            </w:pPr>
            <w:r>
              <w:rPr>
                <w:color w:val="000000" w:themeColor="text1"/>
                <w:sz w:val="22"/>
                <w:szCs w:val="22"/>
              </w:rPr>
              <w:t xml:space="preserve">184.874.662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28"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195.628.111</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194.491.841</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184.874.662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00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191.664.871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shd w:val="clear" w:color="000000" w:fill="ffffff"/>
            <w:tcBorders/>
            <w:tcW w:w="1699" w:type="dxa"/>
            <w:vAlign w:val="center"/>
            <w:textDirection w:val="lrTb"/>
            <w:noWrap w:val="false"/>
          </w:tcPr>
          <w:p>
            <w:pPr>
              <w:pBdr/>
              <w:spacing/>
              <w:ind/>
              <w:jc w:val="center"/>
              <w:rPr>
                <w:color w:val="000000"/>
                <w:sz w:val="22"/>
                <w:szCs w:val="22"/>
              </w:rPr>
            </w:pPr>
            <w:r>
              <w:rPr>
                <w:color w:val="000000" w:themeColor="text1"/>
                <w:sz w:val="22"/>
                <w:szCs w:val="22"/>
              </w:rPr>
              <w:t xml:space="preserve">1.47%</w:t>
            </w:r>
            <w:r>
              <w:rPr>
                <w:color w:val="000000"/>
                <w:sz w:val="22"/>
                <w:szCs w:val="22"/>
              </w:rPr>
            </w:r>
            <w:r>
              <w:rPr>
                <w:color w:val="000000"/>
                <w:sz w:val="22"/>
                <w:szCs w:val="22"/>
              </w:rPr>
            </w:r>
          </w:p>
        </w:tc>
        <w:tc>
          <w:tcPr>
            <w:shd w:val="clear" w:color="000000" w:fill="ffffff"/>
            <w:tcBorders/>
            <w:tcW w:w="1702" w:type="dxa"/>
            <w:vAlign w:val="center"/>
            <w:textDirection w:val="lrTb"/>
            <w:noWrap w:val="false"/>
          </w:tcPr>
          <w:p>
            <w:pPr>
              <w:pBdr/>
              <w:spacing/>
              <w:ind/>
              <w:jc w:val="center"/>
              <w:rPr>
                <w:color w:val="000000"/>
                <w:sz w:val="22"/>
                <w:szCs w:val="22"/>
              </w:rPr>
            </w:pPr>
            <w:r>
              <w:rPr>
                <w:color w:val="000000" w:themeColor="text1"/>
                <w:sz w:val="22"/>
                <w:szCs w:val="22"/>
              </w:rPr>
              <w:t xml:space="preserve">-3.54%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99.084.366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99" w:type="dxa"/>
            <w:vAlign w:val="center"/>
            <w:textDirection w:val="lrTb"/>
            <w:noWrap w:val="false"/>
          </w:tcPr>
          <w:p>
            <w:pPr>
              <w:pBdr/>
              <w:spacing/>
              <w:ind/>
              <w:jc w:val="center"/>
              <w:rPr>
                <w:b/>
                <w:bCs/>
                <w:color w:val="000000"/>
                <w:sz w:val="22"/>
                <w:szCs w:val="22"/>
              </w:rPr>
            </w:pPr>
            <w:r>
              <w:rPr>
                <w:color w:val="000000" w:themeColor="text1"/>
                <w:sz w:val="22"/>
                <w:szCs w:val="22"/>
              </w:rPr>
              <w:t xml:space="preserve">64.830.613</w:t>
            </w:r>
            <w:r>
              <w:rPr>
                <w:b/>
                <w:bCs/>
                <w:color w:val="000000"/>
                <w:sz w:val="22"/>
                <w:szCs w:val="22"/>
              </w:rPr>
            </w:r>
            <w:r>
              <w:rPr>
                <w:b/>
                <w:bCs/>
                <w:color w:val="000000"/>
                <w:sz w:val="22"/>
                <w:szCs w:val="22"/>
              </w:rPr>
            </w:r>
          </w:p>
        </w:tc>
        <w:tc>
          <w:tcPr>
            <w:shd w:val="clear" w:color="000000" w:fill="ffffff"/>
            <w:tcBorders/>
            <w:tcW w:w="1702" w:type="dxa"/>
            <w:vAlign w:val="center"/>
            <w:textDirection w:val="lrTb"/>
            <w:noWrap w:val="false"/>
          </w:tcPr>
          <w:p>
            <w:pPr>
              <w:pBdr/>
              <w:spacing/>
              <w:ind/>
              <w:jc w:val="center"/>
              <w:rPr>
                <w:b/>
                <w:bCs/>
                <w:color w:val="000000"/>
                <w:sz w:val="22"/>
                <w:szCs w:val="22"/>
              </w:rPr>
            </w:pPr>
            <w:r>
              <w:rPr>
                <w:color w:val="000000" w:themeColor="text1"/>
                <w:sz w:val="22"/>
                <w:szCs w:val="22"/>
              </w:rPr>
              <w:t xml:space="preserve">93.637.816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699"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70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699"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70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58.434.370</w:t>
            </w:r>
            <w:r>
              <w:rPr>
                <w:sz w:val="22"/>
                <w:szCs w:val="22"/>
              </w:rPr>
            </w:r>
            <w:r>
              <w:rPr>
                <w:sz w:val="22"/>
                <w:szCs w:val="22"/>
              </w:rPr>
            </w:r>
          </w:p>
        </w:tc>
        <w:tc>
          <w:tcPr>
            <w:shd w:val="clear" w:color="000000" w:fill="ffffff"/>
            <w:tcBorders/>
            <w:tcW w:w="1699" w:type="dxa"/>
            <w:vAlign w:val="center"/>
            <w:textDirection w:val="lrTb"/>
            <w:noWrap/>
          </w:tcPr>
          <w:p>
            <w:pPr>
              <w:pBdr/>
              <w:spacing/>
              <w:ind/>
              <w:jc w:val="center"/>
              <w:rPr>
                <w:sz w:val="22"/>
                <w:szCs w:val="22"/>
              </w:rPr>
            </w:pPr>
            <w:r>
              <w:rPr>
                <w:color w:val="000000" w:themeColor="text1"/>
                <w:sz w:val="22"/>
                <w:szCs w:val="22"/>
              </w:rPr>
              <w:t xml:space="preserve">64.830.613</w:t>
            </w:r>
            <w:r>
              <w:rPr>
                <w:sz w:val="22"/>
                <w:szCs w:val="22"/>
              </w:rPr>
            </w:r>
            <w:r>
              <w:rPr>
                <w:sz w:val="22"/>
                <w:szCs w:val="22"/>
              </w:rPr>
            </w:r>
          </w:p>
        </w:tc>
        <w:tc>
          <w:tcPr>
            <w:shd w:val="clear" w:color="000000" w:fill="ffffff"/>
            <w:tcBorders/>
            <w:tcW w:w="1702" w:type="dxa"/>
            <w:vAlign w:val="center"/>
            <w:textDirection w:val="lrTb"/>
            <w:noWrap/>
          </w:tcPr>
          <w:p>
            <w:pPr>
              <w:pBdr/>
              <w:spacing/>
              <w:ind/>
              <w:jc w:val="center"/>
              <w:rPr>
                <w:sz w:val="22"/>
                <w:szCs w:val="22"/>
              </w:rPr>
            </w:pPr>
            <w:r>
              <w:rPr>
                <w:color w:val="000000" w:themeColor="text1"/>
                <w:sz w:val="22"/>
                <w:szCs w:val="22"/>
              </w:rPr>
              <w:t xml:space="preserve">55.222.302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-3,54</w:t>
      </w:r>
      <w:r>
        <w:t xml:space="preserve">% </w:t>
      </w:r>
      <w:r>
        <w:t xml:space="preserve">đến</w:t>
      </w:r>
      <w:r>
        <w:t xml:space="preserve"> </w:t>
      </w:r>
      <w:r>
        <w:t xml:space="preserve"> </w:t>
      </w:r>
      <w:r>
        <w:t xml:space="preserve">2,07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195.628.111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68.469.839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194.491.841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58.347.552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184.874.662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64.706.132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191.523.523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190.000.000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14" w:afterAutospacing="0" w:before="0" w:beforeAutospacing="0" w:line="240"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14" w:afterAutospacing="0" w:before="0" w:beforeAutospacing="0" w:line="240"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14" w:afterAutospacing="0" w:before="0" w:beforeAutospacing="0" w:line="240"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14" w:afterAutospacing="0" w:before="0" w:beforeAutospacing="0" w:line="240"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14" w:afterAutospacing="0" w:before="0" w:beforeAutospacing="0" w:line="240"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14" w:afterAutospacing="0" w:before="0" w:beforeAutospacing="0" w:line="240"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14" w:afterAutospacing="0" w:before="0" w:beforeAutospacing="0" w:line="240" w:lineRule="auto"/>
              <w:ind/>
              <w:jc w:val="both"/>
              <w:rPr>
                <w:b/>
                <w:bCs/>
              </w:rPr>
            </w:pPr>
            <w:r>
              <w:rPr>
                <w:b/>
                <w:bCs/>
                <w:color w:val="000000"/>
              </w:rPr>
            </w:r>
            <w:r>
              <w:rPr>
                <w:b/>
                <w:bCs/>
                <w:color w:val="000000"/>
              </w:rPr>
              <w:t xml:space="preserve">Giá trị quyền sử dụng đất tại địa chỉ: Căn hộ 103 - Nhà B12 – TT Kim Giang, phường Kim Giang, quận Thanh Xuân, TP Hà Nội </w:t>
            </w:r>
            <w:r>
              <w:rPr>
                <w:b/>
                <w:bCs/>
                <w:i/>
                <w:iCs/>
                <w:color w:val="000000"/>
              </w:rPr>
              <w:t xml:space="preserve">(</w:t>
            </w:r>
            <w:r>
              <w:rPr>
                <w:b/>
                <w:bCs/>
                <w:i/>
                <w:iCs/>
                <w:color w:val="000000"/>
              </w:rPr>
              <w:t xml:space="preserve">Nay là Số 20 ngõ 102 ngách 36 Hoàng Đạo Thành, phường Hạ Đình, thành phố Hà Nội</w:t>
            </w:r>
            <w:r>
              <w:rPr>
                <w:b/>
                <w:bCs/>
                <w:i/>
                <w:iCs/>
                <w:color w:val="000000"/>
              </w:rPr>
              <w:t xml:space="preserve">) </w:t>
            </w:r>
            <w:r>
              <w:rPr>
                <w:b/>
                <w:bCs/>
                <w:color w:val="000000"/>
              </w:rPr>
              <w:t xml:space="preserve">theo Giấy chứng nhận quyền sử dụng đất quyền sở hữu nhà ở và tài sản khác gắn liền với đất số: BP 690032, số vào sổ cấp GCN: CH 00385 do UBND quận Thanh Xuân cấp ngày 09/9/2013 cho ông Nguyễn Văn Hợi và bà Trần Thị Hằng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14" w:afterAutospacing="0" w:before="0" w:beforeAutospacing="0" w:line="240" w:lineRule="auto"/>
              <w:ind/>
              <w:jc w:val="right"/>
              <w:rPr>
                <w:b/>
                <w:bCs/>
              </w:rPr>
            </w:pPr>
            <w:r>
              <w:rPr>
                <w:b/>
                <w:bCs/>
              </w:rPr>
              <w:t xml:space="preserve"> </w:t>
            </w:r>
            <w:r>
              <w:rPr>
                <w:b/>
                <w:bCs/>
              </w:rPr>
            </w:r>
            <w:r>
              <w:rPr>
                <w:b/>
                <w:bCs/>
              </w:rPr>
            </w:r>
          </w:p>
        </w:tc>
      </w:tr>
      <w:tr>
        <w:trPr>
          <w:trHeight w:val="523"/>
        </w:trPr>
        <w:tc>
          <w:tcPr>
            <w:shd w:val="clear" w:color="000000" w:fill="ffffff"/>
            <w:tcBorders/>
            <w:tcW w:w="500" w:type="pct"/>
            <w:vAlign w:val="center"/>
            <w:textDirection w:val="lrTb"/>
            <w:noWrap w:val="false"/>
          </w:tcPr>
          <w:p>
            <w:pPr>
              <w:pBdr/>
              <w:spacing w:after="14" w:afterAutospacing="0" w:before="0" w:beforeAutospacing="0" w:line="240"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pPr>
              <w:pBdr/>
              <w:spacing w:after="14" w:afterAutospacing="0" w:before="0" w:beforeAutospacing="0" w:line="240"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14" w:afterAutospacing="0" w:before="0" w:beforeAutospacing="0" w:line="240" w:lineRule="auto"/>
              <w:ind/>
              <w:jc w:val="center"/>
              <w:rPr>
                <w:color w:val="000000"/>
              </w:rPr>
            </w:pPr>
            <w:r>
              <w:rPr>
                <w:color w:val="000000" w:themeColor="text1"/>
              </w:rPr>
              <w:t xml:space="preserve">103,42</w:t>
            </w:r>
            <w:r>
              <w:rPr>
                <w:color w:val="000000"/>
              </w:rPr>
            </w:r>
            <w:r>
              <w:rPr>
                <w:color w:val="000000"/>
              </w:rPr>
            </w:r>
          </w:p>
        </w:tc>
        <w:tc>
          <w:tcPr>
            <w:shd w:val="clear" w:color="000000" w:fill="ffffff"/>
            <w:tcBorders/>
            <w:tcW w:w="1355" w:type="pct"/>
            <w:vAlign w:val="center"/>
            <w:textDirection w:val="lrTb"/>
            <w:noWrap w:val="false"/>
          </w:tcPr>
          <w:p>
            <w:pPr>
              <w:pBdr/>
              <w:spacing w:after="14" w:afterAutospacing="0" w:before="0" w:beforeAutospacing="0" w:line="240" w:lineRule="auto"/>
              <w:ind/>
              <w:jc w:val="center"/>
              <w:rPr/>
            </w:pPr>
            <w:r>
              <w:rPr>
                <w:color w:val="000000" w:themeColor="text1"/>
              </w:rPr>
              <w:t xml:space="preserve">190.000.000</w:t>
            </w:r>
            <w:r/>
          </w:p>
        </w:tc>
        <w:tc>
          <w:tcPr>
            <w:shd w:val="clear" w:color="000000" w:fill="ffffff"/>
            <w:tcBorders/>
            <w:tcW w:w="1136" w:type="pct"/>
            <w:vAlign w:val="center"/>
            <w:textDirection w:val="lrTb"/>
            <w:noWrap w:val="false"/>
          </w:tcPr>
          <w:p>
            <w:pPr>
              <w:pBdr/>
              <w:spacing w:after="14" w:afterAutospacing="0" w:before="0" w:beforeAutospacing="0" w:line="240" w:lineRule="auto"/>
              <w:ind/>
              <w:jc w:val="right"/>
              <w:rPr/>
            </w:pPr>
            <w:r>
              <w:rPr>
                <w:color w:val="000000" w:themeColor="text1"/>
              </w:rPr>
              <w:t xml:space="preserve">19.649.800.000</w:t>
            </w:r>
            <w:r/>
          </w:p>
        </w:tc>
      </w:tr>
      <w:tr>
        <w:trPr>
          <w:trHeight w:val="20"/>
        </w:trPr>
        <w:tc>
          <w:tcPr>
            <w:gridSpan w:val="4"/>
            <w:tcBorders/>
            <w:tcW w:w="3864" w:type="pct"/>
            <w:vAlign w:val="center"/>
            <w:textDirection w:val="lrTb"/>
            <w:noWrap/>
          </w:tcPr>
          <w:p>
            <w:pPr>
              <w:pBdr/>
              <w:spacing w:after="14" w:afterAutospacing="0" w:before="0" w:beforeAutospacing="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14" w:afterAutospacing="0" w:before="0" w:beforeAutospacing="0" w:line="240" w:lineRule="auto"/>
              <w:ind/>
              <w:jc w:val="right"/>
              <w:rPr>
                <w:b/>
                <w:bCs/>
                <w:color w:val="000000"/>
              </w:rPr>
            </w:pPr>
            <w:r>
              <w:t xml:space="preserve">19.649.800.000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14" w:afterAutospacing="0" w:before="0" w:beforeAutospacing="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14" w:afterAutospacing="0" w:before="0" w:beforeAutospacing="0" w:line="240" w:lineRule="auto"/>
              <w:ind/>
              <w:jc w:val="right"/>
              <w:rPr>
                <w:b/>
                <w:bCs/>
                <w:color w:val="000000"/>
              </w:rPr>
            </w:pPr>
            <w:r>
              <w:rPr>
                <w:b/>
                <w:bCs/>
                <w:color w:val="000000"/>
              </w:rPr>
              <w:t xml:space="preserve">19.650.000.000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14" w:afterAutospacing="0" w:before="0" w:beforeAutospacing="0" w:line="240"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chín tỷ, sáu trăm năm mươi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69"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69"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khảo sát thực tế, tài sản trên đất là Công trình nhà 04 tầng, d</w:t>
      </w:r>
      <w:r>
        <w:rPr>
          <w:rFonts w:ascii="Times New Roman" w:hAnsi="Times New Roman" w:eastAsia="Times New Roman" w:cs="Times New Roman"/>
          <w:color w:val="000000"/>
          <w:sz w:val="24"/>
        </w:rPr>
        <w:t xml:space="preserve">iện tích xây dựng 103,42m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có kết cấu tường gạch, mái bằng BTCT đã hoàn thiện và đang được sử dụng bình thường. CTXD chưa được chứng nhận trên Giấy chứng nhận quyền sử dụng đất. Do vậy, theo yêu cầu của Ngân hàng/khách hàng, Tổ thẩm định không xác định giá t</w:t>
      </w:r>
      <w:r>
        <w:rPr>
          <w:rFonts w:ascii="Times New Roman" w:hAnsi="Times New Roman" w:eastAsia="Times New Roman" w:cs="Times New Roman"/>
          <w:color w:val="000000"/>
          <w:sz w:val="24"/>
        </w:rPr>
        <w:t xml:space="preserve">rị của công trình xây dựng, tuy nhiên, công trình xây dựng trên là phần không thể tách rời của tài sản thẩm định</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rFonts w:ascii="Times New Roman" w:hAnsi="Times New Roman" w:eastAsia="Times New Roman" w:cs="Times New Roman"/>
          <w:sz w:val="24"/>
        </w:rPr>
      </w:r>
      <w:r>
        <w:rPr>
          <w:rFonts w:ascii="Times New Roman" w:hAnsi="Times New Roman" w:eastAsia="Times New Roman" w:cs="Times New Roman"/>
          <w:sz w:val="24"/>
        </w:rPr>
      </w:r>
    </w:p>
    <w:p>
      <w:pPr>
        <w:pStyle w:val="1035"/>
        <w:numPr>
          <w:ilvl w:val="0"/>
          <w:numId w:val="5"/>
        </w:numPr>
        <w:pBdr/>
        <w:tabs>
          <w:tab w:val="left" w:leader="none" w:pos="993"/>
        </w:tabs>
        <w:spacing w:after="120" w:before="120" w:line="269"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69"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69"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69"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275/2026/0376/VFI-CT.24.A</w:t>
      </w:r>
      <w:r>
        <w:rPr>
          <w:color w:val="ff0000"/>
          <w:lang w:val="vi-VN"/>
        </w:rPr>
        <w:t xml:space="preserve"> </w:t>
      </w:r>
      <w:r>
        <w:rPr>
          <w:color w:val="000000" w:themeColor="text1"/>
        </w:rPr>
        <w:t xml:space="preserve">ngày 10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275/2026/0376/VFI-BC.24.A</w:t>
      </w:r>
      <w:r>
        <w:rPr>
          <w:i/>
          <w:lang w:val="pt-BR"/>
        </w:rPr>
        <w:t xml:space="preserve"> </w:t>
      </w:r>
      <w:r>
        <w:rPr>
          <w:i/>
          <w:lang w:val="pt-BR"/>
        </w:rPr>
        <w:t xml:space="preserve">ngày 10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76858" cy="319986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50984" name=""/>
                              <pic:cNvPicPr>
                                <a:picLocks noChangeAspect="1"/>
                              </pic:cNvPicPr>
                              <pic:nvPr/>
                            </pic:nvPicPr>
                            <pic:blipFill rotWithShape="1">
                              <a:blip r:embed="rId19"/>
                              <a:stretch/>
                            </pic:blipFill>
                            <pic:spPr bwMode="auto">
                              <a:xfrm rot="0" flipH="0" flipV="0">
                                <a:off x="0" y="0"/>
                                <a:ext cx="1476858" cy="3199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6.29pt;height:251.96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74877" cy="215615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44876" name=""/>
                              <pic:cNvPicPr>
                                <a:picLocks noChangeAspect="1"/>
                              </pic:cNvPicPr>
                              <pic:nvPr/>
                            </pic:nvPicPr>
                            <pic:blipFill rotWithShape="1">
                              <a:blip r:embed="rId20"/>
                              <a:stretch/>
                            </pic:blipFill>
                            <pic:spPr bwMode="auto">
                              <a:xfrm rot="0" flipH="0" flipV="0">
                                <a:off x="0" y="0"/>
                                <a:ext cx="2874877" cy="2156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37pt;height:169.7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688644049" name="" descr=""/>
                              <pic:cNvPicPr/>
                              <pic:nvPr/>
                            </pic:nvPicPr>
                            <pic:blipFill rotWithShape="1">
                              <a:blip r:embed="rId21"/>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87355" cy="209051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71773" name=""/>
                              <pic:cNvPicPr>
                                <a:picLocks noChangeAspect="1"/>
                              </pic:cNvPicPr>
                              <pic:nvPr/>
                            </pic:nvPicPr>
                            <pic:blipFill rotWithShape="1">
                              <a:blip r:embed="rId22"/>
                              <a:stretch/>
                            </pic:blipFill>
                            <pic:spPr bwMode="auto">
                              <a:xfrm rot="0" flipH="0" flipV="0">
                                <a:off x="0" y="0"/>
                                <a:ext cx="2787354" cy="2090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48pt;height:164.61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b/>
                <w:bCs/>
                <w:i/>
                <w:lang w:val="pt-BR"/>
              </w:rPr>
              <mc:AlternateContent>
                <mc:Choice Requires="wpg">
                  <w:drawing>
                    <wp:inline xmlns:wp="http://schemas.openxmlformats.org/drawingml/2006/wordprocessingDrawing" distT="0" distB="0" distL="0" distR="0">
                      <wp:extent cx="2898730" cy="21740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35557" name=""/>
                              <pic:cNvPicPr>
                                <a:picLocks noChangeAspect="1"/>
                              </pic:cNvPicPr>
                              <pic:nvPr/>
                            </pic:nvPicPr>
                            <pic:blipFill rotWithShape="1">
                              <a:blip r:embed="rId23"/>
                              <a:stretch/>
                            </pic:blipFill>
                            <pic:spPr bwMode="auto">
                              <a:xfrm rot="0" flipH="0" flipV="0">
                                <a:off x="0" y="0"/>
                                <a:ext cx="2898729" cy="2174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25pt;height:171.1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mc:AlternateContent>
                <mc:Choice Requires="wpg">
                  <w:drawing>
                    <wp:inline xmlns:wp="http://schemas.openxmlformats.org/drawingml/2006/wordprocessingDrawing" distT="0" distB="0" distL="0" distR="0">
                      <wp:extent cx="2956220" cy="22171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44283" name=""/>
                              <pic:cNvPicPr>
                                <a:picLocks noChangeAspect="1"/>
                              </pic:cNvPicPr>
                              <pic:nvPr/>
                            </pic:nvPicPr>
                            <pic:blipFill rotWithShape="1">
                              <a:blip r:embed="rId24"/>
                              <a:stretch/>
                            </pic:blipFill>
                            <pic:spPr bwMode="auto">
                              <a:xfrm rot="0" flipH="0" flipV="0">
                                <a:off x="0" y="0"/>
                                <a:ext cx="2956218" cy="2217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77pt;height:174.5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60685" cy="207051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62576" name=""/>
                              <pic:cNvPicPr>
                                <a:picLocks noChangeAspect="1"/>
                              </pic:cNvPicPr>
                              <pic:nvPr/>
                            </pic:nvPicPr>
                            <pic:blipFill rotWithShape="1">
                              <a:blip r:embed="rId25"/>
                              <a:stretch/>
                            </pic:blipFill>
                            <pic:spPr bwMode="auto">
                              <a:xfrm flipH="1" flipV="0">
                                <a:off x="0" y="0"/>
                                <a:ext cx="2760684" cy="207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7.38pt;height:163.03pt;mso-wrap-distance-left:0.00pt;mso-wrap-distance-top:0.00pt;mso-wrap-distance-right:0.00pt;mso-wrap-distance-bottom:0.00pt;flip:x;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13620" cy="211021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06563" name=""/>
                              <pic:cNvPicPr>
                                <a:picLocks noChangeAspect="1"/>
                              </pic:cNvPicPr>
                              <pic:nvPr/>
                            </pic:nvPicPr>
                            <pic:blipFill rotWithShape="1">
                              <a:blip r:embed="rId26"/>
                              <a:stretch/>
                            </pic:blipFill>
                            <pic:spPr bwMode="auto">
                              <a:xfrm flipH="0" flipV="0">
                                <a:off x="0" y="0"/>
                                <a:ext cx="2813619" cy="21102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54pt;height:166.1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275/2026/0376/VFI-BC.24.A</w:t>
      </w:r>
      <w:r>
        <w:rPr>
          <w:i/>
          <w:lang w:val="pt-BR"/>
        </w:rPr>
        <w:t xml:space="preserve"> ngày </w:t>
      </w:r>
      <w:r>
        <w:rPr>
          <w:i/>
          <w:lang w:val="pt-BR"/>
        </w:rPr>
        <w:t xml:space="preserve">10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https://batdongsan.com.vn/ban-nha-rieng-duong-hoang-dao-thanh-phuong-ha-dinh-5/danh-cho-cac-sep-au-tu-tay-to-ao-thanh-xuan-197-m2-lo-goc-3-mat-tien-hang-fo-pr45206126</w:t>
            </w:r>
            <w:r>
              <w:rPr>
                <w:color w:val="000000" w:themeColor="text1"/>
                <w:sz w:val="22"/>
                <w:szCs w:val="22"/>
              </w:rPr>
              <w:br/>
              <w:t xml:space="preserve">0987.802199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20.763.000.000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Ngõ 58 Hoàng Đạo Thành, cách đường Hoàng Đạo Thành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838941" cy="2757730"/>
                      <wp:effectExtent l="0" t="0" r="0" b="0"/>
                      <wp:docPr id="15" name=""/>
                      <wp:cNvGraphicFramePr/>
                      <a:graphic xmlns:a="http://schemas.openxmlformats.org/drawingml/2006/main">
                        <a:graphicData uri="http://schemas.openxmlformats.org/drawingml/2006/picture">
                          <pic:pic xmlns:pic="http://schemas.openxmlformats.org/drawingml/2006/picture">
                            <pic:nvPicPr>
                              <pic:cNvPr id="709165515" name="" descr=""/>
                              <pic:cNvPicPr/>
                              <pic:nvPr/>
                            </pic:nvPicPr>
                            <pic:blipFill rotWithShape="1">
                              <a:blip r:embed="rId27"/>
                              <a:stretch/>
                            </pic:blipFill>
                            <pic:spPr bwMode="auto">
                              <a:xfrm flipH="0" flipV="0">
                                <a:off x="0" y="0"/>
                                <a:ext cx="4838941" cy="27577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1.02pt;height:217.1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3269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4326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1.5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https://batdongsan.com.vn/ban-nha-rieng-duong-hoang-dao-thanh-phuong-ha-dinh-5/danh-cho-cac-sep-au-tu-tay-to-ao-thanh-xuan-197-m2-lo-goc-3-mat-tien-hang-fo-pr45206126</w:t>
            </w:r>
            <w:r>
              <w:rPr>
                <w:color w:val="000000" w:themeColor="text1"/>
                <w:sz w:val="22"/>
                <w:szCs w:val="22"/>
              </w:rPr>
              <w:br/>
              <w:t xml:space="preserve">0987.802199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Ngõ 58 Hoàng Đạo Thành, cách đường Hoàng Đạo Thành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049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9049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86.2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014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201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2.29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https://www.facebook.com/groups/1542753442755244/posts/2659627901067787/</w:t>
            </w:r>
            <w:r>
              <w:rPr>
                <w:color w:val="000000" w:themeColor="text1"/>
                <w:sz w:val="22"/>
                <w:szCs w:val="22"/>
              </w:rPr>
              <w:br/>
            </w:r>
            <w:r>
              <w:rPr>
                <w:sz w:val="22"/>
                <w:szCs w:val="22"/>
              </w:rPr>
              <w:t xml:space="preserve">SĐT: </w:t>
            </w:r>
            <w:r>
              <w:rPr>
                <w:color w:val="000000" w:themeColor="text1"/>
                <w:sz w:val="22"/>
                <w:szCs w:val="22"/>
              </w:rPr>
              <w:t xml:space="preserve">0352.214433</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Ngõ 58 Hoàng Đạo Thành, cách đường Hoàng Đạo Thành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96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3796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4.8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 </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3E813A6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E0B151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E813A6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E0B151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2026-03-11T07:28:19Z</dcterms:modified>
</cp:coreProperties>
</file>