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941355" cy="3068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941354" cy="3068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275/2026/0372VFI-CT.17.A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THẾ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362 tờ bản đồ số: 28 có địa chỉ: Xã Ngọc Thanh, thành phố Phúc Yên, tỉnh Vĩnh Phúc (nay là phường Xuân Hoà, </w:t>
                            </w:r>
                            <w:r>
                              <w:rPr>
                                <w:color w:val="000000"/>
                              </w:rPr>
                              <w:t xml:space="preserve">tỉnh Vĩnh Phúc) theo 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7.82pt;height:241.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275/2026/0372VFI-CT.17.A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THẾ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362 tờ bản đồ số: 28 có địa chỉ: Xã Ngọc Thanh, thành phố Phúc Yên, tỉnh Vĩnh Phúc (nay là phường Xuân Hoà, </w:t>
                      </w:r>
                      <w:r>
                        <w:rPr>
                          <w:color w:val="000000"/>
                        </w:rPr>
                        <w:t xml:space="preserve">tỉnh Vĩnh Phúc) theo 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17"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179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2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70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275/2026/0372VFI-CT.17.A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8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09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THẾ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275/2026/0372/VFI-HĐTĐ.17.A</w:t>
      </w:r>
      <w:r>
        <w:rPr>
          <w:spacing w:val="-4"/>
          <w:lang w:val="vi-VN"/>
        </w:rPr>
        <w:t xml:space="preserve"> ký ngày </w:t>
      </w:r>
      <w:r>
        <w:rPr>
          <w:color w:val="000000" w:themeColor="text1"/>
          <w:spacing w:val="-4"/>
        </w:rPr>
        <w:t xml:space="preserve">6 tháng 3 năm 2026</w:t>
      </w:r>
      <w:r>
        <w:rPr>
          <w:spacing w:val="-4"/>
          <w:lang w:val="vi-VN"/>
        </w:rPr>
        <w:t xml:space="preserve"> </w:t>
      </w:r>
      <w:r>
        <w:rPr>
          <w:spacing w:val="-4"/>
          <w:lang w:val="vi-VN"/>
        </w:rPr>
        <w:t xml:space="preserve">giữa </w:t>
      </w:r>
      <w:r>
        <w:rPr>
          <w:bCs/>
        </w:rPr>
        <w:t xml:space="preserve">ông Nguyễn Thế Phương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275/2026/0372/VFI-BC.17.A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4939" w:type="pct"/>
        <w:tblBorders/>
        <w:tblLayout w:type="fixed"/>
        <w:tblLook w:val="04A0" w:firstRow="1" w:lastRow="0" w:firstColumn="1" w:lastColumn="0" w:noHBand="0" w:noVBand="1"/>
      </w:tblPr>
      <w:tblGrid>
        <w:gridCol w:w="1890"/>
        <w:gridCol w:w="491"/>
        <w:gridCol w:w="7398"/>
      </w:tblGrid>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THẾ PHƯƠNG</w:t>
            </w:r>
            <w:r>
              <w:rPr>
                <w:b/>
                <w:bCs/>
              </w:rPr>
            </w: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026082006770</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08/02/1982</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TDP Vĩnh Thịnh 3, phường Tích Sơn, thành phố Vĩnh Yên, tỉnh Vĩnh Phúc</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813" w:type="dxa"/>
        <w:tblBorders/>
        <w:tblLayout w:type="fixed"/>
        <w:tblLook w:val="04A0" w:firstRow="1" w:lastRow="0" w:firstColumn="1" w:lastColumn="0" w:noHBand="0" w:noVBand="1"/>
      </w:tblPr>
      <w:tblGrid>
        <w:gridCol w:w="1946"/>
        <w:gridCol w:w="289"/>
        <w:gridCol w:w="7578"/>
      </w:tblGrid>
      <w:tr>
        <w:trPr>
          <w:trHeight w:val="20"/>
        </w:trPr>
        <w:tc>
          <w:tcPr>
            <w:tcBorders/>
            <w:tcW w:w="1946"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46"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46"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578"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46"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46"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46"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46"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78"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46"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78"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362 tờ bản đồ số: 28 có địa chỉ: Xã Ngọc Thanh, thành phố Phúc Yên, tỉnh Vĩnh Phúc (nay là phường Xuân Hoà, </w:t>
      </w:r>
      <w:r>
        <w:rPr>
          <w:color w:val="000000" w:themeColor="text1"/>
        </w:rPr>
        <w:t xml:space="preserve">tỉnh Vĩnh Phúc) theo 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Ind w:w="-342" w:type="dxa"/>
        <w:tblW w:w="518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4"/>
        <w:gridCol w:w="3708"/>
        <w:gridCol w:w="1710"/>
        <w:gridCol w:w="2160"/>
        <w:gridCol w:w="2087"/>
      </w:tblGrid>
      <w:tr>
        <w:trPr>
          <w:trHeight w:val="20"/>
        </w:trPr>
        <w:tc>
          <w:tcPr>
            <w:shd w:val="clear" w:color="000000" w:fill="ffffff"/>
            <w:tcBorders/>
            <w:tcW w:w="594"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70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1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6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087"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94"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57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362 tờ bản đồ số: 28 có địa chỉ: Xã Ngọc Thanh, thành phố Phúc Yên, tỉnh Vĩnh Phúc (nay là phường Xuân Hoà, </w:t>
            </w:r>
            <w:r>
              <w:rPr>
                <w:color w:val="000000"/>
              </w:rPr>
              <w:t xml:space="preserve">tỉnh Vĩnh Phúc) theo 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b/>
                <w:bCs/>
              </w:rPr>
              <w:t xml:space="preserve">.</w:t>
            </w:r>
            <w:r>
              <w:rPr>
                <w:b/>
                <w:bCs/>
              </w:rPr>
            </w:r>
            <w:r>
              <w:rPr>
                <w:b/>
                <w:bCs/>
              </w:rPr>
            </w:r>
          </w:p>
        </w:tc>
        <w:tc>
          <w:tcPr>
            <w:shd w:val="clear" w:color="000000" w:fill="ffffff"/>
            <w:tcBorders/>
            <w:tcW w:w="208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4"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708" w:type="dxa"/>
            <w:vAlign w:val="center"/>
            <w:textDirection w:val="lrTb"/>
            <w:noWrap w:val="false"/>
          </w:tcPr>
          <w:p>
            <w:pPr>
              <w:pBdr/>
              <w:spacing w:after="40" w:before="40" w:line="288" w:lineRule="auto"/>
              <w:ind/>
              <w:jc w:val="both"/>
              <w:rPr>
                <w:b w:val="0"/>
                <w:bCs w:val="0"/>
                <w:sz w:val="23"/>
                <w:szCs w:val="23"/>
              </w:rPr>
            </w:pPr>
            <w:r>
              <w:rPr>
                <w:b w:val="0"/>
                <w:bCs w:val="0"/>
                <w:sz w:val="23"/>
                <w:szCs w:val="23"/>
              </w:rPr>
              <w:t xml:space="preserve">Đất hỗn hợp (Đất ở + Đất trồng CLN)</w:t>
            </w:r>
            <w:r>
              <w:rPr>
                <w:b w:val="0"/>
                <w:bCs w:val="0"/>
                <w:sz w:val="23"/>
                <w:szCs w:val="23"/>
              </w:rPr>
            </w:r>
            <w:r>
              <w:rPr>
                <w:b w:val="0"/>
                <w:bCs w:val="0"/>
                <w:sz w:val="23"/>
                <w:szCs w:val="23"/>
              </w:rPr>
            </w:r>
          </w:p>
        </w:tc>
        <w:tc>
          <w:tcPr>
            <w:tcBorders/>
            <w:tcW w:w="1710" w:type="dxa"/>
            <w:vAlign w:val="center"/>
            <w:textDirection w:val="lrTb"/>
            <w:noWrap/>
          </w:tcPr>
          <w:p>
            <w:pPr>
              <w:pBdr/>
              <w:spacing w:after="40" w:before="40" w:line="288" w:lineRule="auto"/>
              <w:ind/>
              <w:jc w:val="center"/>
              <w:rPr>
                <w:color w:val="000000"/>
              </w:rPr>
            </w:pPr>
            <w:r>
              <w:rPr>
                <w:color w:val="000000" w:themeColor="text1"/>
              </w:rPr>
              <w:t xml:space="preserve">268</w:t>
            </w:r>
            <w:r>
              <w:rPr>
                <w:color w:val="000000"/>
              </w:rPr>
            </w:r>
            <w:r>
              <w:rPr>
                <w:color w:val="000000"/>
              </w:rPr>
            </w:r>
          </w:p>
        </w:tc>
        <w:tc>
          <w:tcPr>
            <w:shd w:val="clear" w:color="000000" w:fill="ffffff"/>
            <w:tcBorders/>
            <w:tcW w:w="2160" w:type="dxa"/>
            <w:vAlign w:val="center"/>
            <w:textDirection w:val="lrTb"/>
            <w:noWrap w:val="false"/>
          </w:tcPr>
          <w:p>
            <w:pPr>
              <w:pBdr/>
              <w:spacing w:after="40" w:before="40" w:line="288" w:lineRule="auto"/>
              <w:ind/>
              <w:jc w:val="center"/>
              <w:rPr/>
            </w:pPr>
            <w:r>
              <w:rPr>
                <w:color w:val="000000" w:themeColor="text1"/>
              </w:rPr>
              <w:t xml:space="preserve">7.600.000</w:t>
            </w:r>
            <w:r/>
          </w:p>
        </w:tc>
        <w:tc>
          <w:tcPr>
            <w:shd w:val="clear" w:color="000000" w:fill="ffffff"/>
            <w:tcBorders/>
            <w:tcW w:w="2087" w:type="dxa"/>
            <w:vAlign w:val="center"/>
            <w:textDirection w:val="lrTb"/>
            <w:noWrap w:val="false"/>
          </w:tcPr>
          <w:p>
            <w:pPr>
              <w:pBdr/>
              <w:spacing w:after="40" w:before="40" w:line="288" w:lineRule="auto"/>
              <w:ind/>
              <w:jc w:val="center"/>
              <w:rPr>
                <w:b/>
                <w:bCs/>
                <w:color w:val="000000"/>
              </w:rPr>
            </w:pPr>
            <w:r>
              <w:t xml:space="preserve">2.036.800.000</w:t>
            </w:r>
            <w:r>
              <w:rPr>
                <w:b/>
                <w:bCs/>
                <w:color w:val="000000"/>
              </w:rPr>
            </w:r>
            <w:r>
              <w:rPr>
                <w:b/>
                <w:bCs/>
                <w:color w:val="000000"/>
              </w:rPr>
            </w:r>
          </w:p>
        </w:tc>
      </w:tr>
      <w:tr>
        <w:trPr>
          <w:trHeight w:val="20"/>
        </w:trPr>
        <w:tc>
          <w:tcPr>
            <w:gridSpan w:val="4"/>
            <w:tcBorders/>
            <w:tcW w:w="817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87" w:type="dxa"/>
            <w:vAlign w:val="center"/>
            <w:textDirection w:val="lrTb"/>
            <w:noWrap/>
          </w:tcPr>
          <w:p>
            <w:pPr>
              <w:pBdr/>
              <w:spacing w:after="40" w:before="40" w:line="288" w:lineRule="auto"/>
              <w:ind/>
              <w:jc w:val="center"/>
              <w:rPr>
                <w:b/>
                <w:bCs/>
                <w:color w:val="000000"/>
              </w:rPr>
            </w:pPr>
            <w:r>
              <w:t xml:space="preserve">2.036.800.000</w:t>
            </w:r>
            <w:r>
              <w:rPr>
                <w:b/>
                <w:bCs/>
                <w:color w:val="000000"/>
              </w:rPr>
            </w:r>
            <w:r>
              <w:rPr>
                <w:b/>
                <w:bCs/>
                <w:color w:val="000000"/>
              </w:rPr>
            </w:r>
          </w:p>
        </w:tc>
      </w:tr>
      <w:tr>
        <w:trPr>
          <w:trHeight w:val="20"/>
        </w:trPr>
        <w:tc>
          <w:tcPr>
            <w:gridSpan w:val="4"/>
            <w:tcBorders/>
            <w:tcW w:w="817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87" w:type="dxa"/>
            <w:vAlign w:val="center"/>
            <w:textDirection w:val="lrTb"/>
            <w:noWrap/>
          </w:tcPr>
          <w:p>
            <w:pPr>
              <w:pBdr/>
              <w:spacing w:after="40" w:before="40" w:line="288" w:lineRule="auto"/>
              <w:ind/>
              <w:jc w:val="center"/>
              <w:rPr>
                <w:b/>
                <w:bCs/>
                <w:color w:val="000000"/>
              </w:rPr>
            </w:pPr>
            <w:r>
              <w:rPr>
                <w:b/>
                <w:bCs/>
                <w:color w:val="000000"/>
              </w:rPr>
              <w:t xml:space="preserve">2.037.000.000</w:t>
            </w:r>
            <w:r>
              <w:rPr>
                <w:b/>
                <w:bCs/>
                <w:color w:val="000000"/>
              </w:rPr>
            </w:r>
            <w:r>
              <w:rPr>
                <w:b/>
                <w:bCs/>
                <w:color w:val="000000"/>
              </w:rPr>
            </w:r>
          </w:p>
        </w:tc>
      </w:tr>
      <w:tr>
        <w:trPr>
          <w:trHeight w:val="20"/>
        </w:trPr>
        <w:tc>
          <w:tcPr>
            <w:gridSpan w:val="5"/>
            <w:tcBorders/>
            <w:tcW w:w="10259"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không trăm ba mươi bảy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428"/>
        <w:gridCol w:w="5490"/>
      </w:tblGrid>
      <w:tr>
        <w:trPr>
          <w:trHeight w:val="20"/>
        </w:trPr>
        <w:tc>
          <w:tcPr>
            <w:tcBorders/>
            <w:tcW w:w="442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49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49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49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74"/>
        <w:gridCol w:w="2024"/>
        <w:gridCol w:w="6228"/>
        <w:gridCol w:w="66"/>
      </w:tblGrid>
      <w:tr>
        <w:trPr>
          <w:trHeight w:val="1152"/>
        </w:trPr>
        <w:tc>
          <w:tcPr>
            <w:tcBorders/>
            <w:tcW w:w="1774"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1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79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275/2026/0372VFI-CT.17.A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2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09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275/2026/0372VFI-CT.17.A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09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28" w:type="dxa"/>
        <w:tblBorders/>
        <w:tblLayout w:type="fixed"/>
        <w:tblLook w:val="04A0" w:firstRow="1" w:lastRow="0" w:firstColumn="1" w:lastColumn="0" w:noHBand="0" w:noVBand="1"/>
      </w:tblPr>
      <w:tblGrid>
        <w:gridCol w:w="2088"/>
        <w:gridCol w:w="289"/>
        <w:gridCol w:w="7451"/>
      </w:tblGrid>
      <w:tr>
        <w:trPr>
          <w:trHeight w:val="20"/>
        </w:trPr>
        <w:tc>
          <w:tcPr>
            <w:tcBorders/>
            <w:tcW w:w="208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8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8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8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THẾ PHƯƠNG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026082006770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08/02/1982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TDP Vĩnh Thịnh 3, phường Tích Sơn, TP Vĩnh Yên, tỉnh Vĩnh Phúc</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362 tờ bản đồ số: 28 có địa chỉ: Xã Ngọc Thanh, thành phố Phúc Yên, tỉnh Vĩnh Phúc (nay là phường Xuân Hoà, </w:t>
            </w:r>
            <w:r>
              <w:rPr>
                <w:bCs/>
                <w:color w:val="000000" w:themeColor="text1"/>
                <w:lang w:val="pt-BR"/>
              </w:rPr>
              <w:t xml:space="preserve">tỉnh Vĩnh Phúc) theo 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Cs/>
                <w:color w:val="000000" w:themeColor="text1"/>
                <w:lang w:val="pt-BR"/>
              </w:rPr>
              <w:t xml:space="preserve">Xã Ngọc Thanh, thành phố Phúc Yên, tỉnh Vĩnh Phúc (nay là phường Xuân Hoà, </w:t>
            </w:r>
            <w:r>
              <w:rPr>
                <w:bCs/>
                <w:color w:val="000000" w:themeColor="text1"/>
                <w:lang w:val="pt-BR"/>
              </w:rPr>
              <w:t xml:space="preserve">tỉnh Vĩnh Phúc)</w:t>
            </w:r>
            <w:r>
              <w:rPr>
                <w:b/>
                <w:bCs/>
                <w:spacing w:val="2"/>
                <w:lang w:val="vi-VN"/>
              </w:rPr>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21.361167153121, 105.71229680338529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275/2026/0372/VFI-HĐTĐ.17.A ngày 06/03/2026 giữa ông Nguyễn Thế Phương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b/>
          <w:bCs/>
          <w:shd w:val="clear" w:color="auto" w:fill="ffffff"/>
        </w:rPr>
        <w:t xml:space="preserve">Thị trường bất động sản Vĩnh Yên (Phú Thọ) sở hữu lợi thế nổi bật về vị trí, hạ tầng, kinh tế và cảnh quan hồ Đầm Vạc, có nhiều cơ hội đầu tư và khả năng tăng trưởng trong</w:t>
      </w:r>
      <w:r>
        <w:rPr>
          <w:b/>
          <w:bCs/>
          <w:shd w:val="clear" w:color="auto" w:fill="ffffff"/>
        </w:rPr>
        <w:t xml:space="preserve"> dài hạn.</w:t>
        <w:br/>
        <w:t xml:space="preserve">Bức tranh thị trường.</w:t>
      </w:r>
      <w:r>
        <w:rPr>
          <w:iCs/>
        </w:rPr>
      </w:r>
      <w:r>
        <w:rPr>
          <w:iCs/>
        </w:rPr>
      </w:r>
    </w:p>
    <w:p>
      <w:pPr>
        <w:pBdr/>
        <w:tabs>
          <w:tab w:val="left" w:leader="none" w:pos="426"/>
        </w:tabs>
        <w:spacing w:after="120" w:before="120" w:line="276" w:lineRule="auto"/>
        <w:ind/>
        <w:jc w:val="both"/>
        <w:rPr/>
      </w:pPr>
      <w:r>
        <w:rPr>
          <w:shd w:val="clear" w:color="auto" w:fill="ffffff"/>
        </w:rPr>
      </w:r>
      <w:r>
        <w:rPr>
          <w:shd w:val="clear" w:color="auto" w:fill="ffffff"/>
        </w:rPr>
        <w:t xml:space="preserve">Mặc dù giá đất tại một số khu vực tăng 15-20% so với cùng kỳ năm trước, song lượng giao dịch lại sụt giảm đáng kể, nhất là trong phân khúc cao cấp. Diễn biến này phản ánh tâm lý thận trọng của nhà đầu tư, khi xu hướng quan s</w:t>
      </w:r>
      <w:r>
        <w:rPr>
          <w:shd w:val="clear" w:color="auto" w:fill="ffffff"/>
        </w:rPr>
        <w:t xml:space="preserve">át và chọn lọc dự án ngày càng rõ nét.</w:t>
      </w:r>
      <w:r/>
    </w:p>
    <w:p>
      <w:pPr>
        <w:pBdr/>
        <w:tabs>
          <w:tab w:val="left" w:leader="none" w:pos="426"/>
        </w:tabs>
        <w:spacing w:after="120" w:before="120" w:line="276" w:lineRule="auto"/>
        <w:ind/>
        <w:jc w:val="both"/>
        <w:rPr/>
      </w:pPr>
      <w:r>
        <w:rPr>
          <w:shd w:val="clear" w:color="auto" w:fill="ffffff"/>
        </w:rPr>
        <w:t xml:space="preserve">Dữ liệu từ Batdongsan.com.vn cho thấy, Vĩnh Phúc nằm trong nhóm các địa phương dẫn đầu cả nước về mức độ quan tâm đối với phân khúc đất nền, với mức tăng 68%. Tuy nhiên, thanh khoản có xu hướng giảm do tâm lý chờ đợi </w:t>
      </w:r>
      <w:r>
        <w:rPr>
          <w:shd w:val="clear" w:color="auto" w:fill="ffffff"/>
        </w:rPr>
        <w:t xml:space="preserve">chính sách mới. Nguồn cung dự án cao tầng, đồng bộ còn hạn chế, trong khi sản phẩm thấp tầng và đất nền chiếm tỷ trọng lớn.</w:t>
      </w:r>
      <w:r/>
    </w:p>
    <w:p>
      <w:pPr>
        <w:pBdr/>
        <w:tabs>
          <w:tab w:val="left" w:leader="none" w:pos="426"/>
        </w:tabs>
        <w:spacing w:after="120" w:before="120" w:line="276" w:lineRule="auto"/>
        <w:ind/>
        <w:jc w:val="both"/>
        <w:rPr/>
      </w:pPr>
      <w:r>
        <w:rPr>
          <w:shd w:val="clear" w:color="auto" w:fill="ffffff"/>
        </w:rPr>
        <w:t xml:space="preserve">Điều đó cho thấy, Vĩnh Yên đang bước vào giai đoạn bản lề - hội tụ lợi thế về vị trí, hạ tầng, song cần lực đẩy đủ mạnh để khơi thô</w:t>
      </w:r>
      <w:r>
        <w:rPr>
          <w:shd w:val="clear" w:color="auto" w:fill="ffffff"/>
        </w:rPr>
        <w:t xml:space="preserve">ng dòng vốn và củng cố niềm tin thị trường.</w:t>
      </w:r>
      <w:r/>
    </w:p>
    <w:p>
      <w:pPr>
        <w:pBdr/>
        <w:tabs>
          <w:tab w:val="left" w:leader="none" w:pos="426"/>
        </w:tabs>
        <w:spacing w:after="120" w:before="120" w:line="276" w:lineRule="auto"/>
        <w:ind/>
        <w:jc w:val="both"/>
        <w:rPr>
          <w:b/>
          <w:bCs/>
        </w:rPr>
      </w:pPr>
      <w:r>
        <w:rPr>
          <w:b/>
          <w:bCs/>
          <w:shd w:val="clear" w:color="auto" w:fill="ffffff"/>
        </w:rPr>
        <w:t xml:space="preserve">Cơ hội từ thách thức.</w:t>
      </w:r>
      <w:r>
        <w:rPr>
          <w:b/>
          <w:bCs/>
        </w:rPr>
      </w:r>
      <w:r>
        <w:rPr>
          <w:b/>
          <w:bCs/>
        </w:rPr>
      </w:r>
    </w:p>
    <w:p>
      <w:pPr>
        <w:pBdr/>
        <w:tabs>
          <w:tab w:val="left" w:leader="none" w:pos="426"/>
        </w:tabs>
        <w:spacing w:after="120" w:before="120" w:line="276" w:lineRule="auto"/>
        <w:ind/>
        <w:jc w:val="both"/>
        <w:rPr/>
      </w:pPr>
      <w:r>
        <w:rPr>
          <w:shd w:val="clear" w:color="auto" w:fill="ffffff"/>
        </w:rPr>
        <w:t xml:space="preserve">Trước bối cảnh thị trường đang trong giai đoạn điều chỉnh, nhu cầu về các sản phẩm có pháp lý minh bạch, chất lượng và vận hành chuyên nghiệp được chú trọng.</w:t>
      </w:r>
      <w:r/>
    </w:p>
    <w:p>
      <w:pPr>
        <w:pBdr/>
        <w:tabs>
          <w:tab w:val="left" w:leader="none" w:pos="426"/>
        </w:tabs>
        <w:spacing w:after="120" w:before="120" w:line="276" w:lineRule="auto"/>
        <w:ind/>
        <w:jc w:val="both"/>
        <w:rPr/>
      </w:pPr>
      <w:r>
        <w:rPr>
          <w:shd w:val="clear" w:color="auto" w:fill="ffffff"/>
        </w:rPr>
        <w:t xml:space="preserve">Theo UBND tỉnh Vĩnh Phúc, địa </w:t>
      </w:r>
      <w:r>
        <w:rPr>
          <w:shd w:val="clear" w:color="auto" w:fill="ffffff"/>
        </w:rPr>
        <w:t xml:space="preserve">phương dự kiến bố trí khoảng 1.200 tỷ đồng để khai thác và phát huy giá trị khu vực ven hồ Đầm Vạc - trung tâm cảnh quan xanh. Tỉnh đẩy mạnh đầu tư hạ tầng giao thông và thu hút nguồn vốn trong, ngoài nước. Giai đoạn 2021-2025, Vĩnh Phúc dự kiến đầu tư 19.</w:t>
      </w:r>
      <w:r>
        <w:rPr>
          <w:shd w:val="clear" w:color="auto" w:fill="ffffff"/>
        </w:rPr>
        <w:t xml:space="preserve">526 tỷ đồng phát triển hạ tầng đường bộ, trong đó nguồn vốn xã hội hóa chiếm hơn 67%.</w:t>
      </w:r>
      <w:r/>
    </w:p>
    <w:p>
      <w:pPr>
        <w:pBdr/>
        <w:tabs>
          <w:tab w:val="left" w:leader="none" w:pos="426"/>
        </w:tabs>
        <w:spacing w:after="120" w:before="120" w:line="276" w:lineRule="auto"/>
        <w:ind/>
        <w:jc w:val="both"/>
        <w:rPr/>
      </w:pPr>
      <w:r>
        <w:rPr>
          <w:shd w:val="clear" w:color="auto" w:fill="ffffff"/>
        </w:rPr>
        <w:t xml:space="preserve">Các dự án trọng điểm gồm tuyến đường sắt Lào Cai - Hà Nội - Hải Phòng, đường tránh Quốc lộ 2C kết nối Tuyên Quang và trục Đông - Tây kéo dài tới Vành đai 4 vùng Thủ đô. </w:t>
      </w:r>
      <w:r>
        <w:rPr>
          <w:shd w:val="clear" w:color="auto" w:fill="ffffff"/>
        </w:rPr>
        <w:t xml:space="preserve">Giai đoạn 2026-2030, tổng vốn đầu tư hạ tầng dự kiến vượt 38.000 tỷ đồng, tạo động lực lan tỏa cho phát triển kinh tế, du lịch và dịch vụ trên địa bàn.</w:t>
      </w:r>
      <w:r/>
    </w:p>
    <w:p>
      <w:pPr>
        <w:pBdr/>
        <w:tabs>
          <w:tab w:val="left" w:leader="none" w:pos="426"/>
        </w:tabs>
        <w:spacing w:after="120" w:before="120" w:line="276" w:lineRule="auto"/>
        <w:ind/>
        <w:jc w:val="both"/>
        <w:rPr/>
      </w:pPr>
      <w:r>
        <w:rPr>
          <w:shd w:val="clear" w:color="auto" w:fill="ffffff"/>
        </w:rPr>
        <w:t xml:space="preserve">Đến nay, Vĩnh Phúc đã thu hút hơn 4.200 tỷ đồng vốn đầu tư trong nước (vượt 40% chỉ tiêu HĐND tỉnh giao</w:t>
      </w:r>
      <w:r>
        <w:rPr>
          <w:shd w:val="clear" w:color="auto" w:fill="ffffff"/>
        </w:rPr>
        <w:t xml:space="preserve">) và khoảng 218 triệu USD vốn đầu tư nước ngoài, cho thấy sức hấp dẫn của môi trường đầu tư và hạ tầng ngày càng hoàn thiện.</w:t>
      </w:r>
      <w:r/>
    </w:p>
    <w:p>
      <w:pPr>
        <w:pBdr/>
        <w:tabs>
          <w:tab w:val="left" w:leader="none" w:pos="426"/>
        </w:tabs>
        <w:spacing w:after="120" w:before="120" w:line="276" w:lineRule="auto"/>
        <w:ind/>
        <w:jc w:val="both"/>
        <w:rPr/>
      </w:pPr>
      <w:r>
        <w:rPr>
          <w:shd w:val="clear" w:color="auto" w:fill="ffffff"/>
        </w:rPr>
        <w:t xml:space="preserve">Ngoài ra, khu vực ven hồ Đầm Vạc, nơi được ví như “lá phổi xanh” của Vĩnh Yên, đang trở thành tâm điểm quy hoạch đô thị với tiềm n</w:t>
      </w:r>
      <w:r>
        <w:rPr>
          <w:shd w:val="clear" w:color="auto" w:fill="ffffff"/>
        </w:rPr>
        <w:t xml:space="preserve">ăng sinh thái vượt trội. Theo báo cáo của Knight Frank, giá bất động sản hướng thủy có mức cao hơn trung bình 40% so với sản phẩm cùng quy mô, phản ánh xu hướng sống xanh và hướng thủy ngày càng được ưa chuộng.</w:t>
      </w:r>
      <w:r/>
    </w:p>
    <w:p>
      <w:pPr>
        <w:pBdr/>
        <w:tabs>
          <w:tab w:val="left" w:leader="none" w:pos="426"/>
        </w:tabs>
        <w:spacing w:after="120" w:before="120" w:line="276" w:lineRule="auto"/>
        <w:ind/>
        <w:jc w:val="both"/>
        <w:rPr/>
      </w:pPr>
      <w:r>
        <w:rPr>
          <w:shd w:val="clear" w:color="auto" w:fill="ffffff"/>
        </w:rPr>
        <w:t xml:space="preserve">Trong giai đoạn này, sự ra đời của dự án có q</w:t>
      </w:r>
      <w:r>
        <w:rPr>
          <w:shd w:val="clear" w:color="auto" w:fill="ffffff"/>
        </w:rPr>
        <w:t xml:space="preserve">uy hoạch hiện đại và vận hành chuyên nghiệp được xem là yếu tố để tái định vị hình ảnh thị trường bất động sản Vĩnh Yên.</w:t>
      </w:r>
      <w:r/>
    </w:p>
    <w:p>
      <w:pPr>
        <w:pBdr/>
        <w:tabs>
          <w:tab w:val="left" w:leader="none" w:pos="426"/>
        </w:tabs>
        <w:spacing w:after="120" w:before="120" w:line="276" w:lineRule="auto"/>
        <w:ind/>
        <w:jc w:val="both"/>
        <w:rPr>
          <w:b/>
          <w:bCs/>
        </w:rPr>
      </w:pPr>
      <w:r>
        <w:rPr>
          <w:b/>
          <w:bCs/>
          <w:shd w:val="clear" w:color="auto" w:fill="ffffff"/>
        </w:rPr>
        <w:t xml:space="preserve">Luxora Vĩnh Yên - Giải pháp chiến lược trong bối cảnh mới</w:t>
      </w:r>
      <w:r>
        <w:rPr>
          <w:b/>
          <w:bCs/>
        </w:rPr>
      </w:r>
      <w:r>
        <w:rPr>
          <w:b/>
          <w:bCs/>
        </w:rPr>
      </w:r>
    </w:p>
    <w:p>
      <w:pPr>
        <w:pBdr/>
        <w:tabs>
          <w:tab w:val="left" w:leader="none" w:pos="426"/>
        </w:tabs>
        <w:spacing w:after="120" w:before="120" w:line="276" w:lineRule="auto"/>
        <w:ind/>
        <w:jc w:val="both"/>
        <w:rPr/>
      </w:pPr>
      <w:r>
        <w:rPr>
          <w:shd w:val="clear" w:color="auto" w:fill="ffffff"/>
        </w:rPr>
        <w:t xml:space="preserve">Trước thực tế nguồn cung cao cấp ít sau nhiều năm trầm lắng, sự hiện diện c</w:t>
      </w:r>
      <w:r>
        <w:rPr>
          <w:shd w:val="clear" w:color="auto" w:fill="ffffff"/>
        </w:rPr>
        <w:t xml:space="preserve">ủa Luxora Vĩnh Yên là lời giải cho bài toán cân bằng cung - cầu, đáp ứng nhu cầu về không gian sống chuẩn mực và giá trị đầu tư bền vững. Dự án góp phần mở ra nguồn cung cao cấp còn ít tại Vĩnh Yên, với các căn hộ sang trọng và hệ thống tiện ích vượt trội.</w:t>
      </w:r>
      <w:r>
        <w:rPr>
          <w:shd w:val="clear" w:color="auto" w:fill="ffffff"/>
        </w:rPr>
      </w:r>
      <w:r/>
    </w:p>
    <w:p>
      <w:pPr>
        <w:pBdr/>
        <w:tabs>
          <w:tab w:val="left" w:leader="none" w:pos="426"/>
        </w:tabs>
        <w:spacing w:after="120" w:before="120" w:line="276" w:lineRule="auto"/>
        <w:ind/>
        <w:jc w:val="both"/>
        <w:rPr/>
      </w:pPr>
      <w:r>
        <w:rPr>
          <w:shd w:val="clear" w:color="auto" w:fill="ffffff"/>
        </w:rPr>
        <w:t xml:space="preserve">Tận dụng làn sóng đầu tư hạ tầng và kinh tế - xã hội đang lan tỏa tại địa phương, dự án sở hữu vị trí chiến lược trung tâm Vĩnh Yên, kết nối thuận tiện với Thủ đô Hà Nội qua cao tốc Nội Bài - Lào Cai, Vành đai 3.5 và Quốc lộ 2B mở rộng. Hệ thống giao thô</w:t>
      </w:r>
      <w:r>
        <w:rPr>
          <w:shd w:val="clear" w:color="auto" w:fill="ffffff"/>
        </w:rPr>
        <w:t xml:space="preserve">ng liên kết vùng đồng bộ tạo đòn bẩy phát triển kinh tế - du lịch - dịch vụ và nâng tầm giá trị bất động sản tại khu vực.</w:t>
      </w:r>
      <w:r/>
    </w:p>
    <w:p>
      <w:pPr>
        <w:pBdr/>
        <w:tabs>
          <w:tab w:val="left" w:leader="none" w:pos="426"/>
        </w:tabs>
        <w:spacing w:after="120" w:before="120" w:line="276" w:lineRule="auto"/>
        <w:ind/>
        <w:jc w:val="center"/>
        <w:rPr>
          <w:bCs/>
          <w:i/>
          <w:highlight w:val="none"/>
        </w:rPr>
      </w:pPr>
      <w:r>
        <w:rPr>
          <w:i/>
          <w:iCs/>
          <w:shd w:val="clear" w:color="auto" w:fill="ffffff"/>
        </w:rPr>
      </w:r>
      <w:r>
        <w:rPr>
          <w:i/>
          <w:iCs/>
          <w:shd w:val="clear" w:color="auto" w:fill="ffffff"/>
        </w:rPr>
        <w:t xml:space="preserve">(Nguồn tham khảo: https://dantri.com.vn/bat-dong-san/thi-truong-bat-dong-san-vinh-yen-2025-thach-thuc-va-co-hoi-20251112223306949.htm)</w:t>
      </w:r>
      <w:r>
        <w:rPr>
          <w:i/>
          <w:iCs/>
        </w:rPr>
      </w:r>
      <w:r>
        <w:rPr>
          <w:bCs/>
          <w:i/>
          <w:highlight w:val="non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424"/>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198" w:type="dxa"/>
            <w:vAlign w:val="center"/>
            <w:textDirection w:val="lrTb"/>
            <w:noWrap w:val="false"/>
          </w:tcPr>
          <w:p>
            <w:pPr>
              <w:pBdr/>
              <w:spacing/>
              <w:ind/>
              <w:jc w:val="both"/>
              <w:rPr>
                <w:b/>
                <w:bCs/>
                <w:color w:val="000000"/>
              </w:rPr>
            </w:pPr>
            <w:r>
              <w:rPr>
                <w:b/>
                <w:bCs/>
                <w:color w:val="000000"/>
              </w:rPr>
              <w:t xml:space="preserve">Quyền sử dụng đất tại thửa đất số: 362 tờ bản đồ số: 28 có địa chỉ: Xã Ngọc Thanh, thành phố Phúc Yên, tỉnh Vĩnh Phúc (nay là phường Xuân Hoà, </w:t>
            </w:r>
            <w:r>
              <w:rPr>
                <w:b/>
                <w:bCs/>
                <w:color w:val="000000"/>
              </w:rPr>
              <w:t xml:space="preserve">tỉnh Vĩnh Phúc) theo 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ee0000"/>
              </w:rPr>
            </w:pPr>
            <w:r>
              <w:rPr>
                <w:color w:val="000000" w:themeColor="text1"/>
              </w:rPr>
              <w:t xml:space="preserve">28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rPr>
                <w:b w:val="0"/>
                <w:bCs w:val="0"/>
              </w:rPr>
            </w:pPr>
            <w:r>
              <w:rPr>
                <w:b w:val="0"/>
                <w:bCs w:val="0"/>
              </w:rPr>
            </w:r>
            <w:r>
              <w:rPr>
                <w:b w:val="0"/>
                <w:bCs w:val="0"/>
                <w:color w:val="000000"/>
              </w:rPr>
              <w:t xml:space="preserve">Xã Ngọc Thanh, thành phố Phúc Yên, tỉnh Vĩnh Phúc (nay là phường Xuân Hoà, </w:t>
            </w:r>
            <w:r>
              <w:rPr>
                <w:b w:val="0"/>
                <w:bCs w:val="0"/>
                <w:color w:val="000000"/>
              </w:rPr>
              <w:t xml:space="preserve">tỉnh Vĩnh Phúc)</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50m2, Đất trồng cây lâu năm: 218m2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Đất ở: Lâu dài; Đất trồng CLN: Sử dụng đến ngày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 50m2; Nhận chuyển nhượng đất được Công nhận QSDĐ như giao đất không thu tiền sử dụng đất: 218m2 (Nhận chuyển nhượng đất từ hộ bà Đào Thị Ngân).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6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jc w:val="both"/>
              <w:rPr>
                <w:color w:val="000000"/>
              </w:rPr>
            </w:pPr>
            <w:r>
              <w:rPr>
                <w:color w:val="000000" w:themeColor="text1"/>
              </w:rPr>
            </w:r>
            <w:r>
              <w:rPr>
                <w:color w:val="000000" w:themeColor="text1"/>
              </w:rPr>
              <w:t xml:space="preserve">Tài sản nằm tại Xã Ngọc Thanh, thành phố Phúc Yên, tỉnh Vĩnh Phúc. Cách khu vực Du lịch Hồ Đại Lải khoảng 2,5km</w:t>
            </w: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br/>
              <w:t xml:space="preserve">Hướng Tây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21.361167153121</w:t>
            </w:r>
            <w:r>
              <w:rPr>
                <w:color w:val="000000"/>
              </w:rPr>
              <w:t xml:space="preserve">, </w:t>
            </w:r>
            <w:r>
              <w:rPr>
                <w:color w:val="000000"/>
              </w:rPr>
              <w:t xml:space="preserve">105.71229680338529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59410" cy="2597602"/>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59409" cy="25976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4.13pt;height:204.5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424" w:type="dxa"/>
            <w:vAlign w:val="center"/>
            <w:textDirection w:val="lrTb"/>
            <w:noWrap w:val="false"/>
          </w:tcPr>
          <w:p>
            <w:pPr>
              <w:pBdr/>
              <w:spacing/>
              <w:ind/>
              <w:jc w:val="center"/>
              <w:rPr>
                <w:color w:val="000000" w:themeColor="text1"/>
              </w:rPr>
            </w:pPr>
            <w:r>
              <w:rPr>
                <w:color w:val="000000" w:themeColor="text1"/>
              </w:rPr>
              <w:t xml:space="preserve">34,06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 chính</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648"/>
        <w:gridCol w:w="2160"/>
        <w:gridCol w:w="1937"/>
        <w:gridCol w:w="2160"/>
        <w:gridCol w:w="1371"/>
        <w:gridCol w:w="1631"/>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2160"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93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2160" w:type="dxa"/>
            <w:vAlign w:val="center"/>
            <w:textDirection w:val="lrTb"/>
            <w:noWrap w:val="false"/>
          </w:tcPr>
          <w:p>
            <w:pPr>
              <w:pBdr/>
              <w:spacing/>
              <w:ind/>
              <w:jc w:val="center"/>
              <w:rPr/>
            </w:pPr>
            <w:r>
              <w:t xml:space="preserve">Địa chỉ trên sổ</w:t>
            </w:r>
            <w:r/>
          </w:p>
        </w:tc>
        <w:tc>
          <w:tcPr>
            <w:tcBorders/>
            <w:tcW w:w="1937" w:type="dxa"/>
            <w:vAlign w:val="center"/>
            <w:textDirection w:val="lrTb"/>
            <w:noWrap w:val="false"/>
          </w:tcPr>
          <w:p>
            <w:pPr>
              <w:pBdr/>
              <w:spacing/>
              <w:ind/>
              <w:jc w:val="center"/>
              <w:rPr/>
            </w:pPr>
            <w:r>
              <w:t xml:space="preserve">Xã Ngọc Thanh, thành phố Phúc Yên, Vĩnh Phúc </w:t>
            </w:r>
            <w:r/>
          </w:p>
        </w:tc>
        <w:tc>
          <w:tcPr>
            <w:tcBorders/>
            <w:tcW w:w="2160" w:type="dxa"/>
            <w:vAlign w:val="center"/>
            <w:textDirection w:val="lrTb"/>
            <w:noWrap w:val="false"/>
          </w:tcPr>
          <w:p>
            <w:pPr>
              <w:pBdr/>
              <w:spacing/>
              <w:ind/>
              <w:jc w:val="center"/>
              <w:rPr/>
            </w:pPr>
            <w:r>
              <w:t xml:space="preserve">Xã Ngọc Thanh, thành phố Phúc Yên, Vĩnh Phúc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2160" w:type="dxa"/>
            <w:vAlign w:val="center"/>
            <w:textDirection w:val="lrTb"/>
            <w:noWrap w:val="false"/>
          </w:tcPr>
          <w:p>
            <w:pPr>
              <w:pBdr/>
              <w:spacing/>
              <w:ind/>
              <w:jc w:val="center"/>
              <w:rPr/>
            </w:pPr>
            <w:r>
              <w:t xml:space="preserve">Pháp lý</w:t>
            </w:r>
            <w:r/>
          </w:p>
        </w:tc>
        <w:tc>
          <w:tcPr>
            <w:tcBorders/>
            <w:tcW w:w="193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2160" w:type="dxa"/>
            <w:vAlign w:val="center"/>
            <w:textDirection w:val="lrTb"/>
            <w:noWrap w:val="false"/>
          </w:tcPr>
          <w:p>
            <w:pPr>
              <w:pBdr/>
              <w:spacing/>
              <w:ind/>
              <w:jc w:val="center"/>
              <w:rPr/>
            </w:pPr>
            <w:r>
              <w:t xml:space="preserve">Loại đất</w:t>
            </w:r>
            <w:r/>
          </w:p>
        </w:tc>
        <w:tc>
          <w:tcPr>
            <w:tcBorders/>
            <w:tcW w:w="1937" w:type="dxa"/>
            <w:vAlign w:val="center"/>
            <w:textDirection w:val="lrTb"/>
            <w:noWrap w:val="false"/>
          </w:tcPr>
          <w:p>
            <w:pPr>
              <w:pBdr/>
              <w:spacing/>
              <w:ind/>
              <w:jc w:val="center"/>
              <w:rPr/>
            </w:pPr>
            <w:r>
              <w:t xml:space="preserve">Đất ở nông thôn, Đất trồng cây lâu năm </w:t>
            </w:r>
            <w:r/>
          </w:p>
        </w:tc>
        <w:tc>
          <w:tcPr>
            <w:tcBorders/>
            <w:tcW w:w="2160" w:type="dxa"/>
            <w:vAlign w:val="center"/>
            <w:textDirection w:val="lrTb"/>
            <w:noWrap w:val="false"/>
          </w:tcPr>
          <w:p>
            <w:pPr>
              <w:pBdr/>
              <w:spacing/>
              <w:ind/>
              <w:jc w:val="center"/>
              <w:rPr/>
            </w:pPr>
            <w:r>
              <w:t xml:space="preserve">Đất ở, Đất trồng cây lâu năm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2160" w:type="dxa"/>
            <w:vAlign w:val="center"/>
            <w:textDirection w:val="lrTb"/>
            <w:noWrap w:val="false"/>
          </w:tcPr>
          <w:p>
            <w:pPr>
              <w:pBdr/>
              <w:spacing/>
              <w:ind/>
              <w:jc w:val="center"/>
              <w:rPr/>
            </w:pPr>
            <w:r>
              <w:t xml:space="preserve">Vị trí</w:t>
            </w:r>
            <w:r/>
          </w:p>
        </w:tc>
        <w:tc>
          <w:tcPr>
            <w:tcBorders/>
            <w:tcW w:w="1937" w:type="dxa"/>
            <w:vAlign w:val="center"/>
            <w:textDirection w:val="lrTb"/>
            <w:noWrap w:val="false"/>
          </w:tcPr>
          <w:p>
            <w:pPr>
              <w:pBdr/>
              <w:spacing/>
              <w:ind/>
              <w:jc w:val="center"/>
              <w:rPr/>
            </w:pPr>
            <w:r>
              <w:t xml:space="preserve">VT4</w:t>
            </w:r>
            <w:r/>
          </w:p>
        </w:tc>
        <w:tc>
          <w:tcPr>
            <w:tcBorders/>
            <w:tcW w:w="2160"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2160" w:type="dxa"/>
            <w:vAlign w:val="center"/>
            <w:textDirection w:val="lrTb"/>
            <w:noWrap w:val="false"/>
          </w:tcPr>
          <w:p>
            <w:pPr>
              <w:pBdr/>
              <w:spacing/>
              <w:ind/>
              <w:jc w:val="center"/>
              <w:rPr/>
            </w:pPr>
            <w:r>
              <w:t xml:space="preserve">Kết cấu mặt đường</w:t>
            </w:r>
            <w:r/>
          </w:p>
        </w:tc>
        <w:tc>
          <w:tcPr>
            <w:tcBorders/>
            <w:tcW w:w="1937" w:type="dxa"/>
            <w:vAlign w:val="center"/>
            <w:textDirection w:val="lrTb"/>
            <w:noWrap w:val="false"/>
          </w:tcPr>
          <w:p>
            <w:pPr>
              <w:pBdr/>
              <w:spacing/>
              <w:ind/>
              <w:jc w:val="center"/>
              <w:rPr/>
            </w:pPr>
            <w:r>
              <w:t xml:space="preserve">Đường bê tông</w:t>
            </w:r>
            <w:r/>
          </w:p>
        </w:tc>
        <w:tc>
          <w:tcPr>
            <w:tcBorders/>
            <w:tcW w:w="2160"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2160" w:type="dxa"/>
            <w:vAlign w:val="center"/>
            <w:textDirection w:val="lrTb"/>
            <w:noWrap w:val="false"/>
          </w:tcPr>
          <w:p>
            <w:pPr>
              <w:pBdr/>
              <w:spacing/>
              <w:ind/>
              <w:jc w:val="center"/>
              <w:rPr/>
            </w:pPr>
            <w:r>
              <w:t xml:space="preserve">Mặt cắt đường trước nhà</w:t>
            </w:r>
            <w:r/>
          </w:p>
        </w:tc>
        <w:tc>
          <w:tcPr>
            <w:tcBorders/>
            <w:tcW w:w="1937" w:type="dxa"/>
            <w:vAlign w:val="center"/>
            <w:textDirection w:val="lrTb"/>
            <w:noWrap w:val="false"/>
          </w:tcPr>
          <w:p>
            <w:pPr>
              <w:pBdr/>
              <w:spacing/>
              <w:ind/>
              <w:jc w:val="center"/>
              <w:rPr/>
            </w:pPr>
            <w:r>
              <w:t xml:space="preserve">4</w:t>
            </w:r>
            <w:r/>
          </w:p>
        </w:tc>
        <w:tc>
          <w:tcPr>
            <w:tcBorders/>
            <w:tcW w:w="2160"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2160" w:type="dxa"/>
            <w:vAlign w:val="center"/>
            <w:textDirection w:val="lrTb"/>
            <w:noWrap w:val="false"/>
          </w:tcPr>
          <w:p>
            <w:pPr>
              <w:pBdr/>
              <w:spacing/>
              <w:ind/>
              <w:jc w:val="center"/>
              <w:rPr/>
            </w:pPr>
            <w:r>
              <w:t xml:space="preserve">Cơ sở hạ tầng kỹ thuật</w:t>
            </w:r>
            <w:r/>
          </w:p>
        </w:tc>
        <w:tc>
          <w:tcPr>
            <w:tcBorders/>
            <w:tcW w:w="1937" w:type="dxa"/>
            <w:vAlign w:val="center"/>
            <w:textDirection w:val="lrTb"/>
            <w:noWrap w:val="false"/>
          </w:tcPr>
          <w:p>
            <w:pPr>
              <w:pBdr/>
              <w:spacing/>
              <w:ind/>
              <w:jc w:val="center"/>
              <w:rPr/>
            </w:pPr>
            <w:r>
              <w:t xml:space="preserve">Hạ tầng khu dân cư thông thường</w:t>
            </w:r>
            <w:r/>
          </w:p>
        </w:tc>
        <w:tc>
          <w:tcPr>
            <w:tcBorders/>
            <w:tcW w:w="2160"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2160" w:type="dxa"/>
            <w:vAlign w:val="center"/>
            <w:textDirection w:val="lrTb"/>
            <w:noWrap w:val="false"/>
          </w:tcPr>
          <w:p>
            <w:pPr>
              <w:pBdr/>
              <w:spacing/>
              <w:ind/>
              <w:jc w:val="center"/>
              <w:rPr/>
            </w:pPr>
            <w:r>
              <w:t xml:space="preserve">Môi trường, an ninh</w:t>
            </w:r>
            <w:r/>
          </w:p>
        </w:tc>
        <w:tc>
          <w:tcPr>
            <w:tcBorders/>
            <w:tcW w:w="1937" w:type="dxa"/>
            <w:vAlign w:val="center"/>
            <w:textDirection w:val="lrTb"/>
            <w:noWrap w:val="false"/>
          </w:tcPr>
          <w:p>
            <w:pPr>
              <w:pBdr/>
              <w:spacing/>
              <w:ind/>
              <w:jc w:val="center"/>
              <w:rPr/>
            </w:pPr>
            <w:r>
              <w:t xml:space="preserve">Tốt</w:t>
            </w:r>
            <w:r/>
          </w:p>
        </w:tc>
        <w:tc>
          <w:tcPr>
            <w:tcBorders/>
            <w:tcW w:w="216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11</w:t>
            </w:r>
            <w:r/>
          </w:p>
        </w:tc>
        <w:tc>
          <w:tcPr>
            <w:tcBorders/>
            <w:tcW w:w="2160" w:type="dxa"/>
            <w:vAlign w:val="center"/>
            <w:textDirection w:val="lrTb"/>
            <w:noWrap w:val="false"/>
          </w:tcPr>
          <w:p>
            <w:pPr>
              <w:pBdr/>
              <w:spacing/>
              <w:ind/>
              <w:jc w:val="center"/>
              <w:rPr/>
            </w:pPr>
            <w:r>
              <w:t xml:space="preserve">Diện tích</w:t>
            </w:r>
            <w:r/>
          </w:p>
        </w:tc>
        <w:tc>
          <w:tcPr>
            <w:tcBorders/>
            <w:tcW w:w="1937" w:type="dxa"/>
            <w:vAlign w:val="center"/>
            <w:textDirection w:val="lrTb"/>
            <w:noWrap w:val="false"/>
          </w:tcPr>
          <w:p>
            <w:pPr>
              <w:pBdr/>
              <w:spacing/>
              <w:ind/>
              <w:jc w:val="center"/>
              <w:rPr/>
            </w:pPr>
            <w:r>
              <w:t xml:space="preserve">268</w:t>
            </w:r>
            <w:r/>
          </w:p>
        </w:tc>
        <w:tc>
          <w:tcPr>
            <w:tcBorders/>
            <w:tcW w:w="2160" w:type="dxa"/>
            <w:vAlign w:val="center"/>
            <w:textDirection w:val="lrTb"/>
            <w:noWrap w:val="false"/>
          </w:tcPr>
          <w:p>
            <w:pPr>
              <w:pBdr/>
              <w:spacing/>
              <w:ind/>
              <w:jc w:val="center"/>
              <w:rPr/>
            </w:pPr>
            <w:r>
              <w:t xml:space="preserve">268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12</w:t>
            </w:r>
            <w:r/>
          </w:p>
        </w:tc>
        <w:tc>
          <w:tcPr>
            <w:tcBorders/>
            <w:tcW w:w="2160" w:type="dxa"/>
            <w:vAlign w:val="center"/>
            <w:textDirection w:val="lrTb"/>
            <w:noWrap w:val="false"/>
          </w:tcPr>
          <w:p>
            <w:pPr>
              <w:pBdr/>
              <w:spacing/>
              <w:ind/>
              <w:jc w:val="center"/>
              <w:rPr/>
            </w:pPr>
            <w:r>
              <w:t xml:space="preserve">Mặt tiền</w:t>
            </w:r>
            <w:r/>
          </w:p>
        </w:tc>
        <w:tc>
          <w:tcPr>
            <w:tcBorders/>
            <w:tcW w:w="1937" w:type="dxa"/>
            <w:vAlign w:val="center"/>
            <w:textDirection w:val="lrTb"/>
            <w:noWrap w:val="false"/>
          </w:tcPr>
          <w:p>
            <w:pPr>
              <w:pBdr/>
              <w:spacing/>
              <w:ind/>
              <w:jc w:val="center"/>
              <w:rPr/>
            </w:pPr>
            <w:r>
              <w:t xml:space="preserve">7.5</w:t>
            </w:r>
            <w:r/>
          </w:p>
        </w:tc>
        <w:tc>
          <w:tcPr>
            <w:tcBorders/>
            <w:tcW w:w="2160"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14</w:t>
            </w:r>
            <w:r/>
          </w:p>
        </w:tc>
        <w:tc>
          <w:tcPr>
            <w:tcBorders/>
            <w:tcW w:w="2160" w:type="dxa"/>
            <w:vAlign w:val="center"/>
            <w:textDirection w:val="lrTb"/>
            <w:noWrap w:val="false"/>
          </w:tcPr>
          <w:p>
            <w:pPr>
              <w:pBdr/>
              <w:spacing/>
              <w:ind/>
              <w:jc w:val="center"/>
              <w:rPr/>
            </w:pPr>
            <w:r>
              <w:t xml:space="preserve">Mặt tiếp giáp</w:t>
            </w:r>
            <w:r/>
          </w:p>
        </w:tc>
        <w:tc>
          <w:tcPr>
            <w:tcBorders/>
            <w:tcW w:w="1937" w:type="dxa"/>
            <w:vAlign w:val="center"/>
            <w:textDirection w:val="lrTb"/>
            <w:noWrap w:val="false"/>
          </w:tcPr>
          <w:p>
            <w:pPr>
              <w:pBdr/>
              <w:spacing/>
              <w:ind/>
              <w:jc w:val="center"/>
              <w:rPr/>
            </w:pPr>
            <w:r>
              <w:t xml:space="preserve">Tiếp giáp 2 mặt ngõ</w:t>
            </w:r>
            <w:r/>
          </w:p>
        </w:tc>
        <w:tc>
          <w:tcPr>
            <w:tcBorders/>
            <w:tcW w:w="2160" w:type="dxa"/>
            <w:vAlign w:val="center"/>
            <w:textDirection w:val="lrTb"/>
            <w:noWrap w:val="false"/>
          </w:tcPr>
          <w:p>
            <w:pPr>
              <w:pBdr/>
              <w:spacing/>
              <w:ind/>
              <w:jc w:val="center"/>
              <w:rPr/>
            </w:pPr>
            <w:r>
              <w:t xml:space="preserve">Tiếp giáp 2 mặt ngõ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15</w:t>
            </w:r>
            <w:r/>
          </w:p>
        </w:tc>
        <w:tc>
          <w:tcPr>
            <w:tcBorders/>
            <w:tcW w:w="2160" w:type="dxa"/>
            <w:vAlign w:val="center"/>
            <w:textDirection w:val="lrTb"/>
            <w:noWrap w:val="false"/>
          </w:tcPr>
          <w:p>
            <w:pPr>
              <w:pBdr/>
              <w:spacing/>
              <w:ind/>
              <w:jc w:val="center"/>
              <w:rPr/>
            </w:pPr>
            <w:r>
              <w:t xml:space="preserve">Hình dạng thửa đất</w:t>
            </w:r>
            <w:r/>
          </w:p>
        </w:tc>
        <w:tc>
          <w:tcPr>
            <w:tcBorders/>
            <w:tcW w:w="1937" w:type="dxa"/>
            <w:vAlign w:val="center"/>
            <w:textDirection w:val="lrTb"/>
            <w:noWrap w:val="false"/>
          </w:tcPr>
          <w:p>
            <w:pPr>
              <w:pBdr/>
              <w:spacing/>
              <w:ind/>
              <w:jc w:val="center"/>
              <w:rPr/>
            </w:pPr>
            <w:r>
              <w:t xml:space="preserve">Tương đối vuông vức</w:t>
            </w:r>
            <w:r/>
          </w:p>
        </w:tc>
        <w:tc>
          <w:tcPr>
            <w:tcBorders/>
            <w:tcW w:w="2160"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1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287"/>
        <w:gridCol w:w="968"/>
        <w:gridCol w:w="108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68"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08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p>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1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467"/>
        <w:gridCol w:w="878"/>
        <w:gridCol w:w="99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78"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99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78" w:type="dxa"/>
            <w:vAlign w:val="center"/>
            <w:textDirection w:val="lrTb"/>
            <w:noWrap w:val="false"/>
          </w:tcPr>
          <w:p>
            <w:pPr>
              <w:widowControl w:val="false"/>
              <w:pBdr/>
              <w:spacing w:line="235" w:lineRule="auto"/>
              <w:ind w:left="144"/>
              <w:jc w:val="center"/>
              <w:rPr/>
            </w:pPr>
            <w:r>
              <w:t xml:space="preserve">Không</w:t>
            </w:r>
            <w:r/>
          </w:p>
        </w:tc>
        <w:tc>
          <w:tcPr>
            <w:tcBorders/>
            <w:tcW w:w="9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lang w:val="pt-BR"/>
        </w:rPr>
      </w:r>
      <w:r>
        <w:rPr>
          <w:b/>
          <w:bCs/>
          <w:highlight w:val="none"/>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highlight w:val="none"/>
          <w:lang w:val="pt-BR"/>
        </w:rPr>
      </w:r>
      <w:r>
        <w:rPr>
          <w:b/>
          <w:bCs/>
          <w:highlight w:val="none"/>
          <w:lang w:val="pt-BR"/>
        </w:rPr>
      </w:r>
      <w:r>
        <w:rPr>
          <w:lang w:val="pt-BR"/>
        </w:rPr>
      </w:r>
    </w:p>
    <w:p>
      <w:pPr>
        <w:pBdr/>
        <w:spacing w:after="120" w:before="120" w:line="276" w:lineRule="auto"/>
        <w:ind/>
        <w:jc w:val="both"/>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76" w:lineRule="auto"/>
        <w:ind/>
        <w:jc w:val="both"/>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76" w:lineRule="auto"/>
        <w:ind/>
        <w:jc w:val="both"/>
        <w:rPr>
          <w:b/>
          <w:bCs/>
          <w:highlight w:val="none"/>
          <w:lang w:val="pt-BR"/>
        </w:rPr>
      </w:pPr>
      <w:r>
        <w:rPr>
          <w:b/>
          <w:bCs/>
          <w:lang w:val="pt-BR"/>
        </w:rPr>
        <w:t xml:space="preserve">VII. CÁCH TIẾP CẬN, PHƯƠNG PHÁP THẨM ĐỊNH GIÁ</w:t>
      </w:r>
      <w:r>
        <w:rPr>
          <w:lang w:val="pt-BR"/>
        </w:rPr>
      </w:r>
      <w:r>
        <w:rPr>
          <w:b/>
          <w:bCs/>
          <w:highlight w:val="none"/>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2268"/>
        <w:gridCol w:w="1742"/>
        <w:gridCol w:w="1742"/>
        <w:gridCol w:w="1742"/>
        <w:gridCol w:w="1742"/>
      </w:tblGrid>
      <w:tr>
        <w:trPr>
          <w:trHeight w:val="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val="0"/>
                <w:bCs w:val="0"/>
              </w:rPr>
            </w:pPr>
            <w:r>
              <w:rPr>
                <w:b w:val="0"/>
                <w:bCs w:val="0"/>
              </w:rPr>
            </w:r>
            <w:r>
              <w:rPr>
                <w:b w:val="0"/>
                <w:bCs w:val="0"/>
                <w:color w:val="000000"/>
              </w:rPr>
              <w:t xml:space="preserve">Xã Ngọc Thanh, thành phố Phúc Yên, tỉnh Vĩnh Phúc (nay là phường Xuân Hoà, </w:t>
            </w:r>
            <w:r>
              <w:rPr>
                <w:b w:val="0"/>
                <w:bCs w:val="0"/>
                <w:color w:val="000000"/>
              </w:rPr>
              <w:t xml:space="preserve">tỉnh Vĩnh Phúc)</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val="0"/>
                <w:bCs w:val="0"/>
              </w:rPr>
            </w:pPr>
            <w:r>
              <w:rPr>
                <w:b w:val="0"/>
                <w:bCs w:val="0"/>
              </w:rPr>
            </w:r>
            <w:r>
              <w:rPr>
                <w:b w:val="0"/>
                <w:bCs w:val="0"/>
                <w:color w:val="000000"/>
              </w:rPr>
              <w:t xml:space="preserve">Xã Ngọc Thanh, thành phố Phúc Yên, tỉnh Vĩnh Phúc (nay là phường Xuân Hoà, </w:t>
            </w:r>
            <w:r>
              <w:rPr>
                <w:b w:val="0"/>
                <w:bCs w:val="0"/>
                <w:color w:val="000000"/>
              </w:rPr>
              <w:t xml:space="preserve">tỉnh Vĩnh Phúc)</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val="0"/>
                <w:bCs w:val="0"/>
              </w:rPr>
            </w:pPr>
            <w:r>
              <w:rPr>
                <w:b w:val="0"/>
                <w:bCs w:val="0"/>
              </w:rPr>
            </w:r>
            <w:r>
              <w:rPr>
                <w:b w:val="0"/>
                <w:bCs w:val="0"/>
                <w:color w:val="000000"/>
              </w:rPr>
              <w:t xml:space="preserve">Xã Ngọc Thanh, thành phố Phúc Yên, tỉnh Vĩnh Phúc (nay là phường Xuân Hoà, </w:t>
            </w:r>
            <w:r>
              <w:rPr>
                <w:b w:val="0"/>
                <w:bCs w:val="0"/>
                <w:color w:val="000000"/>
              </w:rPr>
              <w:t xml:space="preserve">tỉnh Vĩnh Phúc)</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val="0"/>
                <w:bCs w:val="0"/>
              </w:rPr>
            </w:pPr>
            <w:r>
              <w:rPr>
                <w:b w:val="0"/>
                <w:bCs w:val="0"/>
              </w:rPr>
            </w:r>
            <w:r>
              <w:rPr>
                <w:b w:val="0"/>
                <w:bCs w:val="0"/>
                <w:color w:val="000000"/>
              </w:rPr>
              <w:t xml:space="preserve">Xã Ngọc Thanh, thành phố Phúc Yên, tỉnh Vĩnh Phúc (nay là phường Xuân Hoà, </w:t>
            </w:r>
            <w:r>
              <w:rPr>
                <w:b w:val="0"/>
                <w:bCs w:val="0"/>
                <w:color w:val="000000"/>
              </w:rPr>
              <w:t xml:space="preserve">tỉnh Vĩnh Phúc)</w:t>
            </w:r>
            <w:r>
              <w:rPr>
                <w:b w:val="0"/>
                <w:bCs w:val="0"/>
              </w:rPr>
            </w:r>
            <w:r>
              <w:rPr>
                <w:b w:val="0"/>
                <w:bCs w:val="0"/>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0986490568</w:t>
            </w: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0889996136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0963460083</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(50 m²), Đất trồng cây lâu năm (218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và Đất CLN: có thời hạn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và Đất CLN: có thời hạn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và Đất CLN: có thời hạn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và Đất CLN: có thời hạn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2,5km</w:t>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2,5km</w:t>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1km</w:t>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1km</w:t>
            </w: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366.5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361.6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123.8</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5.69</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val="false"/>
          </w:tcPr>
          <w:p>
            <w:pPr>
              <w:pBdr/>
              <w:spacing/>
              <w:ind/>
              <w:jc w:val="both"/>
              <w:rPr>
                <w:color w:val="000000" w:themeColor="text1"/>
                <w:sz w:val="22"/>
                <w:szCs w:val="22"/>
              </w:rPr>
            </w:pPr>
            <w:r>
              <w:rPr>
                <w:color w:val="000000" w:themeColor="text1"/>
                <w:sz w:val="22"/>
                <w:szCs w:val="22"/>
              </w:rPr>
              <w:t xml:space="preserve">Tỷ lệ đất ở / tổng diện tích (%)</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0,19</w:t>
            </w: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0,27</w:t>
            </w: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0,14</w:t>
            </w: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0,36</w:t>
            </w: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2.748.750.000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3.326.720.000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2.473.875.000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2.827.712.000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1.343.000.000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2.473.875.000</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2.827.712.000</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1.343.000.000</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6.750.000</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7.820.000</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10.848.142</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268" w:type="dxa"/>
            <w:vAlign w:val="center"/>
            <w:textDirection w:val="lrTb"/>
            <w:noWrap w:val="false"/>
          </w:tcPr>
          <w:p>
            <w:pPr>
              <w:pBdr/>
              <w:spacing/>
              <w:ind/>
              <w:jc w:val="both"/>
              <w:rPr>
                <w:color w:val="000000" w:themeColor="text1"/>
                <w:sz w:val="22"/>
                <w:szCs w:val="22"/>
              </w:rPr>
            </w:pPr>
            <w:r>
              <w:rPr>
                <w:color w:val="000000" w:themeColor="text1"/>
                <w:sz w:val="22"/>
                <w:szCs w:val="22"/>
              </w:rPr>
              <w:t xml:space="preserve">Tỷ lệ đất ở / tổng diện tích (%)</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r>
      <w:r>
        <w:rPr>
          <w:lang w:val="it-IT"/>
        </w:rPr>
      </w:r>
      <w:r>
        <w:rPr>
          <w:lang w:val="it-IT"/>
        </w:rPr>
      </w:r>
    </w:p>
    <w:p>
      <w:pPr>
        <w:pBdr/>
        <w:tabs>
          <w:tab w:val="left" w:leader="none" w:pos="90"/>
          <w:tab w:val="left" w:leader="none" w:pos="180"/>
        </w:tabs>
        <w:spacing w:after="120" w:before="120" w:line="264" w:lineRule="auto"/>
        <w:ind/>
        <w:jc w:val="both"/>
        <w:rPr>
          <w:lang w:val="it-IT"/>
        </w:rPr>
      </w:pPr>
      <w:r>
        <w:rPr>
          <w:lang w:val="it-IT"/>
        </w:rPr>
      </w:r>
      <w:r>
        <w:rPr>
          <w:lang w:val="it-IT"/>
        </w:rPr>
      </w:r>
      <w:r>
        <w:rPr>
          <w:lang w:val="it-IT"/>
        </w:rPr>
      </w:r>
    </w:p>
    <w:p>
      <w:pPr>
        <w:pBdr/>
        <w:tabs>
          <w:tab w:val="left" w:leader="none" w:pos="90"/>
          <w:tab w:val="left" w:leader="none" w:pos="180"/>
        </w:tabs>
        <w:spacing w:after="120" w:before="120" w:line="264" w:lineRule="auto"/>
        <w:ind/>
        <w:jc w:val="both"/>
        <w:rPr>
          <w:lang w:val="it-IT"/>
        </w:rPr>
      </w:pPr>
      <w:r>
        <w:rPr>
          <w:highlight w:val="none"/>
          <w:lang w:val="it-IT" w:bidi="it-IT"/>
        </w:rPr>
      </w:r>
      <w:r>
        <w:rPr>
          <w:highlight w:val="none"/>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08"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2088"/>
        <w:gridCol w:w="1030"/>
        <w:gridCol w:w="1522"/>
        <w:gridCol w:w="1522"/>
        <w:gridCol w:w="1638"/>
        <w:gridCol w:w="1620"/>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2.473.875.000</w:t>
            </w:r>
            <w:r>
              <w:rPr>
                <w:b/>
                <w:bCs/>
                <w:color w:val="000000"/>
                <w:sz w:val="20"/>
                <w:szCs w:val="20"/>
              </w:rPr>
            </w:r>
            <w:r>
              <w:rPr>
                <w:b/>
                <w:bCs/>
                <w:color w:val="000000"/>
                <w:sz w:val="20"/>
                <w:szCs w:val="20"/>
              </w:rPr>
            </w:r>
          </w:p>
        </w:tc>
        <w:tc>
          <w:tcPr>
            <w:shd w:val="clear" w:color="000000" w:fill="ffffff"/>
            <w:tcBorders/>
            <w:tcW w:w="1638"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2.827.712.000</w:t>
            </w:r>
            <w:r>
              <w:rPr>
                <w:b/>
                <w:bCs/>
                <w:color w:val="000000"/>
                <w:sz w:val="20"/>
                <w:szCs w:val="20"/>
              </w:rPr>
            </w:r>
            <w:r>
              <w:rPr>
                <w:b/>
                <w:bCs/>
                <w:color w:val="000000"/>
                <w:sz w:val="20"/>
                <w:szCs w:val="20"/>
              </w:rPr>
            </w:r>
          </w:p>
        </w:tc>
        <w:tc>
          <w:tcPr>
            <w:shd w:val="clear" w:color="000000" w:fill="ffffff"/>
            <w:tcBorders/>
            <w:tcW w:w="1620"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1.343.000.000</w:t>
            </w:r>
            <w:r>
              <w:rPr>
                <w:b/>
                <w:bCs/>
                <w:color w:val="000000"/>
                <w:sz w:val="20"/>
                <w:szCs w:val="20"/>
              </w:rPr>
            </w:r>
            <w:r>
              <w:rPr>
                <w:b/>
                <w:bCs/>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6.750.000</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7.820.000</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10.848.142</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8"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7.820.000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10.848.142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2,5km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2,5km</w:t>
            </w:r>
            <w:r/>
          </w:p>
        </w:tc>
        <w:tc>
          <w:tcPr>
            <w:shd w:val="clear" w:color="000000" w:fill="ffffff"/>
            <w:tcBorders/>
            <w:tcW w:w="16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1km</w:t>
            </w:r>
            <w:r/>
          </w:p>
        </w:tc>
        <w:tc>
          <w:tcPr>
            <w:shd w:val="clear" w:color="000000" w:fill="ffffff"/>
            <w:tcBorders/>
            <w:tcW w:w="16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1km</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-391.000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-542.407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7.429.000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10.305.735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-312.800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-433.926</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7.116.200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9.871.809</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-234.600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-650.889</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6.547.500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6.881.600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9.220.920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366.5</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361.6</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123.8</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391.000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-1.084.814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7.272.600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8.136.106</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8.99</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5.69</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-312.800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542.407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6.480.000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6.959.800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8.678.513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391.000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542.407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6.817.500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7.350.800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9.220.920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6.817.500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7.350.800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9.220.920</w:t>
            </w:r>
            <w:r>
              <w:rPr>
                <w:color w:val="000000"/>
                <w:sz w:val="22"/>
                <w:szCs w:val="22"/>
              </w:rPr>
            </w:r>
            <w:r>
              <w:rPr>
                <w:color w:val="000000"/>
                <w:sz w:val="22"/>
                <w:szCs w:val="22"/>
              </w:rPr>
            </w:r>
          </w:p>
        </w:tc>
      </w:tr>
      <w:tr>
        <w:trPr>
          <w:trHeight w:val="293"/>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b/>
                <w:bCs/>
                <w:color w:val="000000" w:themeColor="text1"/>
                <w:sz w:val="22"/>
                <w:szCs w:val="22"/>
              </w:rPr>
            </w:pPr>
            <w:r>
              <w:rPr>
                <w:b/>
                <w:bCs/>
                <w:color w:val="000000" w:themeColor="text1"/>
                <w:sz w:val="22"/>
                <w:szCs w:val="22"/>
              </w:rPr>
              <w:t xml:space="preserve">Tỷ lệ đất ở / tổng diện tích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0,19</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0,27</w:t>
            </w:r>
            <w:r/>
          </w:p>
        </w:tc>
        <w:tc>
          <w:tcPr>
            <w:shd w:val="clear" w:color="000000" w:fill="ffffff"/>
            <w:tcBorders/>
            <w:tcW w:w="16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0,14</w:t>
            </w:r>
            <w:r/>
          </w:p>
        </w:tc>
        <w:tc>
          <w:tcPr>
            <w:shd w:val="clear" w:color="000000" w:fill="ffffff"/>
            <w:tcBorders/>
            <w:tcW w:w="16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0,36</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156.400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-650.889</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6.615.000</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7.507.200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8.570.031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208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6.615.000</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7.507.200</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8.570.031</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7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7.564.077</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-12.55%</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-0.75%</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13.3%</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420"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1.485.000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2.189.600</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4.447.739</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208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135.000</w:t>
            </w:r>
            <w:r>
              <w:rPr>
                <w:sz w:val="22"/>
                <w:szCs w:val="22"/>
              </w:rPr>
            </w:r>
            <w:r>
              <w:rPr>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312.800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2.278.111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-12.55</w:t>
      </w:r>
      <w:r>
        <w:t xml:space="preserve">% </w:t>
      </w:r>
      <w:r>
        <w:t xml:space="preserve">đến</w:t>
      </w:r>
      <w:r>
        <w:t xml:space="preserve"> </w:t>
      </w:r>
      <w:r>
        <w:t xml:space="preserve"> </w:t>
      </w:r>
      <w:r>
        <w:t xml:space="preserve">13.3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9" w:type="pct"/>
        <w:tblBorders/>
        <w:tblLayout w:type="fixed"/>
        <w:tblLook w:val="04A0" w:firstRow="1" w:lastRow="0" w:firstColumn="1" w:lastColumn="0" w:noHBand="0" w:noVBand="1"/>
      </w:tblPr>
      <w:tblGrid>
        <w:gridCol w:w="558"/>
        <w:gridCol w:w="1890"/>
        <w:gridCol w:w="1890"/>
        <w:gridCol w:w="2340"/>
        <w:gridCol w:w="324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6.615.000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color w:val="000000"/>
              </w:rPr>
            </w:pPr>
            <w:r>
              <w:rPr>
                <w:color w:val="000000"/>
              </w:rPr>
              <w:t xml:space="preserve">1.984.500</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7.507.200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color w:val="000000"/>
              </w:rPr>
            </w:pPr>
            <w:r>
              <w:rPr>
                <w:color w:val="000000"/>
              </w:rPr>
              <w:t xml:space="preserve">2.627.520</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8.570.031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color w:val="000000"/>
              </w:rPr>
            </w:pPr>
            <w:r>
              <w:rPr>
                <w:color w:val="000000"/>
              </w:rPr>
              <w:t xml:space="preserve">2.999.511</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b/>
                <w:bCs/>
                <w:color w:val="000000"/>
              </w:rPr>
            </w:pPr>
            <w:r>
              <w:rPr>
                <w:b/>
                <w:bCs/>
                <w:color w:val="000000" w:themeColor="text1"/>
                <w:lang w:val="vi-VN"/>
              </w:rPr>
              <w:t xml:space="preserve">7.611.531</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b/>
                <w:bCs/>
                <w:color w:val="000000"/>
              </w:rPr>
            </w:pPr>
            <w:r>
              <w:rPr>
                <w:b/>
                <w:bCs/>
                <w:color w:val="000000" w:themeColor="text1"/>
                <w:lang w:val="vi-VN"/>
              </w:rPr>
              <w:t xml:space="preserve">7.600.000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7.600.000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Ind w:w="-342" w:type="dxa"/>
        <w:tblW w:w="518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4"/>
        <w:gridCol w:w="3708"/>
        <w:gridCol w:w="1710"/>
        <w:gridCol w:w="2160"/>
        <w:gridCol w:w="2087"/>
      </w:tblGrid>
      <w:tr>
        <w:trPr>
          <w:trHeight w:val="0"/>
        </w:trPr>
        <w:tc>
          <w:tcPr>
            <w:shd w:val="clear" w:color="000000" w:fill="ffffff"/>
            <w:tcBorders/>
            <w:tcW w:w="594"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70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1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6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087"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0"/>
        </w:trPr>
        <w:tc>
          <w:tcPr>
            <w:shd w:val="clear" w:color="000000" w:fill="ffffff"/>
            <w:tcBorders/>
            <w:tcW w:w="594"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57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362 tờ bản đồ số: 28 có địa chỉ: Xã Ngọc Thanh, thành phố Phúc Yên, tỉnh Vĩnh Phúc (nay là phường Xuân Hoà, </w:t>
            </w:r>
            <w:r>
              <w:rPr>
                <w:color w:val="000000"/>
              </w:rPr>
              <w:t xml:space="preserve">tỉnh Vĩnh Phúc) theo Giấy chứng nhận quyền sử dụng đất, quyền sở hữu nhà ở và tài sản khác gắn liền với đất số: DG 395916, số vào sổ cấp GCN: CS 06275 do Sở Tài nguyên và Môi trường tỉnh Vĩnh Phúc cấp ngày 10/06/2022; Chủ sử dụng đất là bà Lê Thị Ngọc Anh.</w:t>
            </w:r>
            <w:r>
              <w:rPr>
                <w:b/>
                <w:bCs/>
              </w:rPr>
              <w:t xml:space="preserve">.</w:t>
            </w:r>
            <w:r>
              <w:rPr>
                <w:b/>
                <w:bCs/>
              </w:rPr>
            </w:r>
            <w:r>
              <w:rPr>
                <w:b/>
                <w:bCs/>
              </w:rPr>
            </w:r>
          </w:p>
        </w:tc>
        <w:tc>
          <w:tcPr>
            <w:shd w:val="clear" w:color="000000" w:fill="ffffff"/>
            <w:tcBorders/>
            <w:tcW w:w="208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594"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708" w:type="dxa"/>
            <w:vAlign w:val="center"/>
            <w:textDirection w:val="lrTb"/>
            <w:noWrap w:val="false"/>
          </w:tcPr>
          <w:p>
            <w:pPr>
              <w:pBdr/>
              <w:spacing w:after="40" w:before="40" w:line="288" w:lineRule="auto"/>
              <w:ind/>
              <w:jc w:val="both"/>
              <w:rPr>
                <w:b w:val="0"/>
                <w:bCs w:val="0"/>
                <w:sz w:val="23"/>
                <w:szCs w:val="23"/>
              </w:rPr>
            </w:pPr>
            <w:r>
              <w:rPr>
                <w:b w:val="0"/>
                <w:bCs w:val="0"/>
                <w:sz w:val="23"/>
                <w:szCs w:val="23"/>
              </w:rPr>
              <w:t xml:space="preserve">Đất hỗn hợp (Đất ở + Đất trồng CLN)</w:t>
            </w:r>
            <w:r>
              <w:rPr>
                <w:b w:val="0"/>
                <w:bCs w:val="0"/>
                <w:sz w:val="23"/>
                <w:szCs w:val="23"/>
              </w:rPr>
            </w:r>
            <w:r>
              <w:rPr>
                <w:b w:val="0"/>
                <w:bCs w:val="0"/>
                <w:sz w:val="23"/>
                <w:szCs w:val="23"/>
              </w:rPr>
            </w:r>
          </w:p>
        </w:tc>
        <w:tc>
          <w:tcPr>
            <w:tcBorders/>
            <w:tcW w:w="1710" w:type="dxa"/>
            <w:vAlign w:val="center"/>
            <w:textDirection w:val="lrTb"/>
            <w:noWrap/>
          </w:tcPr>
          <w:p>
            <w:pPr>
              <w:pBdr/>
              <w:spacing w:after="40" w:before="40" w:line="288" w:lineRule="auto"/>
              <w:ind/>
              <w:jc w:val="center"/>
              <w:rPr>
                <w:color w:val="000000"/>
              </w:rPr>
            </w:pPr>
            <w:r>
              <w:rPr>
                <w:color w:val="000000" w:themeColor="text1"/>
              </w:rPr>
              <w:t xml:space="preserve">268</w:t>
            </w:r>
            <w:r>
              <w:rPr>
                <w:color w:val="000000"/>
              </w:rPr>
            </w:r>
            <w:r>
              <w:rPr>
                <w:color w:val="000000"/>
              </w:rPr>
            </w:r>
          </w:p>
        </w:tc>
        <w:tc>
          <w:tcPr>
            <w:shd w:val="clear" w:color="000000" w:fill="ffffff"/>
            <w:tcBorders/>
            <w:tcW w:w="2160" w:type="dxa"/>
            <w:vAlign w:val="center"/>
            <w:textDirection w:val="lrTb"/>
            <w:noWrap w:val="false"/>
          </w:tcPr>
          <w:p>
            <w:pPr>
              <w:pBdr/>
              <w:spacing w:after="40" w:before="40" w:line="288" w:lineRule="auto"/>
              <w:ind/>
              <w:jc w:val="center"/>
              <w:rPr/>
            </w:pPr>
            <w:r>
              <w:rPr>
                <w:color w:val="000000" w:themeColor="text1"/>
              </w:rPr>
              <w:t xml:space="preserve">7.600.000</w:t>
            </w:r>
            <w:r/>
          </w:p>
        </w:tc>
        <w:tc>
          <w:tcPr>
            <w:shd w:val="clear" w:color="000000" w:fill="ffffff"/>
            <w:tcBorders/>
            <w:tcW w:w="2087" w:type="dxa"/>
            <w:vAlign w:val="center"/>
            <w:textDirection w:val="lrTb"/>
            <w:noWrap w:val="false"/>
          </w:tcPr>
          <w:p>
            <w:pPr>
              <w:pBdr/>
              <w:spacing w:after="40" w:before="40" w:line="288" w:lineRule="auto"/>
              <w:ind/>
              <w:jc w:val="right"/>
              <w:rPr>
                <w:b/>
                <w:bCs/>
                <w:color w:val="000000"/>
              </w:rPr>
            </w:pPr>
            <w:r>
              <w:t xml:space="preserve">2.036.800.000</w:t>
            </w:r>
            <w:r>
              <w:rPr>
                <w:b/>
                <w:bCs/>
                <w:color w:val="000000"/>
              </w:rPr>
            </w:r>
            <w:r>
              <w:rPr>
                <w:b/>
                <w:bCs/>
                <w:color w:val="000000"/>
              </w:rPr>
            </w:r>
          </w:p>
        </w:tc>
      </w:tr>
      <w:tr>
        <w:trPr>
          <w:trHeight w:val="0"/>
        </w:trPr>
        <w:tc>
          <w:tcPr>
            <w:gridSpan w:val="4"/>
            <w:tcBorders/>
            <w:tcW w:w="817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87" w:type="dxa"/>
            <w:vAlign w:val="center"/>
            <w:textDirection w:val="lrTb"/>
            <w:noWrap/>
          </w:tcPr>
          <w:p>
            <w:pPr>
              <w:pBdr/>
              <w:spacing w:after="40" w:before="40" w:line="288" w:lineRule="auto"/>
              <w:ind/>
              <w:jc w:val="right"/>
              <w:rPr>
                <w:b/>
                <w:bCs/>
                <w:color w:val="000000"/>
              </w:rPr>
            </w:pPr>
            <w:r>
              <w:t xml:space="preserve">2.036.800.000</w:t>
            </w:r>
            <w:r>
              <w:rPr>
                <w:b/>
                <w:bCs/>
                <w:color w:val="000000"/>
              </w:rPr>
            </w:r>
            <w:r>
              <w:rPr>
                <w:b/>
                <w:bCs/>
                <w:color w:val="000000"/>
              </w:rPr>
            </w:r>
          </w:p>
        </w:tc>
      </w:tr>
      <w:tr>
        <w:trPr>
          <w:trHeight w:val="0"/>
        </w:trPr>
        <w:tc>
          <w:tcPr>
            <w:gridSpan w:val="4"/>
            <w:tcBorders/>
            <w:tcW w:w="817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87" w:type="dxa"/>
            <w:vAlign w:val="center"/>
            <w:textDirection w:val="lrTb"/>
            <w:noWrap/>
          </w:tcPr>
          <w:p>
            <w:pPr>
              <w:pBdr/>
              <w:spacing w:after="40" w:before="40" w:line="288" w:lineRule="auto"/>
              <w:ind/>
              <w:jc w:val="right"/>
              <w:rPr>
                <w:b/>
                <w:bCs/>
                <w:color w:val="000000"/>
              </w:rPr>
            </w:pPr>
            <w:r>
              <w:rPr>
                <w:b/>
                <w:bCs/>
                <w:color w:val="000000"/>
              </w:rPr>
              <w:t xml:space="preserve">2.037.000.000</w:t>
            </w:r>
            <w:r>
              <w:rPr>
                <w:b/>
                <w:bCs/>
                <w:color w:val="000000"/>
              </w:rPr>
            </w:r>
            <w:r>
              <w:rPr>
                <w:b/>
                <w:bCs/>
                <w:color w:val="000000"/>
              </w:rPr>
            </w:r>
          </w:p>
        </w:tc>
      </w:tr>
      <w:tr>
        <w:trPr>
          <w:trHeight w:val="0"/>
        </w:trPr>
        <w:tc>
          <w:tcPr>
            <w:gridSpan w:val="5"/>
            <w:tcBorders/>
            <w:tcW w:w="10259"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không trăm ba mươi bảy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275/2026/0372VFI-CT.17.A</w:t>
      </w:r>
      <w:r>
        <w:rPr>
          <w:color w:val="ff0000"/>
          <w:lang w:val="vi-VN"/>
        </w:rPr>
        <w:t xml:space="preserve"> </w:t>
      </w:r>
      <w:r>
        <w:rPr>
          <w:color w:val="000000" w:themeColor="text1"/>
        </w:rPr>
        <w:t xml:space="preserve">ngày 9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9" w:type="pct"/>
        <w:tblBorders/>
        <w:tblLayout w:type="fixed"/>
        <w:tblLook w:val="01E0" w:firstRow="1" w:lastRow="1" w:firstColumn="1" w:lastColumn="1" w:noHBand="0" w:noVBand="0"/>
      </w:tblPr>
      <w:tblGrid>
        <w:gridCol w:w="4608"/>
        <w:gridCol w:w="5310"/>
      </w:tblGrid>
      <w:tr>
        <w:trPr>
          <w:trHeight w:val="20"/>
        </w:trPr>
        <w:tc>
          <w:tcPr>
            <w:tcBorders/>
            <w:tcW w:w="460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0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0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09" w:type="pct"/>
        <w:tblBorders/>
        <w:tblLayout w:type="fixed"/>
        <w:tblLook w:val="01E0" w:firstRow="1" w:lastRow="1" w:firstColumn="1" w:lastColumn="1" w:noHBand="0" w:noVBand="0"/>
      </w:tblPr>
      <w:tblGrid>
        <w:gridCol w:w="4861"/>
        <w:gridCol w:w="5057"/>
      </w:tblGrid>
      <w:tr>
        <w:trPr>
          <w:trHeight w:val="20"/>
        </w:trPr>
        <w:tc>
          <w:tcPr>
            <w:tcBorders/>
            <w:tcW w:w="4861"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057"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6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7"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61"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5057"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275/2026/0372/VFI-BC.17.A</w:t>
      </w:r>
      <w:r>
        <w:rPr>
          <w:i/>
          <w:lang w:val="pt-BR"/>
        </w:rPr>
        <w:t xml:space="preserve"> </w:t>
      </w:r>
      <w:r>
        <w:rPr>
          <w:i/>
          <w:lang w:val="pt-BR"/>
        </w:rPr>
        <w:t xml:space="preserve">ngày 09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6264" cy="35361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99782" name=""/>
                              <pic:cNvPicPr>
                                <a:picLocks noChangeAspect="1"/>
                              </pic:cNvPicPr>
                              <pic:nvPr/>
                            </pic:nvPicPr>
                            <pic:blipFill rotWithShape="1">
                              <a:blip r:embed="rId18"/>
                              <a:srcRect l="0" t="18808" r="0" b="16638"/>
                              <a:stretch/>
                            </pic:blipFill>
                            <pic:spPr bwMode="auto">
                              <a:xfrm flipH="0" flipV="0">
                                <a:off x="0" y="0"/>
                                <a:ext cx="2556263" cy="35361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1.28pt;height:278.44pt;mso-wrap-distance-left:0.00pt;mso-wrap-distance-top:0.00pt;mso-wrap-distance-right:0.00pt;mso-wrap-distance-bottom:0.00pt;z-index:1;" stroked="false">
                      <v:imagedata r:id="rId18" o:title="" croptop="12326f" cropleft="0f" cropbottom="10904f" cropright="0f"/>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7778" cy="34695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26714" name=""/>
                              <pic:cNvPicPr>
                                <a:picLocks noChangeAspect="1"/>
                              </pic:cNvPicPr>
                              <pic:nvPr/>
                            </pic:nvPicPr>
                            <pic:blipFill rotWithShape="1">
                              <a:blip r:embed="rId19"/>
                              <a:stretch/>
                            </pic:blipFill>
                            <pic:spPr bwMode="auto">
                              <a:xfrm flipH="0" flipV="0">
                                <a:off x="0" y="0"/>
                                <a:ext cx="2687778" cy="3469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1.64pt;height:273.19pt;mso-wrap-distance-left:0.00pt;mso-wrap-distance-top:0.00pt;mso-wrap-distance-right:0.00pt;mso-wrap-distance-bottom:0.00pt;z-index:1;" stroked="false">
                      <v:imagedata r:id="rId19" o:title=""/>
                      <o:lock v:ext="edit" rotation="t"/>
                    </v:shape>
                  </w:pict>
                </mc:Fallback>
              </mc:AlternateContent>
            </w:r>
            <w:r>
              <w:rPr>
                <w:i/>
                <w:lang w:val="pt-BR"/>
              </w:rPr>
            </w: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1299" cy="210847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46754" name=""/>
                              <pic:cNvPicPr>
                                <a:picLocks noChangeAspect="1"/>
                              </pic:cNvPicPr>
                              <pic:nvPr/>
                            </pic:nvPicPr>
                            <pic:blipFill rotWithShape="1">
                              <a:blip r:embed="rId20"/>
                              <a:stretch/>
                            </pic:blipFill>
                            <pic:spPr bwMode="auto">
                              <a:xfrm rot="0" flipH="0" flipV="0">
                                <a:off x="0" y="0"/>
                                <a:ext cx="2811298" cy="2108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36pt;height:166.02pt;mso-wrap-distance-left:0.00pt;mso-wrap-distance-top:0.00pt;mso-wrap-distance-right:0.00pt;mso-wrap-distance-bottom:0.00pt;rotation:0;z-index:1;" stroked="false">
                      <v:imagedata r:id="rId20" o:title=""/>
                      <o:lock v:ext="edit" rotation="t"/>
                    </v:shape>
                  </w:pict>
                </mc:Fallback>
              </mc:AlternateContent>
            </w: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1278" cy="209345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09027" name=""/>
                              <pic:cNvPicPr>
                                <a:picLocks noChangeAspect="1"/>
                              </pic:cNvPicPr>
                              <pic:nvPr/>
                            </pic:nvPicPr>
                            <pic:blipFill rotWithShape="1">
                              <a:blip r:embed="rId21"/>
                              <a:stretch/>
                            </pic:blipFill>
                            <pic:spPr bwMode="auto">
                              <a:xfrm flipH="0" flipV="0">
                                <a:off x="0" y="0"/>
                                <a:ext cx="2791278" cy="20934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79pt;height:164.8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8215" cy="194116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72909" name=""/>
                              <pic:cNvPicPr>
                                <a:picLocks noChangeAspect="1"/>
                              </pic:cNvPicPr>
                              <pic:nvPr/>
                            </pic:nvPicPr>
                            <pic:blipFill rotWithShape="1">
                              <a:blip r:embed="rId22"/>
                              <a:stretch/>
                            </pic:blipFill>
                            <pic:spPr bwMode="auto">
                              <a:xfrm flipH="0" flipV="0">
                                <a:off x="0" y="0"/>
                                <a:ext cx="2588214" cy="19411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3.80pt;height:152.8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6211" cy="186085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6700" name=""/>
                              <pic:cNvPicPr>
                                <a:picLocks noChangeAspect="1"/>
                              </pic:cNvPicPr>
                              <pic:nvPr/>
                            </pic:nvPicPr>
                            <pic:blipFill rotWithShape="1">
                              <a:blip r:embed="rId23"/>
                              <a:stretch/>
                            </pic:blipFill>
                            <pic:spPr bwMode="auto">
                              <a:xfrm flipH="0" flipV="0">
                                <a:off x="0" y="0"/>
                                <a:ext cx="2636210" cy="18608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7.58pt;height:146.52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r>
              <w:rPr>
                <w:b/>
                <w:bCs/>
                <w:i/>
                <w:lang w:val="pt-BR"/>
              </w:rPr>
            </w:r>
          </w:p>
        </w:tc>
      </w:tr>
    </w:tbl>
    <w:p>
      <w:pPr>
        <w:pBdr/>
        <w:spacing/>
        <w:ind/>
        <w:rPr/>
      </w:pPr>
      <w:r/>
      <w:r/>
    </w:p>
    <w:p>
      <w:pPr>
        <w:pBdr/>
        <w:spacing w:after="200" w:line="276" w:lineRule="auto"/>
        <w:ind/>
        <w:jc w:val="center"/>
        <w:rPr>
          <w:bCs/>
          <w:i/>
          <w:lang w:val="pt-BR"/>
        </w:rPr>
      </w:pPr>
      <w:r>
        <w:rPr>
          <w:bCs/>
          <w:i/>
          <w:lang w:val="pt-BR"/>
        </w:rPr>
      </w:r>
      <w:r>
        <mc:AlternateContent>
          <mc:Choice Requires="wpg">
            <w:drawing>
              <wp:inline xmlns:wp="http://schemas.openxmlformats.org/drawingml/2006/wordprocessingDrawing" distT="0" distB="0" distL="0" distR="0">
                <wp:extent cx="6286500" cy="91434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03235" name=""/>
                        <pic:cNvPicPr>
                          <a:picLocks noChangeAspect="1"/>
                        </pic:cNvPicPr>
                        <pic:nvPr/>
                      </pic:nvPicPr>
                      <pic:blipFill rotWithShape="1">
                        <a:blip r:embed="rId24"/>
                        <a:stretch/>
                      </pic:blipFill>
                      <pic:spPr bwMode="auto">
                        <a:xfrm flipH="0" flipV="0">
                          <a:off x="0" y="0"/>
                          <a:ext cx="6286499" cy="9143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95.00pt;height:719.96pt;mso-wrap-distance-left:0.00pt;mso-wrap-distance-top:0.00pt;mso-wrap-distance-right:0.00pt;mso-wrap-distance-bottom:0.00pt;z-index:1;" stroked="false">
                <v:imagedata r:id="rId24" o:title=""/>
                <o:lock v:ext="edit" rotation="t"/>
              </v:shape>
            </w:pict>
          </mc:Fallback>
        </mc:AlternateContent>
      </w:r>
      <w:r>
        <w:rPr>
          <w:bCs/>
          <w:i/>
          <w:lang w:val="pt-BR"/>
        </w:rPr>
      </w:r>
      <w:r>
        <w:rPr>
          <w:bCs/>
          <w:i/>
          <w:lang w:val="pt-BR"/>
        </w:rPr>
      </w:r>
      <w:r>
        <w:rPr>
          <w:bCs/>
          <w:i/>
          <w:lang w:val="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
          <w:highlight w:val="none"/>
        </w:rPr>
      </w:r>
      <w:r>
        <mc:AlternateContent>
          <mc:Choice Requires="wpg">
            <w:drawing>
              <wp:inline xmlns:wp="http://schemas.openxmlformats.org/drawingml/2006/wordprocessingDrawing" distT="0" distB="0" distL="0" distR="0">
                <wp:extent cx="6286500" cy="93053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9453" name=""/>
                        <pic:cNvPicPr>
                          <a:picLocks noChangeAspect="1"/>
                        </pic:cNvPicPr>
                        <pic:nvPr/>
                      </pic:nvPicPr>
                      <pic:blipFill rotWithShape="1">
                        <a:blip r:embed="rId25"/>
                        <a:stretch/>
                      </pic:blipFill>
                      <pic:spPr bwMode="auto">
                        <a:xfrm flipH="0" flipV="0">
                          <a:off x="0" y="0"/>
                          <a:ext cx="6286499" cy="9305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5.00pt;height:732.71pt;mso-wrap-distance-left:0.00pt;mso-wrap-distance-top:0.00pt;mso-wrap-distance-right:0.00pt;mso-wrap-distance-bottom:0.00pt;z-index:1;" stroked="false">
                <v:imagedata r:id="rId25" o:title=""/>
                <o:lock v:ext="edit" rotation="t"/>
              </v:shape>
            </w:pict>
          </mc:Fallback>
        </mc:AlternateContent>
      </w:r>
      <w:r>
        <w:rPr>
          <w:b/>
          <w:highlight w:val="none"/>
        </w:rPr>
      </w:r>
      <w:r/>
      <w:r>
        <w:rPr>
          <w:b/>
          <w:highlight w:val="none"/>
        </w:rPr>
      </w:r>
      <w:r/>
      <w:r>
        <w:rPr>
          <w:b/>
          <w:highlight w:val="none"/>
        </w:rPr>
      </w:r>
      <w:r>
        <w:rPr>
          <w:b/>
          <w:highlight w:val="none"/>
        </w:rPr>
      </w:r>
      <w:r>
        <w:rPr>
          <w:b/>
          <w:highlight w:val="none"/>
        </w:rPr>
      </w:r>
      <w:r/>
      <w:r>
        <w:rPr>
          <w:b/>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275/2026/0372/VFI-BC.17.A</w:t>
      </w:r>
      <w:r>
        <w:rPr>
          <w:i/>
          <w:lang w:val="pt-BR"/>
        </w:rPr>
        <w:t xml:space="preserve"> </w:t>
      </w:r>
      <w:r>
        <w:rPr>
          <w:i/>
          <w:lang w:val="pt-BR"/>
        </w:rPr>
        <w:t xml:space="preserve">9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10008" w:type="dxa"/>
        <w:tblBorders/>
        <w:tblLayout w:type="fixed"/>
        <w:tblLook w:val="04A0" w:firstRow="1" w:lastRow="0" w:firstColumn="1" w:lastColumn="0" w:noHBand="0" w:noVBand="1"/>
      </w:tblPr>
      <w:tblGrid>
        <w:gridCol w:w="632"/>
        <w:gridCol w:w="3076"/>
        <w:gridCol w:w="630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0986490568</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2.748.750.000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2.473.875.000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 Đất trồng cây lâu năm (266.5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2,5km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366.5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376" w:type="dxa"/>
            <w:vAlign w:val="center"/>
            <w:textDirection w:val="lrTb"/>
            <w:noWrap w:val="false"/>
          </w:tcPr>
          <w:p>
            <w:pPr>
              <w:pBdr/>
              <w:spacing w:line="276" w:lineRule="auto"/>
              <w:ind/>
              <w:rPr>
                <w:b/>
                <w:bCs/>
                <w:color w:val="000000"/>
                <w:sz w:val="22"/>
                <w:szCs w:val="22"/>
                <w:highlight w:val="none"/>
              </w:rPr>
            </w:pPr>
            <w:r>
              <w:rPr>
                <w:b/>
                <w:bCs/>
                <w:color w:val="000000"/>
                <w:sz w:val="22"/>
                <w:szCs w:val="22"/>
              </w:rPr>
              <w:t xml:space="preserve"> </w:t>
            </w:r>
            <w:r>
              <w:rPr>
                <w:b/>
                <w:bCs/>
                <w:color w:val="000000"/>
                <w:sz w:val="22"/>
                <w:szCs w:val="22"/>
              </w:rPr>
              <w:t xml:space="preserve">Hình</w:t>
            </w:r>
            <w:r>
              <w:rPr>
                <w:b/>
                <w:bCs/>
                <w:color w:val="000000"/>
                <w:sz w:val="22"/>
                <w:szCs w:val="22"/>
              </w:rPr>
              <w:t xml:space="preserve"> </w:t>
            </w:r>
            <w:r>
              <w:rPr>
                <w:b/>
                <w:bCs/>
                <w:color w:val="000000"/>
                <w:sz w:val="22"/>
                <w:szCs w:val="22"/>
              </w:rPr>
              <w:t xml:space="preserve">ảnh</w:t>
            </w:r>
            <w:r>
              <w:rPr>
                <w:b/>
                <w:bCs/>
                <w:color w:val="000000"/>
                <w:sz w:val="22"/>
                <w:szCs w:val="22"/>
              </w:rPr>
              <w:t xml:space="preserve"> </w:t>
            </w:r>
            <w:r>
              <w:rPr>
                <w:b/>
                <w:bCs/>
                <w:color w:val="000000"/>
                <w:sz w:val="22"/>
                <w:szCs w:val="22"/>
              </w:rPr>
              <w:t xml:space="preserve">đăng</w:t>
            </w:r>
            <w:r>
              <w:rPr>
                <w:b/>
                <w:bCs/>
                <w:color w:val="000000"/>
                <w:sz w:val="22"/>
                <w:szCs w:val="22"/>
              </w:rPr>
              <w:t xml:space="preserve"> </w:t>
            </w:r>
            <w:r>
              <w:rPr>
                <w:b/>
                <w:bCs/>
                <w:color w:val="000000"/>
                <w:sz w:val="22"/>
                <w:szCs w:val="22"/>
              </w:rPr>
              <w:t xml:space="preserve">bán</w:t>
            </w:r>
            <w:r>
              <w:rPr>
                <w:b/>
                <w:bCs/>
                <w:color w:val="000000"/>
                <w:sz w:val="22"/>
                <w:szCs w:val="22"/>
              </w:rPr>
              <w:t xml:space="preserve">: </w:t>
            </w:r>
            <w:r>
              <w:rPr>
                <w:color w:val="000000"/>
                <w:sz w:val="22"/>
                <w:szCs w:val="22"/>
              </w:rPr>
            </w:r>
          </w:p>
          <w:p>
            <w:pPr>
              <w:pBdr/>
              <w:spacing w:line="276" w:lineRule="auto"/>
              <w:ind/>
              <w:rPr>
                <w:color w:val="000000"/>
                <w:sz w:val="22"/>
                <w:szCs w:val="22"/>
              </w:rPr>
            </w:pPr>
            <w:r>
              <w:rPr>
                <w:b/>
                <w:bCs/>
                <w:color w:val="000000"/>
                <w:sz w:val="22"/>
                <w:szCs w:val="22"/>
                <w:highlight w:val="none"/>
              </w:rPr>
            </w:r>
            <w:r>
              <w:rPr>
                <w:b/>
                <w:bCs/>
                <w:color w:val="000000"/>
                <w:sz w:val="22"/>
                <w:szCs w:val="22"/>
                <w:highlight w:val="none"/>
              </w:rPr>
            </w:r>
            <w:r>
              <w:rPr>
                <w:b/>
                <w:bCs/>
                <w:color w:val="000000"/>
                <w:sz w:val="22"/>
                <w:szCs w:val="22"/>
                <w:highlight w:val="none"/>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80081" cy="36343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3880080" cy="363436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5.52pt;height:286.1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6343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427751" cy="363436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42pt;height:286.1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color w:val="000000"/>
                <w:sz w:val="22"/>
                <w:szCs w:val="22"/>
                <w:highlight w:val="none"/>
              </w:rPr>
            </w:pPr>
            <w:r>
              <w:rPr>
                <w:color w:val="000000"/>
                <w:sz w:val="22"/>
                <w:szCs w:val="22"/>
              </w:rPr>
            </w:r>
            <w:r>
              <w:rPr>
                <w:b/>
                <w:bCs/>
                <w:color w:val="000000"/>
                <w:sz w:val="22"/>
                <w:szCs w:val="22"/>
              </w:rPr>
              <w:t xml:space="preserve">Hình</w:t>
            </w:r>
            <w:r>
              <w:rPr>
                <w:b/>
                <w:bCs/>
                <w:color w:val="000000"/>
                <w:sz w:val="22"/>
                <w:szCs w:val="22"/>
              </w:rPr>
              <w:t xml:space="preserve"> </w:t>
            </w:r>
            <w:r>
              <w:rPr>
                <w:b/>
                <w:bCs/>
                <w:color w:val="000000"/>
                <w:sz w:val="22"/>
                <w:szCs w:val="22"/>
              </w:rPr>
              <w:t xml:space="preserve">ảnh</w:t>
            </w:r>
            <w:r>
              <w:rPr>
                <w:b/>
                <w:bCs/>
                <w:color w:val="000000"/>
                <w:sz w:val="22"/>
                <w:szCs w:val="22"/>
              </w:rPr>
              <w:t xml:space="preserve"> </w:t>
            </w:r>
            <w:r>
              <w:rPr>
                <w:b/>
                <w:bCs/>
                <w:color w:val="000000"/>
                <w:sz w:val="22"/>
                <w:szCs w:val="22"/>
              </w:rPr>
              <w:t xml:space="preserve">tổng</w:t>
            </w:r>
            <w:r>
              <w:rPr>
                <w:b/>
                <w:bCs/>
                <w:color w:val="000000"/>
                <w:sz w:val="22"/>
                <w:szCs w:val="22"/>
              </w:rPr>
              <w:t xml:space="preserve"> </w:t>
            </w:r>
            <w:r>
              <w:rPr>
                <w:b/>
                <w:bCs/>
                <w:color w:val="000000"/>
                <w:sz w:val="22"/>
                <w:szCs w:val="22"/>
              </w:rPr>
              <w:t xml:space="preserve">quan</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r>
            <w:r>
              <w:rPr>
                <w:b/>
                <w:bCs/>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554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455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5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91309" cy="3815222"/>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591309" cy="38152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0.26pt;height:300.4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tblInd w:w="108" w:type="dxa"/>
        <w:tblW w:w="9918" w:type="dxa"/>
        <w:tblBorders/>
        <w:tblLayout w:type="fixed"/>
        <w:tblLook w:val="04A0" w:firstRow="1" w:lastRow="0" w:firstColumn="1" w:lastColumn="0" w:noHBand="0" w:noVBand="1"/>
      </w:tblPr>
      <w:tblGrid>
        <w:gridCol w:w="9918"/>
      </w:tblGrid>
      <w:tr>
        <w:trPr>
          <w:trHeight w:val="298"/>
        </w:trPr>
        <w:tc>
          <w:tcPr>
            <w:tcBorders/>
            <w:tcW w:w="991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918" w:type="dxa"/>
            <w:vAlign w:val="center"/>
            <w:textDirection w:val="lrTb"/>
            <w:noWrap/>
          </w:tcPr>
          <w:p>
            <w:pPr>
              <w:pBdr/>
              <w:spacing/>
              <w:ind/>
              <w:jc w:val="center"/>
              <w:rPr>
                <w:b/>
                <w:bCs/>
              </w:rPr>
            </w:pPr>
            <w:r>
              <w:rPr>
                <w:b/>
                <w:bCs/>
              </w:rPr>
              <w:t xml:space="preserve">Trần Sơn Tùng</w:t>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830" w:type="dxa"/>
        <w:tblBorders/>
        <w:tblLayout w:type="fixed"/>
        <w:tblLook w:val="04A0" w:firstRow="1" w:lastRow="0" w:firstColumn="1" w:lastColumn="0" w:noHBand="0" w:noVBand="1"/>
      </w:tblPr>
      <w:tblGrid>
        <w:gridCol w:w="632"/>
        <w:gridCol w:w="3078"/>
        <w:gridCol w:w="612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0889996136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3.326.720.000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2.827.712.000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 m²), Đất trồng cây lâu năm (311.6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1km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361,6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8,99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0544" cy="420572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490543" cy="42057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2.33pt;height:331.1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16050" cy="380311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72803608" name="" descr=""/>
                              <pic:cNvPicPr/>
                              <pic:nvPr/>
                            </pic:nvPicPr>
                            <pic:blipFill rotWithShape="1">
                              <a:blip r:embed="rId31"/>
                              <a:stretch/>
                            </pic:blipFill>
                            <pic:spPr bwMode="auto">
                              <a:xfrm flipH="0" flipV="0">
                                <a:off x="0" y="0"/>
                                <a:ext cx="2416050" cy="3803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0.24pt;height:299.46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b/>
                <w:bCs/>
                <w:color w:val="000000"/>
                <w:sz w:val="22"/>
                <w:szCs w:val="22"/>
              </w:rPr>
              <w:t xml:space="preserve">Hình</w:t>
            </w:r>
            <w:r>
              <w:rPr>
                <w:b/>
                <w:bCs/>
                <w:color w:val="000000"/>
                <w:sz w:val="22"/>
                <w:szCs w:val="22"/>
              </w:rPr>
              <w:t xml:space="preserve"> </w:t>
            </w:r>
            <w:r>
              <w:rPr>
                <w:b/>
                <w:bCs/>
                <w:color w:val="000000"/>
                <w:sz w:val="22"/>
                <w:szCs w:val="22"/>
              </w:rPr>
              <w:t xml:space="preserve">ảnh</w:t>
            </w:r>
            <w:r>
              <w:rPr>
                <w:b/>
                <w:bCs/>
                <w:color w:val="000000"/>
                <w:sz w:val="22"/>
                <w:szCs w:val="22"/>
              </w:rPr>
              <w:t xml:space="preserve"> </w:t>
            </w:r>
            <w:r>
              <w:rPr>
                <w:b/>
                <w:bCs/>
                <w:color w:val="000000"/>
                <w:sz w:val="22"/>
                <w:szCs w:val="22"/>
              </w:rPr>
              <w:t xml:space="preserve">tổng</w:t>
            </w:r>
            <w:r>
              <w:rPr>
                <w:b/>
                <w:bCs/>
                <w:color w:val="000000"/>
                <w:sz w:val="22"/>
                <w:szCs w:val="22"/>
              </w:rPr>
              <w:t xml:space="preserve"> </w:t>
            </w:r>
            <w:r>
              <w:rPr>
                <w:b/>
                <w:bCs/>
                <w:color w:val="000000"/>
                <w:sz w:val="22"/>
                <w:szCs w:val="22"/>
              </w:rPr>
              <w:t xml:space="preserve">quan</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77656" cy="319735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977655" cy="31973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4.46pt;height:251.7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787" cy="3197353"/>
                      <wp:effectExtent l="0" t="0" r="0" b="0"/>
                      <wp:docPr id="21" name=""/>
                      <wp:cNvGraphicFramePr/>
                      <a:graphic xmlns:a="http://schemas.openxmlformats.org/drawingml/2006/main">
                        <a:graphicData uri="http://schemas.openxmlformats.org/drawingml/2006/picture">
                          <pic:pic xmlns:pic="http://schemas.openxmlformats.org/drawingml/2006/picture">
                            <pic:nvPicPr>
                              <pic:cNvPr id="53163137" name="" descr=""/>
                              <pic:cNvPicPr/>
                              <pic:nvPr/>
                            </pic:nvPicPr>
                            <pic:blipFill rotWithShape="1">
                              <a:blip r:embed="rId33"/>
                              <a:stretch/>
                            </pic:blipFill>
                            <pic:spPr bwMode="auto">
                              <a:xfrm flipH="0" flipV="0">
                                <a:off x="0" y="0"/>
                                <a:ext cx="2381786" cy="31973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4pt;height:251.76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738" w:type="dxa"/>
        <w:tblBorders/>
        <w:tblLayout w:type="fixed"/>
        <w:tblLook w:val="04A0" w:firstRow="1" w:lastRow="0" w:firstColumn="1" w:lastColumn="0" w:noHBand="0" w:noVBand="1"/>
      </w:tblPr>
      <w:tblGrid>
        <w:gridCol w:w="9738"/>
      </w:tblGrid>
      <w:tr>
        <w:trPr>
          <w:trHeight w:val="312"/>
        </w:trPr>
        <w:tc>
          <w:tcPr>
            <w:tcBorders/>
            <w:tcW w:w="973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973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30" w:type="dxa"/>
        <w:tblBorders/>
        <w:tblLayout w:type="fixed"/>
        <w:tblLook w:val="04A0" w:firstRow="1" w:lastRow="0" w:firstColumn="1" w:lastColumn="0" w:noHBand="0" w:noVBand="1"/>
      </w:tblPr>
      <w:tblGrid>
        <w:gridCol w:w="632"/>
        <w:gridCol w:w="3348"/>
        <w:gridCol w:w="585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0963460083</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1.580.000.000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1.343.000.000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(45 m²), Đất trồng cây lâu năm (78.8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nằm tại Xã Ngọc Thanh, thành phố Phúc Yên, tỉnh Vĩnh Phúc. Cách khu vực Du lịch Hồ Đại Lải khoảng 1km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123.8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5.69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4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64290" cy="4139134"/>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664289" cy="41391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88.53pt;height:325.92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758953" cy="4139134"/>
                      <wp:effectExtent l="0" t="0" r="0" b="0"/>
                      <wp:docPr id="23" name=""/>
                      <wp:cNvGraphicFramePr/>
                      <a:graphic xmlns:a="http://schemas.openxmlformats.org/drawingml/2006/main">
                        <a:graphicData uri="http://schemas.openxmlformats.org/drawingml/2006/picture">
                          <pic:pic xmlns:pic="http://schemas.openxmlformats.org/drawingml/2006/picture">
                            <pic:nvPicPr>
                              <pic:cNvPr id="403606115" name="" descr=""/>
                              <pic:cNvPicPr/>
                              <pic:nvPr/>
                            </pic:nvPicPr>
                            <pic:blipFill rotWithShape="1">
                              <a:blip r:embed="rId35"/>
                              <a:stretch/>
                            </pic:blipFill>
                            <pic:spPr bwMode="auto">
                              <a:xfrm flipH="0" flipV="0">
                                <a:off x="0" y="0"/>
                                <a:ext cx="1758953" cy="41391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38.50pt;height:325.92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9643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807690052" name="" descr=""/>
                              <pic:cNvPicPr/>
                              <pic:nvPr/>
                            </pic:nvPicPr>
                            <pic:blipFill rotWithShape="1">
                              <a:blip r:embed="rId36"/>
                              <a:stretch/>
                            </pic:blipFill>
                            <pic:spPr bwMode="auto">
                              <a:xfrm flipH="0" flipV="0">
                                <a:off x="0" y="0"/>
                                <a:ext cx="279643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0.19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7352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57352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02.64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9203"/>
      </w:tblGrid>
      <w:tr>
        <w:trPr>
          <w:trHeight w:val="312"/>
        </w:trPr>
        <w:tc>
          <w:tcPr>
            <w:tcBorders/>
            <w:tcW w:w="9203"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9203"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b/>
                <w:bCs/>
                <w:highlight w:val="none"/>
              </w:rPr>
            </w:pPr>
            <w:r>
              <w:rPr>
                <w:b/>
                <w:bCs/>
              </w:rPr>
              <w:t xml:space="preserve">Trần Sơn Tùng</w:t>
            </w:r>
            <w:r>
              <w:rPr>
                <w:b/>
                <w:bCs/>
              </w:rPr>
            </w:r>
            <w:r>
              <w:rPr>
                <w:b/>
                <w:bCs/>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476" w:bottom="67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273</cp:revision>
  <dcterms:created xsi:type="dcterms:W3CDTF">2025-09-15T09:58:00Z</dcterms:created>
  <dcterms:modified xsi:type="dcterms:W3CDTF">2026-03-16T04:50:17Z</dcterms:modified>
</cp:coreProperties>
</file>