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1089328</wp:posOffset>
                </wp:positionV>
                <wp:extent cx="5467350" cy="333375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337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275/2026/0361/VFI-CT.48.A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MINH ĐỨC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442, tờ bản đồ số 200 có địa chỉ: Xã Ngọc Thanh, thành phố Phúc Yên, tỉnh Vĩnh Phúc </w:t>
                            </w:r>
                            <w:r>
                              <w:rPr>
                                <w:color w:val="000000"/>
                              </w:rPr>
                              <w:t xml:space="preserve">(nay là phường Xuân Hoà, tỉnh Phú Thọ) theo Giấy chứng nhận quyền sử dụng đất, quyền sở hữu nhà ở và tài sản gắn liền với đất số: DC 477978, số vào sổ cấp GCN: CS04314 do Sở Tài nguyên và Môi trường tỉnh Vĩnh Phúc cấp ngày 30/6/2021 cho Ông Nguyễn Minh Đức</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85.77pt;mso-position-vertical:absolute;width:430.50pt;height:262.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275/2026/0361/VFI-CT.48.A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MINH ĐỨC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442, tờ bản đồ số 200 có địa chỉ: Xã Ngọc Thanh, thành phố Phúc Yên, tỉnh Vĩnh Phúc </w:t>
                      </w:r>
                      <w:r>
                        <w:rPr>
                          <w:color w:val="000000"/>
                        </w:rPr>
                        <w:t xml:space="preserve">(nay là phường Xuân Hoà, tỉnh Phú Thọ) theo Giấy chứng nhận quyền sử dụng đất, quyền sở hữu nhà ở và tài sản gắn liền với đất số: DC 477978, số vào sổ cấp GCN: CS04314 do Sở Tài nguyên và Môi trường tỉnh Vĩnh Phúc cấp ngày 30/6/2021 cho Ông Nguyễn Minh Đức</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21-26</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2" w:type="dxa"/>
        <w:tblBorders/>
        <w:tblLayout w:type="fixed"/>
        <w:tblLook w:val="04A0" w:firstRow="1" w:lastRow="0" w:firstColumn="1" w:lastColumn="0" w:noHBand="0" w:noVBand="1"/>
      </w:tblPr>
      <w:tblGrid>
        <w:gridCol w:w="1588"/>
        <w:gridCol w:w="3444"/>
        <w:gridCol w:w="5031"/>
        <w:gridCol w:w="29"/>
      </w:tblGrid>
      <w:tr>
        <w:trPr>
          <w:trHeight w:val="1152"/>
        </w:trPr>
        <w:tc>
          <w:tcPr>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50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031"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275/2026/0361/VFI-CT.48.A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5 tháng 3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MINH ĐỨC</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275/2026/0361/VFI-HĐTĐ.48.A</w:t>
      </w:r>
      <w:r>
        <w:rPr>
          <w:spacing w:val="-4"/>
          <w:lang w:val="vi-VN"/>
        </w:rPr>
        <w:t xml:space="preserve"> ký ngày </w:t>
      </w:r>
      <w:r>
        <w:rPr>
          <w:color w:val="000000" w:themeColor="text1"/>
          <w:spacing w:val="-4"/>
        </w:rPr>
        <w:t xml:space="preserve">2 tháng 3 năm 2026</w:t>
      </w:r>
      <w:r>
        <w:rPr>
          <w:spacing w:val="-4"/>
          <w:lang w:val="vi-VN"/>
        </w:rPr>
        <w:t xml:space="preserve"> </w:t>
      </w:r>
      <w:r>
        <w:rPr>
          <w:spacing w:val="-4"/>
          <w:lang w:val="vi-VN"/>
        </w:rPr>
        <w:t xml:space="preserve">giữa </w:t>
      </w:r>
      <w:r>
        <w:rPr>
          <w:color w:val="000000" w:themeColor="text1"/>
          <w:spacing w:val="-4"/>
        </w:rPr>
        <w:t xml:space="preserve">Ông Nguyễn Minh Đức</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275/2026/0361/VFI-BC.48.A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5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MINH ĐỨC</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1992</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442, tờ bản đồ số 200 có địa chỉ: Xã Ngọc Thanh, thành phố Phúc Yên, tỉnh Vĩnh Phúc </w:t>
      </w:r>
      <w:r>
        <w:rPr>
          <w:color w:val="000000" w:themeColor="text1"/>
        </w:rPr>
        <w:t xml:space="preserve">(nay là phường Xuân Hoà, tỉnh Phú Thọ) theo Giấy chứng nhận quyền sử dụng đất, quyền sở hữu nhà ở và tài sản gắn liền với đất số: DC 477978, số vào sổ cấp GCN: CS04314 do Sở Tài nguyên và Môi trường tỉnh Vĩnh Phúc cấp ngày 30/6/2021 cho Ông Nguyễn Minh Đức</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03/2026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335"/>
        <w:gridCol w:w="149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35"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49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442, tờ bản đồ số 200 có địa chỉ: Xã Ngọc Thanh, thành phố Phúc Yên, tỉnh Vĩnh Phúc </w:t>
            </w:r>
            <w:r>
              <w:rPr>
                <w:color w:val="000000"/>
              </w:rPr>
              <w:t xml:space="preserve">(nay là phường Xuân Hoà, tỉnh Phú Thọ) theo Giấy chứng nhận quyền sử dụng đất, quyền sở hữu nhà ở và tài sản gắn liền với đất số: DC 477978, số vào sổ cấp GCN: CS04314 do Sở Tài nguyên và Môi trường tỉnh Vĩnh Phúc cấp ngày 30/6/2021 cho Ông Nguyễn Minh Đức</w:t>
            </w:r>
            <w:r>
              <w:rPr>
                <w:b w:val="0"/>
                <w:bCs w:val="0"/>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335"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492" w:type="dxa"/>
            <w:vAlign w:val="center"/>
            <w:textDirection w:val="lrTb"/>
            <w:noWrap/>
          </w:tcPr>
          <w:p>
            <w:pPr>
              <w:pBdr/>
              <w:spacing w:after="40" w:before="40" w:line="288" w:lineRule="auto"/>
              <w:ind/>
              <w:jc w:val="center"/>
              <w:rPr>
                <w:color w:val="000000"/>
              </w:rPr>
            </w:pPr>
            <w:r>
              <w:rPr>
                <w:color w:val="000000" w:themeColor="text1"/>
              </w:rPr>
              <w:t xml:space="preserve">91,0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25.000.000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2.275.000.000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2.275.000.000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tỷ hai trăm bảy mươi lăm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29"/>
        <w:gridCol w:w="3302"/>
        <w:gridCol w:w="5031"/>
        <w:gridCol w:w="29"/>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031"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275/2026/0361/VFI-CT.48.A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5 tháng 3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275/2026/0361/VFI-CT.48.A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5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MINH ĐỨC</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1992</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442, tờ bản đồ số 200 có địa chỉ: Xã Ngọc Thanh, thành phố Phúc Yên, tỉnh Vĩnh Phúc </w:t>
            </w:r>
            <w:r>
              <w:rPr>
                <w:bCs/>
                <w:color w:val="000000" w:themeColor="text1"/>
                <w:lang w:val="pt-BR"/>
              </w:rPr>
              <w:t xml:space="preserve">(nay là phường Xuân Hoà, tỉnh Phú Thọ) theo Giấy chứng nhận quyền sử dụng đất, quyền sở hữu nhà ở và tài sản gắn liền với đất số: DC 477978, số vào sổ cấp GCN: CS04314 do Sở Tài nguyên và Môi trường tỉnh Vĩnh Phúc cấp ngày 30/6/2021 cho Ông Nguyễn Minh Đức</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Phường Xuân Hoà, tỉnh Phú Thọ</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21.299944444444, 105.7295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nhà ở và tài sản gắn liền với đất số: DC 477978, số vào sổ cấp GCN: CS04314 do Sở Tài nguyên và Môi trường tỉnh Vĩnh Phúc cấp ngày 30/6/2021 cho Ông Nguyễn Minh Đức</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r>
      <w:r>
        <w:rPr>
          <w:rFonts w:ascii="Times New Roman" w:hAnsi="Times New Roman" w:eastAsia="Times New Roman" w:cs="Times New Roman"/>
          <w:color w:val="000000"/>
          <w:sz w:val="24"/>
        </w:rPr>
        <w:t xml:space="preserve">Hợp đồng số 275/2026/0361/VFI-HĐTĐ.48.A ngày 01/3/2026 giữa </w:t>
      </w:r>
      <w:r>
        <w:rPr>
          <w:rFonts w:ascii="Times New Roman" w:hAnsi="Times New Roman" w:eastAsia="Times New Roman" w:cs="Times New Roman"/>
          <w:color w:val="000000"/>
          <w:spacing w:val="-4"/>
          <w:sz w:val="24"/>
        </w:rPr>
        <w:t xml:space="preserve">Ông Nguyễn Minh Đức </w:t>
      </w:r>
      <w:r>
        <w:rPr>
          <w:rFonts w:ascii="Times New Roman" w:hAnsi="Times New Roman" w:eastAsia="Times New Roman" w:cs="Times New Roman"/>
          <w:color w:val="000000"/>
          <w:sz w:val="24"/>
        </w:rPr>
        <w:t xml:space="preserve">với Công ty Cổ phần Thẩm định và Đầu tư Tài chính Hoa Sen</w:t>
      </w:r>
      <w:r>
        <w:rPr>
          <w:color w:val="000000" w:themeColor="text1"/>
          <w:lang w:val="pt-BR"/>
        </w:rPr>
        <w:t xml:space="preserve">.</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lang w:val="pt-BR"/>
        </w:rPr>
        <w:tab/>
      </w:r>
      <w:r>
        <w:rPr>
          <w:rFonts w:ascii="Times New Roman" w:hAnsi="Times New Roman" w:eastAsia="Times New Roman" w:cs="Times New Roman"/>
          <w:color w:val="000000"/>
          <w:sz w:val="24"/>
        </w:rPr>
        <w:t xml:space="preserve">Thị trường đất nền tại Vĩnh Phúc cũ trong năm 2025 đang có những chuyển biến tích cực. Với chính sách quy hoạch đồng bộ và đầu tư mạnh mẽ vào cơ sở hạ tầng, tình hình cung cầu trên thị trường đang dần hồi phục.</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Đất nền tại các khu vực trung tâm và gần khu công nghiệp như Vĩnh Yên, Phúc Yên, và Bình Xuyên đang nhận được sự quan tâm lớn.</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Các dự án nhà ở, khu đô thị mới cũng đã kích cầu thị trường. Nhiều nhà đầu tư tập trung vào đất nền vì tiềm năng sinh lời cao, do đây là loại hình bất động sản phù hợp với chiến lược đầu tư dài hạn.</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Đất nền dự án và đất nền thổ cư là hai loại hình sản phẩm chính được giao dịch nhiều nhất. Trong đó, đất nền dự án tại các khu đô thị mới nhận được sự quan tâm lớn từ cả người mua để ở lẫn nhà đầu tư. Đất nền thổ cư tại các vùng ngoại ô với giá rẻ hơn cũng</w:t>
      </w:r>
      <w:r>
        <w:rPr>
          <w:rFonts w:ascii="Times New Roman" w:hAnsi="Times New Roman" w:eastAsia="Times New Roman" w:cs="Times New Roman"/>
          <w:color w:val="000000"/>
          <w:sz w:val="24"/>
        </w:rPr>
        <w:t xml:space="preserve"> thu hút các nhà đầu tư nhỏ lẻ.</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Trong tương lai gần, thị trường đất nền tại Vĩnh Phúc dự kiến sẽ tiếp tục phát triển ổn định, với xu hướng tăng trưởng bền vững nhờ các yếu tố sau:</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Phát triển hạ tầng giao thông và đô thị hóa: Với các dự án hạ tầng lớn như cao tốc Hà Nội - Lào Cai, Vành đai 4 Hà Nội và các tuyến tỉnh lộ được mở rộng, hạ tầng giao thông hiện đại sẽ là động lực lớn thúc đẩy giá đất nền tăng trưởng. Đặc biệt, các khu vực</w:t>
      </w:r>
      <w:r>
        <w:rPr>
          <w:rFonts w:ascii="Times New Roman" w:hAnsi="Times New Roman" w:eastAsia="Times New Roman" w:cs="Times New Roman"/>
          <w:color w:val="000000"/>
          <w:sz w:val="24"/>
        </w:rPr>
        <w:t xml:space="preserve"> gần trung tâm hành chính, khu công nghiệp lớn và các điểm du lịch như Vĩnh Yên, Phúc Yên, Tam Đảo sẽ chứng kiến sự tăng giá mạnh mẽ.</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Quy hoạch đô thị hiện đại: Đến năm 2030, tỉnh đặt mục tiêu đạt tỷ lệ đô thị hóa 65% với việc nâng cấp hàng loạt đô thị loại II và IV, đồng thời phát triển các khu đô thị mới. Điều này không chỉ làm tăng nhu cầu đất nền ở các khu vực trung tâm mà còn tạo đi</w:t>
      </w:r>
      <w:r>
        <w:rPr>
          <w:rFonts w:ascii="Times New Roman" w:hAnsi="Times New Roman" w:eastAsia="Times New Roman" w:cs="Times New Roman"/>
          <w:color w:val="000000"/>
          <w:sz w:val="24"/>
        </w:rPr>
        <w:t xml:space="preserve">ều kiện cho các vùng ven đô phát triển, kéo theo sự gia tăng về giá đất.</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Thị trường đất nền tăng trưởng dài hạn: Thị trường đất nền tại Vĩnh Phúc có tiềm năng tăng trưởng trong dài hạn nhờ quy hoạch bài bản và hạ tầng đồng bộ. Tuy nhiên, giá đất nền có thể tăng nhẹ theo từng giai đoạn, phù hợp với tốc độ phát triển của các dự á</w:t>
      </w:r>
      <w:r>
        <w:rPr>
          <w:rFonts w:ascii="Times New Roman" w:hAnsi="Times New Roman" w:eastAsia="Times New Roman" w:cs="Times New Roman"/>
          <w:color w:val="000000"/>
          <w:sz w:val="24"/>
        </w:rPr>
        <w:t xml:space="preserve">n đô thị và công nghiệp.</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Cơ hội khi đầu tư vào thị trường đất nền Vĩnh Phúc cụ thể như sau:</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Sự phát triển công nghiệp và khu đô thị mới: Vĩnh Phúc tiếp tục là điểm đến thu hút các dự án lớn về công nghiệp và đô thị. Với nhiều khu công nghiệp như KCN Bình Xuyên, KCN Bá Thiện, và các khu đô thị mới được quy hoạch, thị trường đất nền sẽ có cơ hội ph</w:t>
      </w:r>
      <w:r>
        <w:rPr>
          <w:rFonts w:ascii="Times New Roman" w:hAnsi="Times New Roman" w:eastAsia="Times New Roman" w:cs="Times New Roman"/>
          <w:color w:val="000000"/>
          <w:sz w:val="24"/>
        </w:rPr>
        <w:t xml:space="preserve">át triển mạnh mẽ.</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Tiềm năng du lịch tại Tam Đảo:Khu du lịch Tam Đảo không chỉ thu hút khách du lịch mà còn tạo cơ hội phát triển các dự án bất động sản nghỉ dưỡng, giúp gia tăng giá trị đất nền trong khu vực.</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Quy hoạch đô thị và nâng cấp hạ tầng: Quy hoạch và chính sách đầu tư của tỉnh sẽ là nhân tố then chốt giúp giá đất nền tăng trưởng ổn định. Các tuyến đường giao thông, cơ sở hạ tầng mới được đầu tư sẽ làm tăng sức hấp dẫn cho các nhà đầu tư và người mua.</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Tuy nhiên, vẫn còn một số thách thức mà nhà đầu tư cần chú ý:</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Giá đất cao ở trung tâm: Ở các khu vực trung tâm như Vĩnh Yên, Phúc Yên, giá đất nền hiện tại đã cao, gây ra sự phân hóa mạnh mẽ trong khả năng tiếp cận thị trường của nhà đầu tư và người dân. Đây là một thách thức trong việc cân bằng cung cầu và phát triể</w:t>
      </w:r>
      <w:r>
        <w:rPr>
          <w:rFonts w:ascii="Times New Roman" w:hAnsi="Times New Roman" w:eastAsia="Times New Roman" w:cs="Times New Roman"/>
          <w:color w:val="000000"/>
          <w:sz w:val="24"/>
        </w:rPr>
        <w:t xml:space="preserve">n bền vững.</w:t>
      </w:r>
      <w:r/>
    </w:p>
    <w:p>
      <w:pPr>
        <w:pBdr>
          <w:top w:val="none" w:color="000000" w:sz="4" w:space="0"/>
          <w:left w:val="none" w:color="000000" w:sz="4" w:space="0"/>
          <w:bottom w:val="none" w:color="000000" w:sz="4" w:space="0"/>
          <w:right w:val="none" w:color="000000" w:sz="4" w:space="0"/>
        </w:pBdr>
        <w:spacing w:after="120" w:before="120" w:line="276" w:lineRule="auto"/>
        <w:ind w:right="0" w:firstLine="426" w:left="0"/>
        <w:jc w:val="both"/>
        <w:rPr/>
      </w:pPr>
      <w:r>
        <w:rPr>
          <w:rFonts w:ascii="Times New Roman" w:hAnsi="Times New Roman" w:eastAsia="Times New Roman" w:cs="Times New Roman"/>
          <w:color w:val="000000"/>
          <w:sz w:val="24"/>
        </w:rPr>
        <w:t xml:space="preserve">Nguồn cung hạn chế:Trong khi các khu vực trung tâm có tiềm năng phát triển mạnh, một số vùng ngoại ô như Sông Lô, Lập Thạch có thể đối mặt với tình trạng nguồn cung đất nền hạn chế do thiếu quy hoạch chi tiết và phát triển hạ tầng chưa đồng bộ.</w:t>
      </w:r>
      <w:r/>
    </w:p>
    <w:p>
      <w:pPr>
        <w:pBdr/>
        <w:tabs>
          <w:tab w:val="left" w:leader="none" w:pos="426"/>
        </w:tabs>
        <w:spacing w:after="120" w:before="120" w:line="276" w:lineRule="auto"/>
        <w:ind/>
        <w:rPr>
          <w:bCs/>
          <w:i/>
          <w:lang w:val="pt-BR"/>
        </w:rPr>
      </w:pPr>
      <w:r>
        <w:rPr>
          <w:rFonts w:ascii="Times New Roman" w:hAnsi="Times New Roman" w:eastAsia="Times New Roman" w:cs="Times New Roman"/>
          <w:i/>
          <w:color w:val="000000"/>
          <w:sz w:val="24"/>
        </w:rPr>
        <w:t xml:space="preserve">(Nguồn: https://onehousing.vn/blog/tong-quan-tinh-hinh-thi-truong-dat-nen-vinh-phuc-cap-nhat-moi-nhat-n17t)</w:t>
      </w:r>
      <w:r>
        <w:rPr>
          <w:bCs/>
          <w:i/>
          <w:lang w:val="pt-BR"/>
        </w:rPr>
      </w:r>
      <w:r>
        <w:rPr>
          <w:bCs/>
          <w:i/>
          <w:lang w:val="pt-BR"/>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442, tờ bản đồ số 200 có địa chỉ: Xã Ngọc Thanh, thành phố Phúc Yên, tỉnh Vĩnh Phúc </w:t>
            </w:r>
            <w:r>
              <w:rPr>
                <w:b/>
                <w:bCs/>
                <w:color w:val="000000"/>
              </w:rPr>
              <w:t xml:space="preserve">(nay là phường Xuân Hoà, tỉnh Phú Thọ) theo Giấy chứng nhận quyền sử dụng đất, quyền sở hữu nhà ở và tài sản gắn liền với đất số: DC 477978, số vào sổ cấp GCN: CS04314 do Sở Tài nguyên và Môi trường tỉnh Vĩnh Phúc cấp ngày 30/6/2021 cho Ông Nguyễn Minh Đức</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442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200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Xã Ngọc Thanh, thành phố Phúc Yên, tỉnh Vĩnh Phúc (nay là phường Xuân Hoà, tỉnh Phú Thọ)</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91,0</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r>
      <w:tr>
        <w:trPr>
          <w:trHeight w:val="30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Nhận tặng cho đất được Nhà nước công nhận quyền sử dụng đất như Nhà nước giao đất có thu tiền sử dụng đất (Nhận tặng cho đất từ bà Nguyễn Thị Hồng)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Đường nhựa</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8,0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tiếp giáp mặt đường Phùng Chí Kiên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Đông Nam: Tiếp giáp đường giao thông</w:t>
            </w:r>
            <w:r/>
          </w:p>
          <w:p>
            <w:pPr>
              <w:pBdr/>
              <w:spacing/>
              <w:ind/>
              <w:rPr>
                <w:color w:val="000000" w:themeColor="text1"/>
              </w:rPr>
            </w:pPr>
            <w:r>
              <w:rPr>
                <w:rFonts w:ascii="Times New Roman" w:hAnsi="Times New Roman" w:eastAsia="Times New Roman" w:cs="Times New Roman"/>
                <w:color w:val="000000"/>
                <w:sz w:val="24"/>
              </w:rPr>
              <w:t xml:space="preserve">-Các hướng còn lại: Tiếp giáp các thửa đất khác</w:t>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21.299944444444</w:t>
            </w:r>
            <w:r>
              <w:rPr>
                <w:color w:val="000000"/>
              </w:rPr>
              <w:t xml:space="preserve">, </w:t>
            </w:r>
            <w:r>
              <w:rPr>
                <w:color w:val="000000"/>
              </w:rPr>
              <w:t xml:space="preserve">105.7295</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122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22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91,0</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4,36</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Nam</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Nhà 3 tầng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tổ thẩm định nhận thấy trên đất có 01 nhà 3 tầng, kết cấu BTCT, tường gạch chịu lực, sàn lát gạch men, ngoại quan còn khá. Diện tích xây dựng khoảng 90m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tổng diện tích xây dựng khoảng 270m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Hiện công trình chưa được chứng nhận trên GCN số</w:t>
            </w:r>
            <w:r>
              <w:rPr>
                <w:rFonts w:ascii="Times New Roman" w:hAnsi="Times New Roman" w:eastAsia="Times New Roman" w:cs="Times New Roman"/>
                <w:color w:val="000000"/>
                <w:spacing w:val="3"/>
                <w:sz w:val="24"/>
                <w:highlight w:val="white"/>
              </w:rPr>
              <w:t xml:space="preserve"> </w:t>
            </w:r>
            <w:r>
              <w:rPr>
                <w:rFonts w:ascii="Times New Roman" w:hAnsi="Times New Roman" w:eastAsia="Times New Roman" w:cs="Times New Roman"/>
                <w:color w:val="000000"/>
                <w:sz w:val="24"/>
              </w:rPr>
              <w:t xml:space="preserve">DC 477978.</w:t>
            </w:r>
            <w:r>
              <w:rPr>
                <w:color w:val="000000"/>
              </w:rPr>
            </w:r>
            <w:r>
              <w:rPr>
                <w:color w:val="000000"/>
              </w:rPr>
            </w:r>
          </w:p>
        </w:tc>
      </w:tr>
    </w:tbl>
    <w:p>
      <w:pPr>
        <w:pBdr/>
        <w:spacing w:line="235" w:lineRule="auto"/>
        <w:ind w:left="0"/>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khảo sát, tổ thẩm định nhận thấy trên đất có 01 nhà 3 tầng, kết cấu BTCT, tường gạch chịu lực, sàn lát gạch men, ngoại quan còn khá. Diện tích xây dựng khoảng 90m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tổng diện tích xây dựng khoảng 270m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Hiện công trình chưa được chứng nhận trên GCN số</w:t>
      </w:r>
      <w:r>
        <w:rPr>
          <w:rFonts w:ascii="Times New Roman" w:hAnsi="Times New Roman" w:eastAsia="Times New Roman" w:cs="Times New Roman"/>
          <w:color w:val="000000"/>
          <w:spacing w:val="3"/>
          <w:sz w:val="24"/>
          <w:highlight w:val="white"/>
        </w:rPr>
        <w:t xml:space="preserve"> </w:t>
      </w:r>
      <w:r>
        <w:rPr>
          <w:rFonts w:ascii="Times New Roman" w:hAnsi="Times New Roman" w:eastAsia="Times New Roman" w:cs="Times New Roman"/>
          <w:color w:val="000000"/>
          <w:sz w:val="24"/>
        </w:rPr>
        <w:t xml:space="preserve">DC 477978. 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 giá trị của công trình xây dựn</w:t>
      </w:r>
      <w:r>
        <w:rPr>
          <w:rFonts w:ascii="Times New Roman" w:hAnsi="Times New Roman" w:eastAsia="Times New Roman" w:cs="Times New Roman"/>
          <w:color w:val="000000"/>
          <w:sz w:val="24"/>
        </w:rPr>
        <w:t xml:space="preserve">g hiện có vào tổng giá trị nhưng vẫn coi công trình xây dựng là phần không thể tách rời của tài sản thẩm định. Kính đề nghị đơn vị sử dụng kết quả lưu ý</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35"/>
        <w:gridCol w:w="1993"/>
        <w:gridCol w:w="1784"/>
        <w:gridCol w:w="1784"/>
        <w:gridCol w:w="1784"/>
        <w:gridCol w:w="1784"/>
      </w:tblGrid>
      <w:tr>
        <w:trPr>
          <w:trHeight w:val="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Ngọc Thanh, thị xã Phúc Yên, tỉnh Vĩnh Phúc</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Ngọc Thanh, thị xã Phúc Yên, tỉnh Vĩnh Phúc</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Ngọc Thanh, thị xã Phúc Yên, tỉnh Vĩnh Phúc</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Ngọc Thanh, thị xã Phúc Yên, tỉnh Vĩnh Phúc</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https://batdongsan.com.vn/ban-dat-duong-truong-chinh-xa-ngoc-thanh-1/ban-mat-phuc-yen-vinh-phuc-full-tho-cu-27-trieu-m2-173-2-m2-pr44791079</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hyperlink r:id="rId18" w:tooltip="https://www.facebook.com/photo?fbid=122146358462673039&amp;set=pcb.2081495449347208" w:history="1">
              <w:r>
                <w:rPr>
                  <w:rStyle w:val="1015"/>
                  <w:rFonts w:ascii="Times New Roman" w:hAnsi="Times New Roman" w:eastAsia="Times New Roman" w:cs="Times New Roman"/>
                  <w:color w:val="000000"/>
                  <w:sz w:val="22"/>
                  <w:u w:val="none"/>
                </w:rPr>
                <w:t xml:space="preserve">Liên hệ trực tiếp</w:t>
              </w:r>
            </w:hyperlink>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https://www.facebook.com/share/p/18MDRZMpZD/</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0989356198</w:t>
              <w:br/>
              <w:t xml:space="preserve"> (Sale Đoàn Thanh Long)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0355770501</w:t>
              <w:br/>
              <w:t xml:space="preserve"> (Sale Anh Tú)</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0387011408</w:t>
              <w:br/>
              <w:t xml:space="preserve"> (sale Tuấn)</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03/2026</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03/2026</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03/2026</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(91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2"/>
                <w:highlight w:val="white"/>
              </w:rPr>
              <w:t xml:space="preserve">Đất ở tại đô thị (1</w:t>
            </w:r>
            <w:r>
              <w:rPr>
                <w:rFonts w:ascii="Times New Roman" w:hAnsi="Times New Roman" w:eastAsia="Times New Roman" w:cs="Times New Roman"/>
                <w:color w:val="000000"/>
                <w:sz w:val="22"/>
                <w:highlight w:val="white"/>
              </w:rPr>
              <w:t xml:space="preserve">73,2 </w:t>
            </w:r>
            <w:r>
              <w:rPr>
                <w:rFonts w:ascii="Times New Roman" w:hAnsi="Times New Roman" w:eastAsia="Times New Roman" w:cs="Times New Roman"/>
                <w:color w:val="000000"/>
                <w:sz w:val="22"/>
                <w:highlight w:val="white"/>
              </w:rPr>
              <w:t xml:space="preserve">m²)</w:t>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2"/>
                <w:highlight w:val="white"/>
              </w:rPr>
              <w:t xml:space="preserve">Đất ở nông thôn (80 m²), Đất trồng cây lâu năm (</w:t>
            </w:r>
            <w:r>
              <w:rPr>
                <w:rFonts w:ascii="Times New Roman" w:hAnsi="Times New Roman" w:eastAsia="Times New Roman" w:cs="Times New Roman"/>
                <w:color w:val="000000"/>
                <w:sz w:val="22"/>
                <w:highlight w:val="white"/>
              </w:rPr>
              <w:t xml:space="preserve">71,8 </w:t>
            </w:r>
            <w:r>
              <w:rPr>
                <w:rFonts w:ascii="Times New Roman" w:hAnsi="Times New Roman" w:eastAsia="Times New Roman" w:cs="Times New Roman"/>
                <w:color w:val="000000"/>
                <w:sz w:val="22"/>
                <w:highlight w:val="white"/>
              </w:rPr>
              <w:t xml:space="preserve">m²)</w:t>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color w:val="000000"/>
                <w:sz w:val="22"/>
                <w:highlight w:val="white"/>
              </w:rPr>
              <w:t xml:space="preserve">Đất ở nông thôn (50 m²), Đất trồng cây lâu năm (</w:t>
            </w:r>
            <w:r>
              <w:rPr>
                <w:rFonts w:ascii="Times New Roman" w:hAnsi="Times New Roman" w:eastAsia="Times New Roman" w:cs="Times New Roman"/>
                <w:color w:val="000000"/>
                <w:sz w:val="22"/>
                <w:highlight w:val="white"/>
              </w:rPr>
              <w:t xml:space="preserve">93,5 m</w:t>
            </w:r>
            <w:r>
              <w:rPr>
                <w:rFonts w:ascii="Times New Roman" w:hAnsi="Times New Roman" w:eastAsia="Times New Roman" w:cs="Times New Roman"/>
                <w:color w:val="000000"/>
                <w:sz w:val="22"/>
                <w:highlight w:val="white"/>
              </w:rPr>
              <w:t xml:space="preserve">²)</w:t>
            </w:r>
            <w:r>
              <w:rPr>
                <w:highlight w:val="white"/>
              </w:rP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Lâu dài</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mặt đường Phùng Chí Kiên</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đường DT301</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mặt đường Phùng Chí Kiên</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mặt đường Phùng Chí Kiên</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7m – 8m</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7m</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8m</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8m</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91,00 m²</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173,20 m²</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151,80 m²</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143,50 m²</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4,36 m</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5,00 m</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4,50 m</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4,96 m</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r>
      <w:tr>
        <w:trPr>
          <w:trHeight w:val="326"/>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w:t>
            </w:r>
            <w:r>
              <w:rPr>
                <w:rFonts w:ascii="Times New Roman" w:hAnsi="Times New Roman" w:eastAsia="Times New Roman" w:cs="Times New Roman"/>
                <w:color w:val="000000"/>
                <w:sz w:val="22"/>
              </w:rPr>
              <w:t xml:space="preserve">doanh</w:t>
            </w: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yellow"/>
              </w:rPr>
            </w:pPr>
            <w:r>
              <w:rPr>
                <w:rFonts w:ascii="Times New Roman" w:hAnsi="Times New Roman" w:eastAsia="Times New Roman" w:cs="Times New Roman"/>
                <w:color w:val="000000"/>
                <w:sz w:val="22"/>
                <w:highlight w:val="none"/>
              </w:rPr>
              <w:t xml:space="preserve">Tốt</w:t>
            </w:r>
            <w:r>
              <w:rPr>
                <w:rFonts w:ascii="Times New Roman" w:hAnsi="Times New Roman" w:eastAsia="Times New Roman" w:cs="Times New Roman"/>
                <w:color w:val="000000"/>
                <w:sz w:val="22"/>
                <w:highlight w:val="yellow"/>
              </w:rPr>
            </w:r>
            <w:r>
              <w:rPr>
                <w:highlight w:val="yellow"/>
              </w:rP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yellow"/>
              </w:rPr>
            </w:pPr>
            <w:r>
              <w:rPr>
                <w:rFonts w:ascii="Times New Roman" w:hAnsi="Times New Roman" w:eastAsia="Times New Roman" w:cs="Times New Roman"/>
                <w:color w:val="000000"/>
                <w:sz w:val="22"/>
                <w:highlight w:val="yellow"/>
              </w:rPr>
            </w:r>
            <w:r>
              <w:rPr>
                <w:rFonts w:ascii="Times New Roman" w:hAnsi="Times New Roman" w:eastAsia="Times New Roman" w:cs="Times New Roman"/>
                <w:color w:val="000000"/>
                <w:sz w:val="22"/>
                <w:highlight w:val="none"/>
              </w:rPr>
              <w:t xml:space="preserve">Tốt</w:t>
            </w:r>
            <w:r/>
            <w:r>
              <w:rPr>
                <w:rFonts w:ascii="Times New Roman" w:hAnsi="Times New Roman" w:eastAsia="Times New Roman" w:cs="Times New Roman"/>
                <w:color w:val="000000"/>
                <w:sz w:val="22"/>
                <w:highlight w:val="yellow"/>
              </w:rPr>
            </w:r>
            <w:r>
              <w:rPr>
                <w:highlight w:val="yellow"/>
              </w:rP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yellow"/>
              </w:rPr>
            </w:pPr>
            <w:r>
              <w:rPr>
                <w:rFonts w:ascii="Times New Roman" w:hAnsi="Times New Roman" w:eastAsia="Times New Roman" w:cs="Times New Roman"/>
                <w:color w:val="000000"/>
                <w:sz w:val="22"/>
                <w:highlight w:val="yellow"/>
              </w:rPr>
            </w:r>
            <w:r>
              <w:rPr>
                <w:rFonts w:ascii="Times New Roman" w:hAnsi="Times New Roman" w:eastAsia="Times New Roman" w:cs="Times New Roman"/>
                <w:color w:val="000000"/>
                <w:sz w:val="22"/>
                <w:highlight w:val="none"/>
              </w:rPr>
              <w:t xml:space="preserve">Tốt</w:t>
            </w:r>
            <w:r/>
            <w:r>
              <w:rPr>
                <w:rFonts w:ascii="Times New Roman" w:hAnsi="Times New Roman" w:eastAsia="Times New Roman" w:cs="Times New Roman"/>
                <w:color w:val="000000"/>
                <w:sz w:val="22"/>
                <w:highlight w:val="yellow"/>
              </w:rPr>
            </w:r>
            <w:r>
              <w:rPr>
                <w:highlight w:val="yellow"/>
              </w:rP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yellow"/>
              </w:rPr>
            </w:pPr>
            <w:r>
              <w:rPr>
                <w:rFonts w:ascii="Times New Roman" w:hAnsi="Times New Roman" w:eastAsia="Times New Roman" w:cs="Times New Roman"/>
                <w:color w:val="000000"/>
                <w:sz w:val="22"/>
                <w:highlight w:val="yellow"/>
              </w:rPr>
            </w:r>
            <w:r>
              <w:rPr>
                <w:rFonts w:ascii="Times New Roman" w:hAnsi="Times New Roman" w:eastAsia="Times New Roman" w:cs="Times New Roman"/>
                <w:color w:val="000000"/>
                <w:sz w:val="22"/>
                <w:highlight w:val="none"/>
              </w:rPr>
              <w:t xml:space="preserve">Tốt</w:t>
            </w:r>
            <w:r/>
            <w:r>
              <w:rPr>
                <w:rFonts w:ascii="Times New Roman" w:hAnsi="Times New Roman" w:eastAsia="Times New Roman" w:cs="Times New Roman"/>
                <w:color w:val="000000"/>
                <w:sz w:val="22"/>
                <w:highlight w:val="yellow"/>
              </w:rPr>
            </w:r>
            <w:r>
              <w:rPr>
                <w:highlight w:val="yellow"/>
              </w:rP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 Hệ thống cấp điện, cấp thoát nước đầy đủ</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1 tầng cũ không đáng kể</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4.676.000.000</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3.580.000.000</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3.550.000.000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4.208.400.000</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3.222.000.000</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3.195.000.000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ở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4.208.400.000</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3.222.000.000</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3.195.000.000</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24.297.921</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21.225.296</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22.264.808</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 (Yếu tố phong thủy/Yếu tố tâm linh)</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left w:val="single" w:color="000000" w:sz="8" w:space="0"/>
              <w:bottom w:val="single" w:color="000000" w:sz="8" w:space="0"/>
              <w:right w:val="single" w:color="000000" w:sz="8" w:space="0"/>
            </w:tcBorders>
            <w:tcMar>
              <w:left w:w="108" w:type="dxa"/>
              <w:top w:w="0" w:type="dxa"/>
              <w:right w:w="108" w:type="dxa"/>
              <w:bottom w:w="0" w:type="dxa"/>
            </w:tcMar>
            <w:tcW w:w="5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99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60"/>
        <w:gridCol w:w="1778"/>
        <w:gridCol w:w="818"/>
        <w:gridCol w:w="1530"/>
        <w:gridCol w:w="1530"/>
        <w:gridCol w:w="1530"/>
        <w:gridCol w:w="1530"/>
      </w:tblGrid>
      <w:tr>
        <w:trPr>
          <w:trHeight w:val="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so sánh 3</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4.208.400.000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3.222.000.000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3.195.000.000</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24.297.921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21.225.296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22.264.808</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spacing w:after="0" w:before="0" w:line="240" w:lineRule="auto"/>
              <w:ind/>
              <w:rPr/>
            </w:pPr>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ở nông thôn (91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Đất ở tại đô thị </w:t>
            </w:r>
            <w:r>
              <w:rPr>
                <w:rFonts w:ascii="Times New Roman" w:hAnsi="Times New Roman" w:eastAsia="Times New Roman" w:cs="Times New Roman"/>
                <w:b/>
                <w:color w:val="000000"/>
                <w:sz w:val="22"/>
                <w:highlight w:val="yellow"/>
              </w:r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2"/>
                <w:highlight w:val="white"/>
              </w:rPr>
              <w:t xml:space="preserve">Đất ở nông thôn (80 m²), Đất trồng cây lâu năm (</w:t>
            </w:r>
            <w:r>
              <w:rPr>
                <w:rFonts w:ascii="Times New Roman" w:hAnsi="Times New Roman" w:eastAsia="Times New Roman" w:cs="Times New Roman"/>
                <w:b/>
                <w:color w:val="000000"/>
                <w:sz w:val="22"/>
                <w:highlight w:val="white"/>
              </w:rPr>
              <w:t xml:space="preserve">71,8 m²)</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highlight w:val="white"/>
              </w:rPr>
            </w:pPr>
            <w:r>
              <w:rPr>
                <w:rFonts w:ascii="Times New Roman" w:hAnsi="Times New Roman" w:eastAsia="Times New Roman" w:cs="Times New Roman"/>
                <w:b/>
                <w:color w:val="000000"/>
                <w:sz w:val="22"/>
                <w:highlight w:val="white"/>
              </w:rPr>
              <w:t xml:space="preserve">Đất ở nông thôn (50 m²), Đất trồng cây lâu năm (</w:t>
            </w:r>
            <w:r>
              <w:rPr>
                <w:rFonts w:ascii="Times New Roman" w:hAnsi="Times New Roman" w:eastAsia="Times New Roman" w:cs="Times New Roman"/>
                <w:b/>
                <w:color w:val="000000"/>
                <w:sz w:val="22"/>
                <w:highlight w:val="white"/>
              </w:rPr>
              <w:t xml:space="preserve">93,5 m²)</w:t>
            </w:r>
            <w:r>
              <w:rPr>
                <w:highlight w:val="white"/>
              </w:rPr>
            </w:r>
            <w:r>
              <w:rPr>
                <w:highlight w:val="white"/>
              </w:rP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2.122.530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2.226.481</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24.297.921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23.347.826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24.491.289</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tiếp giáp mặt đường Phùng Chí Kiên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tiếp giáp đường DT301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tiếp giáp mặt đường Phùng Chí Kiên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tiếp giáp mặt đường Phùng Chí Kiên</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-1.214.896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23.083.025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23.347.826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24.491.289</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7m - </w:t>
            </w:r>
            <w:r>
              <w:rPr>
                <w:rFonts w:ascii="Times New Roman" w:hAnsi="Times New Roman" w:eastAsia="Times New Roman" w:cs="Times New Roman"/>
                <w:b/>
                <w:color w:val="000000"/>
                <w:sz w:val="22"/>
              </w:rPr>
              <w:t xml:space="preserve">8m</w:t>
            </w: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8m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8m</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23.083.025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23.347.826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24.491.289</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w:t>
              <w:br/>
              <w:t xml:space="preserve">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151,8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143,5</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1.700.855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1.167.391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1.224.564</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24.783.880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24.515.217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25.715.854</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4,96</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24.783.880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24.515.217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25.715.854</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 mặt</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24.783.880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24.515.217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25.715.854</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Vuông vức</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24.783.880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24.515.217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25.715.854</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Yếu tố khác (Yếu tố phong thủy/Yếu tố tâm linh)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Không</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24.783.880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24.515.217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25.715.854</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Hạ tầng khu dân cư thông thường: Hệ thống cấp điện, cấp thoát nước đầy đủ</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24.783.880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24.515.217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25.715.854</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24.783.880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24.515.217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25.715.854</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spacing w:after="0" w:before="0" w:line="240" w:lineRule="auto"/>
              <w:ind/>
              <w:jc w:val="right"/>
              <w:rPr/>
            </w:pPr>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8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25.004.984</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bottom w:val="single" w:color="000000" w:sz="8" w:space="0"/>
              <w:right w:val="single" w:color="000000" w:sz="8" w:space="0"/>
            </w:tcBorders>
            <w:tcMar>
              <w:left w:w="108" w:type="dxa"/>
              <w:top w:w="0" w:type="dxa"/>
              <w:right w:w="108" w:type="dxa"/>
              <w:bottom w:w="0" w:type="dxa"/>
            </w:tcMar>
            <w:tcW w:w="87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2.915.751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3.289.921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3.451.045</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val="false"/>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5-10%</w:t>
            </w:r>
            <w:r/>
          </w:p>
        </w:tc>
      </w:tr>
      <w:tr>
        <w:trPr>
          <w:trHeight w:val="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6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1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spacing w:after="0" w:before="0" w:line="240" w:lineRule="auto"/>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485.958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3.289.921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3.451.045</w:t>
            </w: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rPr>
          <w:highlight w:val="white"/>
        </w:rPr>
        <w:t xml:space="preserve">0,9</w:t>
      </w:r>
      <w:r>
        <w:rPr>
          <w:highlight w:val="white"/>
        </w:rPr>
        <w:t xml:space="preserve">% </w:t>
      </w:r>
      <w:r>
        <w:rPr>
          <w:highlight w:val="white"/>
        </w:rPr>
        <w:t xml:space="preserve">đến</w:t>
      </w:r>
      <w:r>
        <w:rPr>
          <w:highlight w:val="white"/>
        </w:rPr>
        <w:t xml:space="preserve"> </w:t>
      </w:r>
      <w:r>
        <w:rPr>
          <w:highlight w:val="white"/>
        </w:rPr>
        <w:t xml:space="preserve">2,8%</w:t>
      </w:r>
      <w:r>
        <w:rPr>
          <w:highlight w:val="white"/>
        </w:rPr>
        <w:t xml:space="preserve">, </w:t>
      </w:r>
      <w:r>
        <w:rPr>
          <w:highlight w:val="white"/>
        </w:rP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Style w:val="1029"/>
        <w:tblInd w:w="0" w:type="dxa"/>
        <w:tblW w:w="5094"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48"/>
        <w:gridCol w:w="2088"/>
        <w:gridCol w:w="2365"/>
        <w:gridCol w:w="2037"/>
        <w:gridCol w:w="2365"/>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3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3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23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24.783.880 </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3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8.261.293</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23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24.515.217 </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3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8.171.739</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84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20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23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25.715.854 </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23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8.571.951</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3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23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25.004.984</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3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3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25.000.000</w:t>
            </w: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25.000.000</w:t>
      </w:r>
      <w:r>
        <w:rPr>
          <w:b/>
          <w:bCs/>
          <w:color w:val="000000" w:themeColor="text1"/>
        </w:rPr>
        <w:t xml:space="preserve"> </w:t>
      </w:r>
      <w:r>
        <w:rPr>
          <w:b/>
          <w:bCs/>
        </w:rPr>
        <w:t xml:space="preserve">đồng</w:t>
      </w:r>
      <w:r>
        <w:rPr>
          <w:b/>
          <w:bCs/>
        </w:rPr>
        <w:t xml:space="preserve">/m².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313"/>
        <w:gridCol w:w="1646"/>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13"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646"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05"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442, tờ bản đồ số 200 có địa chỉ: Xã Ngọc Thanh, thành phố Phúc Yên, tỉnh Vĩnh Phúc </w:t>
            </w:r>
            <w:r>
              <w:rPr>
                <w:color w:val="000000"/>
              </w:rPr>
              <w:t xml:space="preserve">(nay là phường Xuân Hoà, tỉnh Phú Thọ) theo Giấy chứng nhận quyền sử dụng đất, quyền sở hữu nhà ở và tài sản gắn liền với đất số: DC 477978, số vào sổ cấp GCN: CS04314 do Sở Tài nguyên và Môi trường tỉnh Vĩnh Phúc cấp ngày 30/6/2021 cho Ông Nguyễn Minh Đức</w:t>
            </w:r>
            <w:r>
              <w:rPr>
                <w:b/>
                <w:bCs/>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313"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646" w:type="dxa"/>
            <w:vAlign w:val="center"/>
            <w:textDirection w:val="lrTb"/>
            <w:noWrap/>
          </w:tcPr>
          <w:p>
            <w:pPr>
              <w:pBdr/>
              <w:spacing w:after="40" w:before="40" w:line="288" w:lineRule="auto"/>
              <w:ind/>
              <w:jc w:val="center"/>
              <w:rPr>
                <w:color w:val="000000"/>
              </w:rPr>
            </w:pPr>
            <w:r>
              <w:rPr>
                <w:color w:val="000000" w:themeColor="text1"/>
              </w:rPr>
              <w:t xml:space="preserve">91,0</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25.000.000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2.275.000.000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2.275.000.000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tỷ hai trăm bảy mươi lăm triệu 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275/2026/0361/VFI-CT.48.A</w:t>
      </w:r>
      <w:r>
        <w:rPr>
          <w:color w:val="ff0000"/>
          <w:lang w:val="vi-VN"/>
        </w:rPr>
        <w:t xml:space="preserve"> </w:t>
      </w:r>
      <w:r>
        <w:rPr>
          <w:color w:val="000000" w:themeColor="text1"/>
        </w:rPr>
        <w:t xml:space="preserve">ngày 5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275/2026/0361/VFI-BC.48.A</w:t>
      </w:r>
      <w:r>
        <w:rPr>
          <w:i/>
          <w:lang w:val="pt-BR"/>
        </w:rPr>
        <w:t xml:space="preserve"> ngày </w:t>
      </w:r>
      <w:r>
        <w:rPr>
          <w:i/>
          <w:lang w:val="pt-BR"/>
        </w:rPr>
        <w:t xml:space="preserve">5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795643" cy="240465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25655" name=""/>
                              <pic:cNvPicPr>
                                <a:picLocks noChangeAspect="1"/>
                              </pic:cNvPicPr>
                              <pic:nvPr/>
                            </pic:nvPicPr>
                            <pic:blipFill rotWithShape="1">
                              <a:blip r:embed="rId19"/>
                              <a:stretch/>
                            </pic:blipFill>
                            <pic:spPr bwMode="auto">
                              <a:xfrm flipH="0" flipV="0">
                                <a:off x="0" y="0"/>
                                <a:ext cx="1795643" cy="24046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41.39pt;height:189.3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42677" cy="213503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53841" name=""/>
                              <pic:cNvPicPr>
                                <a:picLocks noChangeAspect="1"/>
                              </pic:cNvPicPr>
                              <pic:nvPr/>
                            </pic:nvPicPr>
                            <pic:blipFill rotWithShape="1">
                              <a:blip r:embed="rId20"/>
                              <a:stretch/>
                            </pic:blipFill>
                            <pic:spPr bwMode="auto">
                              <a:xfrm flipH="0" flipV="0">
                                <a:off x="0" y="0"/>
                                <a:ext cx="2842677" cy="21350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3.83pt;height:168.1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1434353"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718477884" name="" descr=""/>
                              <pic:cNvPicPr/>
                              <pic:nvPr/>
                            </pic:nvPicPr>
                            <pic:blipFill rotWithShape="1">
                              <a:blip r:embed="rId21"/>
                              <a:stretch/>
                            </pic:blipFill>
                            <pic:spPr bwMode="auto">
                              <a:xfrm>
                                <a:off x="0" y="0"/>
                                <a:ext cx="1434352"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2.94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9803" cy="204274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75834" name=""/>
                              <pic:cNvPicPr>
                                <a:picLocks noChangeAspect="1"/>
                              </pic:cNvPicPr>
                              <pic:nvPr/>
                            </pic:nvPicPr>
                            <pic:blipFill rotWithShape="1">
                              <a:blip r:embed="rId22"/>
                              <a:stretch/>
                            </pic:blipFill>
                            <pic:spPr bwMode="auto">
                              <a:xfrm flipH="0" flipV="0">
                                <a:off x="0" y="0"/>
                                <a:ext cx="2719802" cy="20427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4.16pt;height:160.85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17980" cy="196627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95938" name=""/>
                              <pic:cNvPicPr>
                                <a:picLocks noChangeAspect="1"/>
                              </pic:cNvPicPr>
                              <pic:nvPr/>
                            </pic:nvPicPr>
                            <pic:blipFill rotWithShape="1">
                              <a:blip r:embed="rId23"/>
                              <a:stretch/>
                            </pic:blipFill>
                            <pic:spPr bwMode="auto">
                              <a:xfrm flipH="0" flipV="0">
                                <a:off x="0" y="0"/>
                                <a:ext cx="2617979" cy="19662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6.14pt;height:154.82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75185" cy="200923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74009" name=""/>
                              <pic:cNvPicPr>
                                <a:picLocks noChangeAspect="1"/>
                              </pic:cNvPicPr>
                              <pic:nvPr/>
                            </pic:nvPicPr>
                            <pic:blipFill rotWithShape="1">
                              <a:blip r:embed="rId24"/>
                              <a:stretch/>
                            </pic:blipFill>
                            <pic:spPr bwMode="auto">
                              <a:xfrm flipH="0" flipV="0">
                                <a:off x="0" y="0"/>
                                <a:ext cx="2675185" cy="20092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0.64pt;height:158.21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275/2026/0361/VFI-BC.48.A</w:t>
      </w:r>
      <w:r>
        <w:rPr>
          <w:i/>
          <w:lang w:val="pt-BR"/>
        </w:rPr>
        <w:t xml:space="preserve"> </w:t>
      </w:r>
      <w:r>
        <w:rPr>
          <w:i/>
          <w:lang w:val="pt-BR"/>
        </w:rPr>
        <w:t xml:space="preserve">5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6048375" cy="660321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28069" name=""/>
                        <pic:cNvPicPr>
                          <a:picLocks noChangeAspect="1"/>
                        </pic:cNvPicPr>
                        <pic:nvPr/>
                      </pic:nvPicPr>
                      <pic:blipFill rotWithShape="1">
                        <a:blip r:embed="rId25"/>
                        <a:stretch/>
                      </pic:blipFill>
                      <pic:spPr bwMode="auto">
                        <a:xfrm>
                          <a:off x="0" y="0"/>
                          <a:ext cx="6048374" cy="66032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519.94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iCs/>
          <w:lang w:val="pt-BR"/>
        </w:rPr>
      </w:pPr>
      <w:r>
        <w:rPr>
          <w:b/>
          <w:bCs/>
          <w:iCs/>
          <w:lang w:val="pt-BR"/>
        </w:rPr>
        <w:t xml:space="preserve">TSSS2</w:t>
      </w:r>
      <w:r>
        <w:rPr>
          <w:iCs/>
          <w:lang w:val="pt-BR"/>
        </w:rPr>
      </w:r>
      <w:r>
        <w:rPr>
          <w:i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673735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616702" name=""/>
                        <pic:cNvPicPr>
                          <a:picLocks noChangeAspect="1"/>
                        </pic:cNvPicPr>
                        <pic:nvPr/>
                      </pic:nvPicPr>
                      <pic:blipFill rotWithShape="1">
                        <a:blip r:embed="rId26"/>
                        <a:stretch/>
                      </pic:blipFill>
                      <pic:spPr bwMode="auto">
                        <a:xfrm>
                          <a:off x="0" y="0"/>
                          <a:ext cx="6048374" cy="67373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530.50pt;mso-wrap-distance-left:0.00pt;mso-wrap-distance-top:0.00pt;mso-wrap-distance-right:0.00pt;mso-wrap-distance-bottom:0.00pt;z-index:1;" stroked="false">
                <v:imagedata r:id="rId26"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666418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09926" name=""/>
                        <pic:cNvPicPr>
                          <a:picLocks noChangeAspect="1"/>
                        </pic:cNvPicPr>
                        <pic:nvPr/>
                      </pic:nvPicPr>
                      <pic:blipFill rotWithShape="1">
                        <a:blip r:embed="rId27"/>
                        <a:stretch/>
                      </pic:blipFill>
                      <pic:spPr bwMode="auto">
                        <a:xfrm>
                          <a:off x="0" y="0"/>
                          <a:ext cx="6048374" cy="66641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524.74pt;mso-wrap-distance-left:0.00pt;mso-wrap-distance-top:0.00pt;mso-wrap-distance-right:0.00pt;mso-wrap-distance-bottom:0.00pt;z-index:1;" stroked="false">
                <v:imagedata r:id="rId27"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t xml:space="preserve">Phạm Thị Dung</w:t>
            </w:r>
            <w:r>
              <w:rPr>
                <w:b/>
                <w:bCs/>
              </w:rPr>
            </w:r>
            <w:r>
              <w:rPr>
                <w:b/>
                <w:bCs/>
              </w:rPr>
            </w:r>
          </w:p>
        </w:tc>
      </w:tr>
    </w:tbl>
    <w:p>
      <w:pPr>
        <w:pBdr/>
        <w:shd w:val="nil" w:color="auto"/>
        <w:spacing/>
        <w:ind/>
        <w:rPr>
          <w:lang w:val="pt-BR"/>
        </w:rPr>
      </w:pPr>
      <w:r>
        <w:rPr>
          <w:iCs/>
          <w:lang w:val="pt-BR"/>
        </w:rPr>
        <w:br w:type="page" w:clear="all"/>
      </w:r>
      <w:r>
        <w:rPr>
          <w:lang w:val="pt-BR"/>
        </w:rPr>
      </w:r>
      <w:r>
        <w:rPr>
          <w:lang w:val="pt-BR"/>
        </w:rPr>
      </w:r>
    </w:p>
    <w:p>
      <w:pPr>
        <w:pBdr/>
        <w:spacing w:after="200" w:line="276" w:lineRule="auto"/>
        <w:ind/>
        <w:jc w:val="center"/>
        <w:rPr>
          <w:iCs/>
          <w:highlight w:val="none"/>
          <w:lang w:val="pt-BR"/>
        </w:rPr>
      </w:pPr>
      <w:r>
        <w:rPr>
          <w:iCs/>
          <w:lang w:val="pt-BR"/>
        </w:rPr>
      </w:r>
      <w:r>
        <w:rPr>
          <w:rFonts w:ascii="Times New Roman" w:hAnsi="Times New Roman" w:eastAsia="Times New Roman" w:cs="Times New Roman"/>
          <w:b/>
          <w:color w:val="000000"/>
          <w:sz w:val="24"/>
        </w:rPr>
        <w:t xml:space="preserve">GIẤY CHỨNG NHẬN QSDĐ</w:t>
      </w:r>
      <w:r>
        <w:rPr>
          <w:iCs/>
          <w:highlight w:val="none"/>
          <w:lang w:val="pt-BR"/>
        </w:rPr>
      </w:r>
      <w:r>
        <w:rPr>
          <w:iCs/>
          <w:highlight w:val="none"/>
          <w:lang w:val="pt-BR"/>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5769181" cy="886116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9874" name=""/>
                        <pic:cNvPicPr>
                          <a:picLocks noChangeAspect="1"/>
                        </pic:cNvPicPr>
                        <pic:nvPr/>
                      </pic:nvPicPr>
                      <pic:blipFill rotWithShape="1">
                        <a:blip r:embed="rId28"/>
                        <a:stretch/>
                      </pic:blipFill>
                      <pic:spPr bwMode="auto">
                        <a:xfrm flipH="0" flipV="0">
                          <a:off x="0" y="0"/>
                          <a:ext cx="5769180" cy="8861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54.27pt;height:697.73pt;mso-wrap-distance-left:0.00pt;mso-wrap-distance-top:0.00pt;mso-wrap-distance-right:0.00pt;mso-wrap-distance-bottom:0.00pt;z-index:1;" stroked="false">
                <v:imagedata r:id="rId28" o:title=""/>
                <o:lock v:ext="edit" rotation="t"/>
              </v:shape>
            </w:pict>
          </mc:Fallback>
        </mc:AlternateContent>
      </w:r>
      <w:r>
        <w:rPr>
          <w:highlight w:val="none"/>
          <w:lang w:val="pt-BR" w:bidi="pt-BR"/>
        </w:rPr>
      </w:r>
      <w:r>
        <w:rPr>
          <w:highlight w:val="none"/>
          <w:lang w:val="pt-BR" w:bidi="pt-BR"/>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426264"/>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4032" name=""/>
                        <pic:cNvPicPr>
                          <a:picLocks noChangeAspect="1"/>
                        </pic:cNvPicPr>
                        <pic:nvPr/>
                      </pic:nvPicPr>
                      <pic:blipFill rotWithShape="1">
                        <a:blip r:embed="rId29"/>
                        <a:stretch/>
                      </pic:blipFill>
                      <pic:spPr bwMode="auto">
                        <a:xfrm>
                          <a:off x="0" y="0"/>
                          <a:ext cx="6048374" cy="84262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63.49pt;mso-wrap-distance-left:0.00pt;mso-wrap-distance-top:0.00pt;mso-wrap-distance-right:0.00pt;mso-wrap-distance-bottom:0.00pt;z-index:1;" stroked="false">
                <v:imagedata r:id="rId29" o:title=""/>
                <o:lock v:ext="edit" rotation="t"/>
              </v:shape>
            </w:pict>
          </mc:Fallback>
        </mc:AlternateContent>
      </w:r>
      <w:r>
        <w:rPr>
          <w:highlight w:val="none"/>
          <w:lang w:val="pt-BR" w:bidi="pt-BR"/>
        </w:rPr>
      </w:r>
      <w:r>
        <w:rPr>
          <w:highlight w:val="none"/>
          <w:lang w:val="pt-BR" w:bidi="pt-BR"/>
        </w:rPr>
      </w:r>
    </w:p>
    <w:p>
      <w:pPr>
        <w:pBdr/>
        <w:shd w:val="nil" w:color="auto"/>
        <w:spacing/>
        <w:ind/>
        <w:rPr>
          <w:lang w:val="pt-BR"/>
        </w:rPr>
      </w:pPr>
      <w:r>
        <w:rPr>
          <w:lang w:val="pt-BR"/>
        </w:rPr>
        <w:br w:type="page" w:clear="all"/>
      </w:r>
      <w:r>
        <w:rPr>
          <w:lang w:val="pt-BR"/>
        </w:rPr>
      </w:r>
      <w:r>
        <w:rPr>
          <w:lang w:val="pt-BR"/>
        </w:rPr>
      </w:r>
    </w:p>
    <w:p>
      <w:pPr>
        <w:pBdr/>
        <w:spacing w:after="200" w:line="276" w:lineRule="auto"/>
        <w:ind/>
        <w:jc w:val="center"/>
        <w:rPr>
          <w:highlight w:val="none"/>
          <w:lang w:val="pt-BR" w:bidi="pt-BR"/>
        </w:rPr>
      </w:pPr>
      <w:r>
        <w:rPr>
          <w:iCs/>
          <w:highlight w:val="none"/>
          <w:lang w:val="pt-BR" w:bidi="pt-BR"/>
        </w:rPr>
      </w:r>
      <w:r>
        <w:rPr>
          <w:rFonts w:ascii="Times New Roman" w:hAnsi="Times New Roman" w:eastAsia="Times New Roman" w:cs="Times New Roman"/>
          <w:b/>
          <w:color w:val="000000"/>
          <w:sz w:val="24"/>
        </w:rPr>
        <w:t xml:space="preserve">BIÊN BẢN KHẢO SÁT</w:t>
      </w:r>
      <w:r>
        <w:rPr>
          <w:highlight w:val="none"/>
          <w:lang w:val="pt-BR" w:bidi="pt-BR"/>
        </w:rPr>
      </w:r>
      <w:r>
        <w:rPr>
          <w:highlight w:val="none"/>
          <w:lang w:val="pt-BR" w:bidi="pt-BR"/>
        </w:rPr>
      </w:r>
    </w:p>
    <w:p>
      <w:pPr>
        <w:pBdr/>
        <w:spacing w:after="200" w:line="276" w:lineRule="auto"/>
        <w:ind/>
        <w:jc w:val="center"/>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6532"/>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06704" name=""/>
                        <pic:cNvPicPr>
                          <a:picLocks noChangeAspect="1"/>
                        </pic:cNvPicPr>
                        <pic:nvPr/>
                      </pic:nvPicPr>
                      <pic:blipFill rotWithShape="1">
                        <a:blip r:embed="rId30"/>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16pt;mso-wrap-distance-left:0.00pt;mso-wrap-distance-top:0.00pt;mso-wrap-distance-right:0.00pt;mso-wrap-distance-bottom:0.00pt;z-index:1;" stroked="false">
                <v:imagedata r:id="rId30"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hyperlink" Target="https://www.facebook.com/photo?fbid=122146358462673039&amp;set=pcb.2081495449347208" TargetMode="External"/><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jp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273</cp:revision>
  <dcterms:created xsi:type="dcterms:W3CDTF">2025-09-15T09:58:00Z</dcterms:created>
  <dcterms:modified xsi:type="dcterms:W3CDTF">2026-03-13T03:25:13Z</dcterms:modified>
</cp:coreProperties>
</file>