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00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00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VĂN THẠO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35, tờ bản đồ số 0, địa chỉ: Khu Gốc Găng, xã Phùng Xá, huyện Thạch Thất, Thành phố Hà Nội (</w:t>
                            </w:r>
                            <w:r>
                              <w:rPr>
                                <w:rFonts w:ascii="Times New Roman" w:hAnsi="Times New Roman" w:eastAsia="Times New Roman" w:cs="Times New Roman"/>
                                <w:b w:val="0"/>
                                <w:bCs w:val="0"/>
                                <w:i/>
                                <w:iCs/>
                                <w:color w:val="000000"/>
                                <w:sz w:val="24"/>
                              </w:rPr>
                              <w:t xml:space="preserve">Nay là xã Tây Phương,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bCs/>
                                <w:i/>
                                <w:iCs/>
                              </w:rPr>
                            </w:r>
                            <w:r>
                              <w:rPr>
                                <w:bCs/>
                                <w:i/>
                                <w:iCs/>
                              </w:rPr>
                            </w:r>
                          </w:p>
                          <w:p>
                            <w:pPr>
                              <w:pBdr/>
                              <w:spacing w:after="120" w:before="120" w:line="360" w:lineRule="auto"/>
                              <w:ind/>
                              <w:jc w:val="center"/>
                              <w:rPr>
                                <w:bCs/>
                                <w:i/>
                                <w:iCs/>
                                <w:highlight w:val="yellow"/>
                              </w:rPr>
                            </w:pPr>
                            <w:r>
                              <w:rPr>
                                <w:b/>
                                <w:bCs/>
                                <w:lang w:val="pt-BR"/>
                              </w:rPr>
                              <w:t xml:space="preserve">Thời điểm thẩm định:</w:t>
                            </w:r>
                            <w:r>
                              <w:rPr>
                                <w:b/>
                                <w:bCs/>
                                <w:highlight w:val="white"/>
                                <w:lang w:val="pt-BR"/>
                              </w:rPr>
                              <w:t xml:space="preserve"> </w:t>
                            </w:r>
                            <w:r>
                              <w:rPr>
                                <w:color w:val="000000" w:themeColor="text1"/>
                                <w:highlight w:val="white"/>
                                <w:lang w:val="pt-BR"/>
                              </w:rPr>
                              <w:t xml:space="preserve">Thán</w:t>
                            </w:r>
                            <w:r>
                              <w:rPr>
                                <w:color w:val="ff0000"/>
                                <w:highlight w:val="white"/>
                                <w:lang w:val="pt-BR"/>
                              </w:rPr>
                              <w:t xml:space="preserve">g </w:t>
                            </w:r>
                            <w:r>
                              <w:rPr>
                                <w:color w:val="ff0000"/>
                                <w:highlight w:val="white"/>
                                <w:lang w:val="pt-BR"/>
                              </w:rPr>
                              <w:t xml:space="preserve">6</w:t>
                            </w:r>
                            <w:r>
                              <w:rPr>
                                <w:color w:val="ff0000"/>
                                <w:highlight w:val="white"/>
                                <w:lang w:val="pt-BR"/>
                              </w:rPr>
                              <w:t xml:space="preserve">/2</w:t>
                            </w:r>
                            <w:r>
                              <w:rPr>
                                <w:color w:val="000000" w:themeColor="text1"/>
                                <w:highlight w:val="white"/>
                                <w:lang w:val="pt-BR"/>
                              </w:rPr>
                              <w:t xml:space="preserve">026</w:t>
                            </w:r>
                            <w:r>
                              <w:rPr>
                                <w:highlight w:val="white"/>
                                <w:lang w:val="pt-BR"/>
                              </w:rPr>
                              <w:t xml:space="preserve">.</w:t>
                            </w:r>
                            <w:r>
                              <w:rPr>
                                <w:bCs/>
                                <w:i/>
                                <w:iCs/>
                                <w:highlight w:val="yellow"/>
                              </w:rPr>
                            </w:r>
                            <w:r>
                              <w:rPr>
                                <w:bCs/>
                                <w:i/>
                                <w:iCs/>
                                <w:highlight w:val="yellow"/>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5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VĂN THẠO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35, tờ bản đồ số 0, địa chỉ: Khu Gốc Găng, xã Phùng Xá, huyện Thạch Thất, Thành phố Hà Nội (</w:t>
                      </w:r>
                      <w:r>
                        <w:rPr>
                          <w:rFonts w:ascii="Times New Roman" w:hAnsi="Times New Roman" w:eastAsia="Times New Roman" w:cs="Times New Roman"/>
                          <w:b w:val="0"/>
                          <w:bCs w:val="0"/>
                          <w:i/>
                          <w:iCs/>
                          <w:color w:val="000000"/>
                          <w:sz w:val="24"/>
                        </w:rPr>
                        <w:t xml:space="preserve">Nay là xã Tây Phương,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bCs/>
                          <w:i/>
                          <w:iCs/>
                        </w:rPr>
                      </w:r>
                      <w:r>
                        <w:rPr>
                          <w:bCs/>
                          <w:i/>
                          <w:iCs/>
                        </w:rPr>
                      </w:r>
                    </w:p>
                    <w:p>
                      <w:pPr>
                        <w:pBdr/>
                        <w:spacing w:after="120" w:before="120" w:line="360" w:lineRule="auto"/>
                        <w:ind/>
                        <w:jc w:val="center"/>
                        <w:rPr>
                          <w:bCs/>
                          <w:i/>
                          <w:iCs/>
                          <w:highlight w:val="yellow"/>
                        </w:rPr>
                      </w:pPr>
                      <w:r>
                        <w:rPr>
                          <w:b/>
                          <w:bCs/>
                          <w:lang w:val="pt-BR"/>
                        </w:rPr>
                        <w:t xml:space="preserve">Thời điểm thẩm định:</w:t>
                      </w:r>
                      <w:r>
                        <w:rPr>
                          <w:b/>
                          <w:bCs/>
                          <w:highlight w:val="white"/>
                          <w:lang w:val="pt-BR"/>
                        </w:rPr>
                        <w:t xml:space="preserve"> </w:t>
                      </w:r>
                      <w:r>
                        <w:rPr>
                          <w:color w:val="000000" w:themeColor="text1"/>
                          <w:highlight w:val="white"/>
                          <w:lang w:val="pt-BR"/>
                        </w:rPr>
                        <w:t xml:space="preserve">Thán</w:t>
                      </w:r>
                      <w:r>
                        <w:rPr>
                          <w:color w:val="ff0000"/>
                          <w:highlight w:val="white"/>
                          <w:lang w:val="pt-BR"/>
                        </w:rPr>
                        <w:t xml:space="preserve">g </w:t>
                      </w:r>
                      <w:r>
                        <w:rPr>
                          <w:color w:val="ff0000"/>
                          <w:highlight w:val="white"/>
                          <w:lang w:val="pt-BR"/>
                        </w:rPr>
                        <w:t xml:space="preserve">6</w:t>
                      </w:r>
                      <w:r>
                        <w:rPr>
                          <w:color w:val="ff0000"/>
                          <w:highlight w:val="white"/>
                          <w:lang w:val="pt-BR"/>
                        </w:rPr>
                        <w:t xml:space="preserve">/2</w:t>
                      </w:r>
                      <w:r>
                        <w:rPr>
                          <w:color w:val="000000" w:themeColor="text1"/>
                          <w:highlight w:val="white"/>
                          <w:lang w:val="pt-BR"/>
                        </w:rPr>
                        <w:t xml:space="preserve">026</w:t>
                      </w:r>
                      <w:r>
                        <w:rPr>
                          <w:highlight w:val="white"/>
                          <w:lang w:val="pt-BR"/>
                        </w:rPr>
                        <w:t xml:space="preserve">.</w:t>
                      </w:r>
                      <w:r>
                        <w:rPr>
                          <w:bCs/>
                          <w:i/>
                          <w:iCs/>
                          <w:highlight w:val="yellow"/>
                        </w:rPr>
                      </w:r>
                      <w:r>
                        <w:rPr>
                          <w:bCs/>
                          <w:i/>
                          <w:iCs/>
                          <w:highlight w:val="yellow"/>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w:t>
            </w:r>
            <w:r>
              <w:rPr>
                <w:b/>
                <w:color w:val="000000" w:themeColor="text1"/>
                <w:highlight w:val="white"/>
              </w:rPr>
              <w:t xml:space="preserve">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w:t>
            </w:r>
            <w:r>
              <w:rPr>
                <w:bCs/>
                <w:highlight w:val="white"/>
                <w:lang w:val="pt-BR"/>
              </w:rPr>
              <w:t xml:space="preserve">Hồ </w:t>
            </w:r>
            <w:r>
              <w:rPr>
                <w:bCs/>
                <w:highlight w:val="white"/>
                <w:lang w:val="pt-BR"/>
              </w:rPr>
              <w:t xml:space="preserve">sơ </w:t>
            </w:r>
            <w:r>
              <w:rPr>
                <w:bCs/>
                <w:highlight w:val="white"/>
                <w:lang w:val="pt-BR"/>
              </w:rPr>
              <w:t xml:space="preserve">pháp </w:t>
            </w:r>
            <w:r>
              <w:rPr>
                <w:bCs/>
                <w:highlight w:val="white"/>
                <w:lang w:val="pt-BR"/>
              </w:rPr>
              <w:t xml:space="preserve">lý + </w:t>
            </w:r>
            <w:r>
              <w:rPr>
                <w:bCs/>
                <w:highlight w:val="white"/>
                <w:lang w:val="pt-BR"/>
              </w:rPr>
              <w:t xml:space="preserve">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22</w:t>
            </w:r>
            <w:r>
              <w:rPr>
                <w:b/>
                <w:bCs/>
                <w:highlight w:val="white"/>
              </w:rPr>
              <w:t xml:space="preserve">-</w:t>
            </w:r>
            <w:r>
              <w:rPr>
                <w:b/>
                <w:bCs/>
                <w:highlight w:val="white"/>
              </w:rPr>
              <w:t xml:space="preserve">33</w:t>
            </w:r>
            <w:r>
              <w:rPr>
                <w:b/>
                <w:bCs/>
                <w:highlight w:val="white"/>
              </w:rPr>
            </w:r>
            <w:r>
              <w:rPr>
                <w:b/>
                <w:bCs/>
                <w:highlight w:val="white"/>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6"/>
              <w:pBdr/>
              <w:tabs>
                <w:tab w:val="center" w:leader="none" w:pos="6671"/>
              </w:tabs>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275/2026/0862/VFI-BC.53.A</w:t>
            </w:r>
            <w:r>
              <w:rPr>
                <w:color w:val="000000" w:themeColor="text1"/>
                <w:sz w:val="24"/>
                <w:szCs w:val="24"/>
              </w:rPr>
              <w:tab/>
            </w: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08 tháng 6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highlight w:val="white"/>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CHU VĂN THẠO</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275/2026/0862/VFI-HĐTĐ.53.A</w:t>
      </w:r>
      <w:r>
        <w:rPr>
          <w:spacing w:val="-4"/>
          <w:highlight w:val="white"/>
          <w:lang w:val="vi-VN"/>
        </w:rPr>
        <w:t xml:space="preserve"> ký ng</w:t>
      </w:r>
      <w:r>
        <w:rPr>
          <w:spacing w:val="-4"/>
          <w:highlight w:val="white"/>
          <w:lang w:val="vi-VN"/>
        </w:rPr>
        <w:t xml:space="preserve">ày </w:t>
      </w:r>
      <w:r>
        <w:rPr>
          <w:color w:val="000000" w:themeColor="text1"/>
          <w:spacing w:val="-4"/>
          <w:highlight w:val="white"/>
        </w:rPr>
        <w:t xml:space="preserve">10 tháng 3 </w:t>
      </w:r>
      <w:r>
        <w:rPr>
          <w:color w:val="000000" w:themeColor="text1"/>
          <w:spacing w:val="-4"/>
          <w:highlight w:val="white"/>
        </w:rPr>
        <w:t xml:space="preserve">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ng Chu V</w:t>
      </w:r>
      <w:r>
        <w:rPr>
          <w:color w:val="000000" w:themeColor="text1"/>
          <w:spacing w:val="-4"/>
          <w:highlight w:val="white"/>
        </w:rPr>
        <w:t xml:space="preserve">ăn</w:t>
      </w:r>
      <w:r>
        <w:rPr>
          <w:color w:val="000000" w:themeColor="text1"/>
          <w:spacing w:val="-4"/>
          <w:highlight w:val="white"/>
        </w:rPr>
        <w:t xml:space="preserve"> Th</w:t>
      </w:r>
      <w:r>
        <w:rPr>
          <w:color w:val="000000" w:themeColor="text1"/>
          <w:spacing w:val="-4"/>
          <w:highlight w:val="white"/>
        </w:rPr>
        <w:t xml:space="preserve">ạo</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275/2026/0862/VFI-BC.53.A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CHU VĂN THẠO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001085003976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w:t>
            </w:r>
            <w:r>
              <w:rPr>
                <w:color w:val="ff0000"/>
                <w:lang w:val="vi-VN"/>
              </w:rPr>
              <w:t xml:space="preserve">Vĩnh </w:t>
            </w:r>
            <w:r>
              <w:rPr>
                <w:color w:val="ff0000"/>
                <w:lang w:val="vi-VN"/>
              </w:rPr>
              <w:t xml:space="preserve">Lộc </w:t>
            </w:r>
            <w:r>
              <w:rPr>
                <w:color w:val="ff0000"/>
                <w:lang w:val="vi-VN"/>
              </w:rPr>
              <w:t xml:space="preserve">2</w:t>
            </w:r>
            <w:r>
              <w:rPr>
                <w:color w:val="ff0000"/>
                <w:lang w:val="vi-VN"/>
              </w:rPr>
              <w:t xml:space="preserve">, x</w:t>
            </w:r>
            <w:r>
              <w:rPr>
                <w:color w:val="000000" w:themeColor="text1"/>
                <w:lang w:val="vi-VN"/>
              </w:rPr>
              <w:t xml:space="preserve">ã Phùng Xá, Huyện Thạch Thất, Thành phố Hà Nội (</w:t>
            </w:r>
            <w:r>
              <w:rPr>
                <w:i/>
                <w:iCs/>
                <w:color w:val="000000" w:themeColor="text1"/>
                <w:lang w:val="vi-VN"/>
              </w:rPr>
              <w:t xml:space="preserve">Nay là xã Tây Phương, Thành phố Hà Nội</w:t>
            </w:r>
            <w:r>
              <w:rPr>
                <w:color w:val="000000" w:themeColor="text1"/>
                <w:lang w:val="vi-VN"/>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w:t>
            </w:r>
            <w:r>
              <w:rPr>
                <w:color w:val="000000" w:themeColor="text1"/>
                <w:spacing w:val="-2"/>
              </w:rPr>
              <w:t xml:space="preserve">P</w:t>
            </w:r>
            <w:r>
              <w:rPr>
                <w:color w:val="000000" w:themeColor="text1"/>
                <w:spacing w:val="-2"/>
              </w:rPr>
              <w:t xml:space="preserve">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35, tờ bản đồ số 0 có địa chỉ: Khu Gốc Găng, xã Phùng Xá, huyện Thạch Thất, Thành phố Hà Nội (</w:t>
      </w:r>
      <w:r>
        <w:rPr>
          <w:rFonts w:ascii="Times New Roman" w:hAnsi="Times New Roman" w:eastAsia="Times New Roman" w:cs="Times New Roman"/>
          <w:b w:val="0"/>
          <w:bCs w:val="0"/>
          <w:i/>
          <w:iCs/>
          <w:color w:val="000000"/>
          <w:sz w:val="24"/>
        </w:rPr>
        <w:t xml:space="preserve">Nay là xã Tây Phương,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rFonts w:ascii="Times New Roman" w:hAnsi="Times New Roman" w:eastAsia="Times New Roman" w:cs="Times New Roman"/>
          <w:b w:val="0"/>
          <w:bCs w:val="0"/>
          <w:color w:val="000000"/>
          <w:sz w:val="24"/>
        </w:rPr>
        <w:t xml:space="preserve"> </w:t>
      </w:r>
      <w:r>
        <w:rPr>
          <w:b/>
          <w:bCs/>
        </w:rPr>
      </w:r>
      <w:r>
        <w:rPr>
          <w:b/>
          <w:bCs/>
        </w:rPr>
      </w:r>
    </w:p>
    <w:p>
      <w:pPr>
        <w:pBdr/>
        <w:spacing w:after="120" w:before="120" w:line="312" w:lineRule="auto"/>
        <w:ind/>
        <w:jc w:val="both"/>
        <w:rPr>
          <w:b/>
          <w:bCs/>
          <w:highlight w:val="yellow"/>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highlight w:val="white"/>
          <w:lang w:val="nl-NL"/>
        </w:rPr>
        <w:t xml:space="preserve">T</w:t>
      </w:r>
      <w:r>
        <w:rPr>
          <w:bCs/>
          <w:color w:val="000000" w:themeColor="text1"/>
          <w:highlight w:val="white"/>
          <w:lang w:val="nl-NL"/>
        </w:rPr>
        <w:t xml:space="preserve">hán</w:t>
      </w:r>
      <w:r>
        <w:rPr>
          <w:bCs/>
          <w:color w:val="ff0000"/>
          <w:highlight w:val="white"/>
          <w:lang w:val="nl-NL"/>
        </w:rPr>
        <w:t xml:space="preserve">g </w:t>
      </w:r>
      <w:r>
        <w:rPr>
          <w:bCs/>
          <w:color w:val="ff0000"/>
          <w:highlight w:val="white"/>
          <w:lang w:val="nl-NL"/>
        </w:rPr>
        <w:t xml:space="preserve">6</w:t>
      </w:r>
      <w:r>
        <w:rPr>
          <w:bCs/>
          <w:color w:val="ff0000"/>
          <w:highlight w:val="white"/>
          <w:lang w:val="nl-NL"/>
        </w:rPr>
        <w:t xml:space="preserve">/2026</w:t>
      </w:r>
      <w:r>
        <w:rPr>
          <w:bCs/>
          <w:color w:val="ff0000"/>
          <w:highlight w:val="white"/>
          <w:lang w:val="nl-NL"/>
        </w:rPr>
        <w:t xml:space="preserve">.</w:t>
      </w:r>
      <w:r>
        <w:rPr>
          <w:b/>
          <w:bCs/>
          <w:highlight w:val="yellow"/>
        </w:rPr>
      </w:r>
      <w:r>
        <w:rPr>
          <w:b/>
          <w:bCs/>
          <w:highlight w:val="yellow"/>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2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234"/>
        <w:gridCol w:w="1802"/>
        <w:gridCol w:w="2581"/>
        <w:gridCol w:w="2090"/>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35, tờ bản đồ số 0 có địa chỉ: Khu Gốc Găng, xã Phùng Xá, huyện Thạch Thất, Thành phố Hà Nội (</w:t>
            </w:r>
            <w:r>
              <w:rPr>
                <w:rFonts w:ascii="Times New Roman" w:hAnsi="Times New Roman" w:eastAsia="Times New Roman" w:cs="Times New Roman"/>
                <w:b/>
                <w:bCs/>
                <w:i/>
                <w:iCs/>
                <w:color w:val="000000"/>
                <w:sz w:val="24"/>
              </w:rPr>
              <w:t xml:space="preserve">Nay là xã Tây Phương,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w:t>
            </w:r>
            <w:r>
              <w:rPr>
                <w:b w:val="0"/>
                <w:bCs w:val="0"/>
                <w:color w:val="ff0000"/>
              </w:rPr>
              <w:t xml:space="preserve">nông </w:t>
            </w:r>
            <w:r>
              <w:rPr>
                <w:b w:val="0"/>
                <w:bCs w:val="0"/>
                <w:color w:val="ff0000"/>
              </w:rPr>
              <w:t xml:space="preserve">t</w:t>
            </w:r>
            <w:r>
              <w:rPr>
                <w:b w:val="0"/>
                <w:bCs w:val="0"/>
                <w:color w:val="ff0000"/>
              </w:rPr>
              <w:t xml:space="preserve">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140,6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120.000.000</w:t>
            </w:r>
            <w:r/>
          </w:p>
        </w:tc>
        <w:tc>
          <w:tcPr>
            <w:shd w:val="clear" w:color="000000" w:fill="ffffff"/>
            <w:tcBorders/>
            <w:tcW w:w="2090" w:type="dxa"/>
            <w:vAlign w:val="center"/>
            <w:textDirection w:val="lrTb"/>
            <w:noWrap w:val="false"/>
          </w:tcPr>
          <w:p>
            <w:pPr>
              <w:pBdr/>
              <w:spacing w:after="40" w:before="40" w:line="288" w:lineRule="auto"/>
              <w:ind/>
              <w:jc w:val="center"/>
              <w:rPr/>
            </w:pPr>
            <w:r>
              <w:rPr>
                <w:color w:val="000000" w:themeColor="text1"/>
              </w:rPr>
              <w:t xml:space="preserve">16.872.000.000</w:t>
            </w: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0" w:type="dxa"/>
            <w:vAlign w:val="center"/>
            <w:textDirection w:val="lrTb"/>
            <w:noWrap/>
          </w:tcPr>
          <w:p>
            <w:pPr>
              <w:pBdr/>
              <w:spacing w:after="40" w:before="40" w:line="288" w:lineRule="auto"/>
              <w:ind/>
              <w:jc w:val="center"/>
              <w:rPr>
                <w:b/>
                <w:bCs/>
                <w:color w:val="000000"/>
              </w:rPr>
            </w:pPr>
            <w:r>
              <w:rPr>
                <w:b/>
                <w:bCs/>
              </w:rPr>
              <w:t xml:space="preserve">16.872.000.000</w:t>
            </w:r>
            <w:r>
              <w:rPr>
                <w:b/>
                <w:bCs/>
                <w:color w:val="000000"/>
              </w:rPr>
            </w:r>
            <w:r>
              <w:rPr>
                <w:b/>
                <w:bCs/>
                <w:color w:val="000000"/>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0" w:type="dxa"/>
            <w:vAlign w:val="center"/>
            <w:textDirection w:val="lrTb"/>
            <w:noWrap/>
          </w:tcPr>
          <w:p>
            <w:pPr>
              <w:pBdr/>
              <w:spacing w:after="40" w:before="40" w:line="288" w:lineRule="auto"/>
              <w:ind/>
              <w:jc w:val="center"/>
              <w:rPr>
                <w:b/>
                <w:bCs/>
                <w:color w:val="000000"/>
              </w:rPr>
            </w:pPr>
            <w:r>
              <w:rPr>
                <w:b/>
                <w:bCs/>
                <w:color w:val="000000"/>
              </w:rPr>
              <w:t xml:space="preserve">16.872.000.000</w:t>
            </w:r>
            <w:r>
              <w:rPr>
                <w:b/>
                <w:bCs/>
                <w:color w:val="000000"/>
              </w:rPr>
            </w:r>
            <w:r>
              <w:rPr>
                <w:b/>
                <w:bCs/>
                <w:color w:val="000000"/>
              </w:rPr>
            </w:r>
          </w:p>
        </w:tc>
      </w:tr>
      <w:tr>
        <w:trPr>
          <w:trHeight w:val="20"/>
        </w:trPr>
        <w:tc>
          <w:tcPr>
            <w:gridSpan w:val="5"/>
            <w:tcBorders/>
            <w:tcW w:w="938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tám trăm bảy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54" w:type="dxa"/>
        <w:tblBorders/>
        <w:tblLayout w:type="fixed"/>
        <w:tblLook w:val="04A0" w:firstRow="1" w:lastRow="0" w:firstColumn="1" w:lastColumn="0" w:noHBand="0" w:noVBand="1"/>
      </w:tblPr>
      <w:tblGrid>
        <w:gridCol w:w="615"/>
        <w:gridCol w:w="730"/>
        <w:gridCol w:w="9010"/>
      </w:tblGrid>
      <w:tr>
        <w:trPr>
          <w:trHeight w:val="1701"/>
        </w:trPr>
        <w:tc>
          <w:tcPr>
            <w:gridSpan w:val="2"/>
            <w:tcBorders/>
            <w:tcW w:w="134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901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41"/>
        </w:trPr>
        <w:tc>
          <w:tcPr>
            <w:gridSpan w:val="2"/>
            <w:shd w:val="clear" w:color="auto" w:fill="auto"/>
            <w:tcBorders/>
            <w:tcMar>
              <w:left w:w="108" w:type="dxa"/>
              <w:top w:w="0" w:type="dxa"/>
              <w:right w:w="108" w:type="dxa"/>
              <w:bottom w:w="0" w:type="dxa"/>
            </w:tcMar>
            <w:tcW w:w="9740" w:type="dxa"/>
            <w:textDirection w:val="lrTb"/>
            <w:noWrap w:val="false"/>
          </w:tcPr>
          <w:p>
            <w:pPr>
              <w:pStyle w:val="1036"/>
              <w:pBdr/>
              <w:tabs>
                <w:tab w:val="left" w:leader="none" w:pos="5951"/>
              </w:tabs>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275/2026/0862/VFI-CT.53.A</w:t>
            </w:r>
            <w:r>
              <w:rPr>
                <w:color w:val="000000" w:themeColor="text1"/>
                <w:sz w:val="24"/>
                <w:szCs w:val="24"/>
              </w:rPr>
              <w:t xml:space="preserve">                              </w:t>
            </w: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w:t>
            </w:r>
            <w:r>
              <w:rPr>
                <w:rStyle w:val="1035"/>
                <w:rFonts w:ascii="Times New Roman" w:hAnsi="Times New Roman"/>
                <w:i/>
                <w:color w:val="000000" w:themeColor="text1"/>
                <w:lang w:val="vi-VN"/>
              </w:rPr>
              <w:t xml:space="preserve">0</w:t>
            </w:r>
            <w:r>
              <w:rPr>
                <w:rStyle w:val="1035"/>
                <w:rFonts w:ascii="Times New Roman" w:hAnsi="Times New Roman"/>
                <w:i/>
                <w:color w:val="000000" w:themeColor="text1"/>
                <w:lang w:val="vi-VN"/>
              </w:rPr>
              <w:t xml:space="preserve">8 tháng 6 năm 2026</w:t>
            </w:r>
            <w:r>
              <w:rPr>
                <w:color w:val="000000" w:themeColor="text1"/>
                <w:sz w:val="24"/>
                <w:szCs w:val="24"/>
              </w:rPr>
            </w:r>
            <w:r>
              <w:rPr>
                <w:color w:val="000000" w:themeColor="text1"/>
                <w:sz w:val="24"/>
                <w:szCs w:val="24"/>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jc w:val="center"/>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w:t>
      </w:r>
      <w:r>
        <w:rPr>
          <w:b w:val="0"/>
          <w:i/>
          <w:color w:val="000000" w:themeColor="text1"/>
          <w:spacing w:val="-6"/>
          <w:sz w:val="24"/>
          <w:szCs w:val="24"/>
          <w:lang w:val="pt-BR"/>
        </w:rPr>
        <w:t xml:space="preserve">0</w:t>
      </w:r>
      <w:r>
        <w:rPr>
          <w:b w:val="0"/>
          <w:i/>
          <w:color w:val="000000" w:themeColor="text1"/>
          <w:spacing w:val="-6"/>
          <w:sz w:val="24"/>
          <w:szCs w:val="24"/>
          <w:lang w:val="pt-BR"/>
        </w:rPr>
        <w:t xml:space="preserve">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CHU VĂN THẠO</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001085003976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w:t>
            </w:r>
            <w:r>
              <w:rPr>
                <w:color w:val="ff0000"/>
                <w:lang w:val="vi-VN"/>
              </w:rPr>
              <w:t xml:space="preserve">Vĩnh </w:t>
            </w:r>
            <w:r>
              <w:rPr>
                <w:color w:val="ff0000"/>
                <w:lang w:val="vi-VN"/>
              </w:rPr>
              <w:t xml:space="preserve">Lộc </w:t>
            </w:r>
            <w:r>
              <w:rPr>
                <w:color w:val="ff0000"/>
                <w:lang w:val="vi-VN"/>
              </w:rPr>
              <w:t xml:space="preserve">2</w:t>
            </w:r>
            <w:r>
              <w:rPr>
                <w:color w:val="ff0000"/>
                <w:lang w:val="vi-VN"/>
              </w:rPr>
              <w:t xml:space="preserve">, </w:t>
            </w:r>
            <w:r>
              <w:rPr>
                <w:color w:val="000000" w:themeColor="text1"/>
                <w:lang w:val="vi-VN"/>
              </w:rPr>
              <w:t xml:space="preserve">xã Phùng Xá, Huyện Thạch Thất, Thành phố Hà Nội (</w:t>
            </w:r>
            <w:r>
              <w:rPr>
                <w:i/>
                <w:iCs/>
                <w:color w:val="000000" w:themeColor="text1"/>
                <w:lang w:val="vi-VN"/>
              </w:rPr>
              <w:t xml:space="preserve">Nay là xã Tây Phương, Thành phố Hà Nội</w:t>
            </w:r>
            <w:r>
              <w:rPr>
                <w:color w:val="000000" w:themeColor="text1"/>
                <w:lang w:val="vi-VN"/>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35, tờ bản đồ số 0 có địa chỉ: Khu Gốc Găng, xã Phùng Xá, huyện Thạch Thất, Thành phố Hà Nội (</w:t>
            </w:r>
            <w:r>
              <w:rPr>
                <w:rFonts w:ascii="Times New Roman" w:hAnsi="Times New Roman" w:eastAsia="Times New Roman" w:cs="Times New Roman"/>
                <w:b w:val="0"/>
                <w:bCs w:val="0"/>
                <w:i/>
                <w:iCs/>
                <w:color w:val="000000"/>
                <w:sz w:val="24"/>
              </w:rPr>
              <w:t xml:space="preserve">Nay là xã Tây Phương,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21.008611111111, 105.62469444444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4"/>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CV 300026, số vào sổ cấp GCN: CS-TTH 18510 do Sở Tài nguyên và Môi trường Thành phố Hà Nội  cấp ngày 21/4/2020; Chủ sử dụng đất là Ông Chu Văn Thạo và Bà Nguyễn Thị Yến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w:t>
      </w:r>
      <w:r>
        <w:rPr>
          <w:color w:val="000000" w:themeColor="text1"/>
          <w:lang w:val="pt-BR"/>
        </w:rPr>
        <w:t xml:space="preserve">dịch </w:t>
      </w:r>
      <w:r>
        <w:rPr>
          <w:color w:val="000000" w:themeColor="text1"/>
          <w:lang w:val="pt-BR"/>
        </w:rPr>
        <w:t xml:space="preserve">vụ </w:t>
      </w:r>
      <w:r>
        <w:rPr>
          <w:color w:val="000000" w:themeColor="text1"/>
          <w:lang w:val="pt-BR"/>
        </w:rPr>
        <w:t xml:space="preserve">thẩm </w:t>
      </w:r>
      <w:r>
        <w:rPr>
          <w:color w:val="000000" w:themeColor="text1"/>
          <w:lang w:val="pt-BR"/>
        </w:rPr>
        <w:t xml:space="preserve">định </w:t>
      </w:r>
      <w:r>
        <w:rPr>
          <w:color w:val="000000" w:themeColor="text1"/>
          <w:lang w:val="pt-BR"/>
        </w:rPr>
        <w:t xml:space="preserve">giá</w:t>
      </w:r>
      <w:r>
        <w:rPr>
          <w:color w:val="000000" w:themeColor="text1"/>
          <w:lang w:val="pt-BR"/>
        </w:rPr>
        <w:t xml:space="preserve"> số 275/2026/0862/VFI-HĐTĐ.53.A </w:t>
      </w:r>
      <w:r>
        <w:rPr>
          <w:color w:val="000000" w:themeColor="text1"/>
          <w:highlight w:val="white"/>
          <w:lang w:val="pt-BR"/>
        </w:rPr>
        <w:t xml:space="preserve">ngà</w:t>
      </w:r>
      <w:r>
        <w:rPr>
          <w:color w:val="c00000"/>
          <w:highlight w:val="white"/>
          <w:lang w:val="pt-BR"/>
        </w:rPr>
        <w:t xml:space="preserve">y </w:t>
      </w:r>
      <w:r>
        <w:rPr>
          <w:color w:val="c00000"/>
          <w:highlight w:val="white"/>
          <w:lang w:val="pt-BR"/>
        </w:rPr>
        <w:t xml:space="preserve">1</w:t>
      </w:r>
      <w:r>
        <w:rPr>
          <w:color w:val="c00000"/>
          <w:highlight w:val="white"/>
          <w:lang w:val="pt-BR"/>
        </w:rPr>
        <w:t xml:space="preserve">0</w:t>
      </w:r>
      <w:r>
        <w:rPr>
          <w:color w:val="c00000"/>
          <w:highlight w:val="white"/>
          <w:lang w:val="pt-BR"/>
        </w:rPr>
        <w:t xml:space="preserve">/3/2</w:t>
      </w:r>
      <w:r>
        <w:rPr>
          <w:color w:val="c00000"/>
          <w:highlight w:val="white"/>
          <w:lang w:val="pt-BR"/>
        </w:rPr>
        <w:t xml:space="preserve">026 g</w:t>
      </w:r>
      <w:r>
        <w:rPr>
          <w:color w:val="000000" w:themeColor="text1"/>
          <w:highlight w:val="white"/>
          <w:lang w:val="pt-BR"/>
        </w:rPr>
        <w:t xml:space="preserve">iữa Ông </w:t>
      </w:r>
      <w:r>
        <w:rPr>
          <w:color w:val="000000" w:themeColor="text1"/>
          <w:lang w:val="pt-BR"/>
        </w:rPr>
        <w:t xml:space="preserve">Chu Văn Thạo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Theo định hướng quy hoạch mới đến năm 2030, Thạch Thất đặt mục tiêu chuyển dịch cơ cấu từ nông nghiệp sang đô thị – công nghiệp – dịch vụ, phát triển các khu đô thị mới, kh</w:t>
      </w:r>
      <w:r>
        <w:rPr>
          <w:rFonts w:ascii="Times New Roman" w:hAnsi="Times New Roman" w:eastAsia="Times New Roman" w:cs="Times New Roman"/>
          <w:color w:val="000000"/>
          <w:sz w:val="24"/>
          <w:highlight w:val="white"/>
        </w:rPr>
        <w:t xml:space="preserve">u 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w:t>
      </w:r>
      <w:r>
        <w:rPr>
          <w:rFonts w:ascii="Times New Roman" w:hAnsi="Times New Roman" w:eastAsia="Times New Roman" w:cs="Times New Roman"/>
          <w:color w:val="000000"/>
          <w:sz w:val="24"/>
          <w:highlight w:val="white"/>
        </w:rPr>
        <w:t xml:space="preserve">ư mạnh mẽ: mở rộng quốc lộ 21, nâng cấp quốc lộ 32 lên 6 làn, quy hoạch tuyến Hồ Tây – Ba Vì thành 8 làn xe, cùng với đó là tuyến đường sắt đô thị, hệ thống BRT và minibus.</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     Những công trình này sẽ kết nối Thạch Thất với trung tâm Hà Nội và các đô thị </w:t>
      </w:r>
      <w:r>
        <w:rPr>
          <w:rFonts w:ascii="Times New Roman" w:hAnsi="Times New Roman" w:eastAsia="Times New Roman" w:cs="Times New Roman"/>
          <w:color w:val="000000"/>
          <w:sz w:val="24"/>
          <w:highlight w:val="white"/>
        </w:rPr>
        <w:t xml:space="preserve">vệ tinh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w:t>
      </w:r>
      <w:r>
        <w:rPr>
          <w:rFonts w:ascii="Times New Roman" w:hAnsi="Times New Roman" w:eastAsia="Times New Roman" w:cs="Times New Roman"/>
          <w:color w:val="000000"/>
          <w:sz w:val="24"/>
          <w:highlight w:val="white"/>
        </w:rPr>
        <w:t xml:space="preserve">iệm, Thạch Hòa. </w:t>
      </w:r>
      <w:r/>
    </w:p>
    <w:p>
      <w:pPr>
        <w:pBdr>
          <w:top w:val="none" w:color="000000" w:sz="4" w:space="0"/>
          <w:left w:val="none" w:color="000000" w:sz="4" w:space="0"/>
          <w:bottom w:val="none" w:color="000000" w:sz="4" w:space="0"/>
          <w:right w:val="none" w:color="000000" w:sz="4" w:space="0"/>
        </w:pBdr>
        <w:tabs>
          <w:tab w:val="left" w:leader="none" w:pos="283"/>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none"/>
        </w:rPr>
        <w:tab/>
      </w:r>
      <w:r>
        <w:rPr>
          <w:rFonts w:ascii="Times New Roman" w:hAnsi="Times New Roman" w:eastAsia="Times New Roman" w:cs="Times New Roman"/>
          <w:color w:val="000000"/>
          <w:sz w:val="24"/>
          <w:highlight w:val="white"/>
        </w:rPr>
        <w:t xml:space="preserve">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trở thành đô </w:t>
      </w:r>
      <w:r>
        <w:rPr>
          <w:rFonts w:ascii="Times New Roman" w:hAnsi="Times New Roman" w:eastAsia="Times New Roman" w:cs="Times New Roman"/>
          <w:color w:val="000000"/>
          <w:sz w:val="24"/>
          <w:highlight w:val="white"/>
        </w:rPr>
        <w:t xml:space="preserve">thị vệ tinh năng động của Hà Nội, cân bằng giữa phát triển hiện đại và bảo tồn bản sắc – nơi hội tụ hài hòa giữa khoa học, công nghệ, văn hóa và không gian sống xanh bền vững.</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i/>
          <w:color w:val="000000"/>
          <w:sz w:val="24"/>
          <w:highlight w:val="white"/>
          <w:u w:val="none"/>
        </w:rPr>
        <w:t xml:space="preserve">(Nguồn </w:t>
      </w:r>
      <w:r>
        <w:rPr>
          <w:rFonts w:ascii="Times New Roman" w:hAnsi="Times New Roman" w:eastAsia="Times New Roman" w:cs="Times New Roman"/>
          <w:i/>
          <w:color w:val="000000"/>
          <w:sz w:val="24"/>
          <w:highlight w:val="white"/>
          <w:u w:val="none"/>
        </w:rPr>
        <w:t xml:space="preserve">tham </w:t>
      </w:r>
      <w:r>
        <w:rPr>
          <w:rFonts w:ascii="Times New Roman" w:hAnsi="Times New Roman" w:eastAsia="Times New Roman" w:cs="Times New Roman"/>
          <w:i/>
          <w:color w:val="000000"/>
          <w:sz w:val="24"/>
          <w:highlight w:val="white"/>
          <w:u w:val="none"/>
        </w:rPr>
        <w:t xml:space="preserve">khảo</w:t>
      </w:r>
      <w:r>
        <w:rPr>
          <w:rFonts w:ascii="Times New Roman" w:hAnsi="Times New Roman" w:eastAsia="Times New Roman" w:cs="Times New Roman"/>
          <w:i/>
          <w:color w:val="000000"/>
          <w:sz w:val="24"/>
          <w:highlight w:val="white"/>
          <w:u w:val="none"/>
        </w:rPr>
        <w:t xml:space="preserve">: https://onehousing.vn/blog/quy-hoach-huyen-thach-that-ha-noi-sau-khi-sap-xep-lai-don-vi-hanh-chinh-n17t)</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Style w:val="103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1984"/>
        <w:gridCol w:w="1870"/>
        <w:gridCol w:w="2126"/>
        <w:gridCol w:w="2808"/>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Tên tài sản</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76" w:lineRule="auto"/>
              <w:ind w:right="143" w:firstLine="0" w:left="142"/>
              <w:jc w:val="both"/>
              <w:rPr>
                <w:b/>
                <w:bCs/>
                <w:sz w:val="24"/>
                <w:szCs w:val="24"/>
              </w:rPr>
            </w:pPr>
            <w:r>
              <w:rPr>
                <w:rFonts w:ascii="Times New Roman" w:hAnsi="Times New Roman" w:eastAsia="Times New Roman" w:cs="Times New Roman"/>
                <w:b/>
                <w:color w:val="000000"/>
                <w:sz w:val="24"/>
                <w:szCs w:val="24"/>
              </w:rPr>
            </w:r>
            <w:r>
              <w:rPr>
                <w:rFonts w:ascii="Times New Roman" w:hAnsi="Times New Roman" w:eastAsia="Times New Roman" w:cs="Times New Roman"/>
                <w:b/>
                <w:bCs/>
                <w:color w:val="000000"/>
                <w:sz w:val="24"/>
                <w:szCs w:val="24"/>
              </w:rPr>
              <w:t xml:space="preserve">Quyền sử dụng đất tại thửa đất số: 35, tờ bản đồ số 0 có địa chỉ: Khu Gốc Găng, xã Phùng Xá, huyện Thạch Thất, Thành phố Hà Nội (</w:t>
            </w:r>
            <w:r>
              <w:rPr>
                <w:rFonts w:ascii="Times New Roman" w:hAnsi="Times New Roman" w:eastAsia="Times New Roman" w:cs="Times New Roman"/>
                <w:b/>
                <w:bCs/>
                <w:i/>
                <w:iCs/>
                <w:color w:val="000000"/>
                <w:sz w:val="24"/>
                <w:szCs w:val="24"/>
              </w:rPr>
              <w:t xml:space="preserve">Nay là xã Tây Phương, Thành phố Hà Nội</w:t>
            </w:r>
            <w:r>
              <w:rPr>
                <w:rFonts w:ascii="Times New Roman" w:hAnsi="Times New Roman" w:eastAsia="Times New Roman" w:cs="Times New Roman"/>
                <w:b/>
                <w:bCs/>
                <w:color w:val="000000"/>
                <w:sz w:val="24"/>
                <w:szCs w:val="24"/>
              </w:rPr>
              <w:t xml:space="preserve">) theo Giấy chứng nhận quyền sử dụng đất, quyền sở hữu nhà ở và tài sản khác gắn liền với</w:t>
            </w:r>
            <w:r>
              <w:rPr>
                <w:rFonts w:ascii="Times New Roman" w:hAnsi="Times New Roman" w:eastAsia="Times New Roman" w:cs="Times New Roman"/>
                <w:b/>
                <w:bCs/>
                <w:color w:val="000000"/>
                <w:sz w:val="24"/>
                <w:szCs w:val="24"/>
              </w:rPr>
              <w:t xml:space="preserve"> đất số: CV 300026, số vào sổ cấp GCN: CS-TTH 18510 do Sở Tài nguyên và Môi trường Thành phố Hà Nội  cấp ngày 21/4/2020; Chủ sử dụng đất là Ông Chu Văn Thạo và Bà Nguyễn Thị Yến. </w:t>
            </w:r>
            <w:r>
              <w:rPr>
                <w:b/>
                <w:bCs/>
                <w:sz w:val="24"/>
                <w:szCs w:val="24"/>
              </w:rPr>
            </w:r>
            <w:r>
              <w:rPr>
                <w:b/>
                <w:bCs/>
                <w:sz w:val="24"/>
                <w:szCs w:val="24"/>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1.</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Nội dung Thửa đất theo Hồ sơ pháp lý</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Thửa đất số:</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35</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Tờ bản đồ số:</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0</w:t>
            </w:r>
            <w:r>
              <w:rPr>
                <w:sz w:val="24"/>
                <w:szCs w:val="24"/>
              </w:rPr>
            </w:r>
            <w:r>
              <w:rPr>
                <w:sz w:val="24"/>
                <w:szCs w:val="24"/>
              </w:rPr>
            </w:r>
          </w:p>
        </w:tc>
      </w:tr>
      <w:tr>
        <w:trPr>
          <w:trHeight w:val="541"/>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Địa chỉ:</w:t>
            </w:r>
            <w:r>
              <w:rPr>
                <w:sz w:val="24"/>
                <w:szCs w:val="24"/>
              </w:rPr>
            </w:r>
            <w:r>
              <w:rPr>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Khu Gốc Găng, xã Phùng Xá, huyện Thạch Thất, Thành phố Hà Nội (</w:t>
            </w:r>
            <w:r>
              <w:rPr>
                <w:rFonts w:ascii="Times New Roman" w:hAnsi="Times New Roman" w:eastAsia="Times New Roman" w:cs="Times New Roman"/>
                <w:i/>
                <w:iCs/>
                <w:color w:val="000000"/>
                <w:sz w:val="24"/>
                <w:szCs w:val="24"/>
              </w:rPr>
              <w:t xml:space="preserve">Nay là xã Tây Phương, Thành phố Hà Nội).</w:t>
            </w:r>
            <w:r>
              <w:rPr>
                <w:sz w:val="24"/>
                <w:szCs w:val="24"/>
              </w:rPr>
            </w:r>
            <w:r>
              <w:rPr>
                <w:sz w:val="24"/>
                <w:szCs w:val="24"/>
              </w:rPr>
            </w:r>
          </w:p>
        </w:tc>
      </w:tr>
      <w:tr>
        <w:trPr>
          <w:trHeight w:val="271"/>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Diện tích (m²):</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140,6</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Hình thức sử dụng: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Sử dụng riêng    </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Mục đích sử dụng: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Đất ở tại nông thôn  </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Thời hạn sử dụng: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Lâu dài</w:t>
            </w:r>
            <w:r>
              <w:rPr>
                <w:sz w:val="24"/>
                <w:szCs w:val="24"/>
              </w:rPr>
            </w:r>
            <w:r>
              <w:rPr>
                <w:sz w:val="24"/>
                <w:szCs w:val="24"/>
              </w:rPr>
            </w:r>
          </w:p>
        </w:tc>
      </w:tr>
      <w:tr>
        <w:trPr>
          <w:trHeight w:val="410"/>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Nguồn gốc sử dụng đất:</w:t>
            </w:r>
            <w:r>
              <w:rPr>
                <w:sz w:val="24"/>
                <w:szCs w:val="24"/>
              </w:rPr>
            </w:r>
            <w:r>
              <w:rPr>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Được tăng cho đất được Nhà nước giao đất có thu tiền sử dụng đất. </w:t>
            </w:r>
            <w:r>
              <w:rPr>
                <w:sz w:val="24"/>
                <w:szCs w:val="24"/>
              </w:rPr>
            </w:r>
            <w:r>
              <w:rPr>
                <w:sz w:val="24"/>
                <w:szCs w:val="24"/>
              </w:rPr>
            </w:r>
          </w:p>
        </w:tc>
      </w:tr>
      <w:tr>
        <w:trPr>
          <w:trHeight w:val="554"/>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Ghi chú:</w:t>
            </w:r>
            <w:r>
              <w:rPr>
                <w:sz w:val="24"/>
                <w:szCs w:val="24"/>
              </w:rPr>
            </w:r>
            <w:r>
              <w:rPr>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jc w:val="both"/>
              <w:rPr>
                <w:bCs/>
                <w:i/>
                <w:sz w:val="24"/>
                <w:szCs w:val="24"/>
              </w:rPr>
            </w:pPr>
            <w:r>
              <w:rPr>
                <w:rFonts w:ascii="Times New Roman" w:hAnsi="Times New Roman" w:eastAsia="Times New Roman" w:cs="Times New Roman"/>
                <w:i/>
                <w:iCs/>
                <w:color w:val="000000"/>
                <w:sz w:val="24"/>
                <w:szCs w:val="24"/>
              </w:rPr>
              <w:t xml:space="preserve">Giấy chứng nhận này được cấp đổi từ Giấy chứng nhận số AQ 052740 do UBND huyện Thạch Thất cấp ngày 24/11/2009.</w:t>
            </w:r>
            <w:r>
              <w:rPr>
                <w:bCs/>
                <w:i/>
                <w:sz w:val="24"/>
                <w:szCs w:val="24"/>
              </w:rPr>
            </w:r>
            <w:r>
              <w:rPr>
                <w:bCs/>
                <w:i/>
                <w:sz w:val="24"/>
                <w:szCs w:val="24"/>
              </w:rPr>
            </w:r>
          </w:p>
        </w:tc>
      </w:tr>
      <w:tr>
        <w:trPr>
          <w:trHeight w:val="1263"/>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color w:val="000000" w:themeColor="text1"/>
                <w:sz w:val="24"/>
                <w:szCs w:val="24"/>
              </w:rPr>
            </w:pPr>
            <w:r>
              <w:rPr>
                <w:rFonts w:ascii="Times New Roman" w:hAnsi="Times New Roman" w:eastAsia="Times New Roman" w:cs="Times New Roman"/>
                <w:color w:val="000000" w:themeColor="text1"/>
                <w:sz w:val="24"/>
                <w:szCs w:val="24"/>
              </w:rPr>
              <w:t xml:space="preserve">Thông tin quy hoạch:</w:t>
            </w:r>
            <w:r>
              <w:rPr>
                <w:color w:val="000000" w:themeColor="text1"/>
                <w:sz w:val="24"/>
                <w:szCs w:val="24"/>
              </w:rPr>
            </w:r>
            <w:r>
              <w:rPr>
                <w:color w:val="000000" w:themeColor="text1"/>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143" w:firstLine="0" w:left="142"/>
              <w:jc w:val="both"/>
              <w:rPr>
                <w:color w:val="000000" w:themeColor="text1"/>
                <w:sz w:val="24"/>
                <w:szCs w:val="24"/>
              </w:rPr>
            </w:pPr>
            <w:r>
              <w:rPr>
                <w:rFonts w:ascii="Times New Roman" w:hAnsi="Times New Roman" w:eastAsia="Times New Roman" w:cs="Times New Roman"/>
                <w:color w:val="000000" w:themeColor="text1"/>
                <w:sz w:val="24"/>
                <w:szCs w:val="24"/>
              </w:rPr>
              <w:t xml:space="preserve">Tại thời điểm thẩm định giá, </w:t>
            </w:r>
            <w:r>
              <w:rPr>
                <w:rFonts w:ascii="Times New Roman" w:hAnsi="Times New Roman" w:eastAsia="Times New Roman" w:cs="Times New Roman"/>
                <w:color w:val="000000" w:themeColor="text1"/>
                <w:sz w:val="24"/>
                <w:szCs w:val="24"/>
              </w:rPr>
              <w:t xml:space="preserve">T</w:t>
            </w:r>
            <w:r>
              <w:rPr>
                <w:rFonts w:ascii="Times New Roman" w:hAnsi="Times New Roman" w:eastAsia="Times New Roman" w:cs="Times New Roman"/>
                <w:color w:val="000000" w:themeColor="text1"/>
                <w:sz w:val="24"/>
                <w:szCs w:val="24"/>
              </w:rPr>
              <w:t xml:space="preserve">ổ thẩm định không được Khách hàng cung cấp các thông tin quy hoạch liên quan đến thửa đất, dựa trên định vị của tài sản sau khi khảo sát, </w:t>
            </w:r>
            <w:r>
              <w:rPr>
                <w:rFonts w:ascii="Times New Roman" w:hAnsi="Times New Roman" w:eastAsia="Times New Roman" w:cs="Times New Roman"/>
                <w:color w:val="000000" w:themeColor="text1"/>
                <w:sz w:val="24"/>
                <w:szCs w:val="24"/>
              </w:rPr>
              <w:t xml:space="preserve">T</w:t>
            </w:r>
            <w:r>
              <w:rPr>
                <w:rFonts w:ascii="Times New Roman" w:hAnsi="Times New Roman" w:eastAsia="Times New Roman" w:cs="Times New Roman"/>
                <w:color w:val="000000" w:themeColor="text1"/>
                <w:sz w:val="24"/>
                <w:szCs w:val="24"/>
              </w:rPr>
              <w:t xml:space="preserve">ổ thẩm định kiểm tra quy hoạch online thông qua các trang mạng như Guland/Meeymap, xác </w:t>
            </w:r>
            <w:r>
              <w:rPr>
                <w:rFonts w:ascii="Times New Roman" w:hAnsi="Times New Roman" w:eastAsia="Times New Roman" w:cs="Times New Roman"/>
                <w:color w:val="000000" w:themeColor="text1"/>
                <w:sz w:val="24"/>
                <w:szCs w:val="24"/>
              </w:rPr>
              <w:t xml:space="preserve">định vị trí tài sản thuộc quy hoạch đất ở. </w:t>
            </w:r>
            <w:r>
              <w:rPr>
                <w:color w:val="000000" w:themeColor="text1"/>
                <w:sz w:val="24"/>
                <w:szCs w:val="24"/>
              </w:rPr>
            </w:r>
            <w:r>
              <w:rPr>
                <w:color w:val="000000" w:themeColor="text1"/>
                <w:sz w:val="24"/>
                <w:szCs w:val="24"/>
              </w:rPr>
            </w:r>
          </w:p>
          <w:p>
            <w:pPr>
              <w:pBdr/>
              <w:spacing w:after="0" w:before="0" w:line="240" w:lineRule="auto"/>
              <w:ind w:right="143" w:firstLine="0" w:left="142"/>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spacing w:after="0" w:before="0" w:line="240" w:lineRule="auto"/>
              <w:ind w:right="143" w:firstLine="0" w:left="142"/>
              <w:jc w:val="both"/>
              <w:rPr>
                <w:color w:val="000000" w:themeColor="text1"/>
                <w:sz w:val="24"/>
                <w:szCs w:val="24"/>
              </w:rPr>
            </w:pPr>
            <w:r>
              <w:rPr>
                <w:rFonts w:ascii="Times New Roman" w:hAnsi="Times New Roman" w:eastAsia="Times New Roman" w:cs="Times New Roman"/>
                <w:color w:val="000000" w:themeColor="text1"/>
                <w:sz w:val="24"/>
                <w:szCs w:val="24"/>
                <w:highlight w:val="none"/>
              </w:rPr>
            </w:r>
            <w:r>
              <w:rPr>
                <w:color w:val="000000" w:themeColor="text1"/>
                <w:sz w:val="24"/>
                <w:szCs w:val="24"/>
              </w:rPr>
              <mc:AlternateContent>
                <mc:Choice Requires="wpg">
                  <w:drawing>
                    <wp:inline xmlns:wp="http://schemas.openxmlformats.org/drawingml/2006/wordprocessingDrawing" distT="0" distB="0" distL="0" distR="0">
                      <wp:extent cx="4602225" cy="242955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43698" name=""/>
                              <pic:cNvPicPr>
                                <a:picLocks noChangeAspect="1"/>
                              </pic:cNvPicPr>
                              <pic:nvPr/>
                            </pic:nvPicPr>
                            <pic:blipFill rotWithShape="1">
                              <a:blip r:embed="rId17"/>
                              <a:stretch/>
                            </pic:blipFill>
                            <pic:spPr bwMode="auto">
                              <a:xfrm flipH="0" flipV="0">
                                <a:off x="0" y="0"/>
                                <a:ext cx="4602224" cy="2429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2.38pt;height:191.30pt;mso-wrap-distance-left:0.00pt;mso-wrap-distance-top:0.00pt;mso-wrap-distance-right:0.00pt;mso-wrap-distance-bottom:0.00pt;z-index:1;" stroked="false">
                      <v:imagedata r:id="rId17" o:title=""/>
                      <o:lock v:ext="edit" rotation="t"/>
                    </v:shape>
                  </w:pict>
                </mc:Fallback>
              </mc:AlternateContent>
            </w:r>
            <w:r>
              <w:rPr>
                <w:color w:val="000000" w:themeColor="text1"/>
                <w:sz w:val="24"/>
                <w:szCs w:val="24"/>
              </w:rPr>
            </w:r>
            <w:r>
              <w:rPr>
                <w:color w:val="000000" w:themeColor="text1"/>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2.</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Về đất:</w:t>
            </w:r>
            <w:r>
              <w:rPr>
                <w:sz w:val="24"/>
                <w:szCs w:val="24"/>
              </w:rPr>
            </w:r>
            <w:r>
              <w:rPr>
                <w:sz w:val="24"/>
                <w:szCs w:val="24"/>
              </w:rP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2.1</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Vị trí; Giao thông:</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Đường tiếp giáp chính:</w:t>
            </w:r>
            <w:r>
              <w:rPr>
                <w:sz w:val="24"/>
                <w:szCs w:val="24"/>
              </w:rPr>
            </w:r>
            <w:r>
              <w:rPr>
                <w:sz w:val="24"/>
                <w:szCs w:val="24"/>
              </w:rPr>
            </w:r>
          </w:p>
        </w:tc>
        <w:tc>
          <w:tcPr>
            <w:tcBorders>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Đường bê tông </w:t>
            </w:r>
            <w:r>
              <w:rPr>
                <w:sz w:val="24"/>
                <w:szCs w:val="24"/>
              </w:rPr>
            </w:r>
            <w:r>
              <w:rPr>
                <w:sz w:val="24"/>
                <w:szCs w:val="24"/>
              </w:rPr>
            </w:r>
          </w:p>
        </w:tc>
        <w:tc>
          <w:tcPr>
            <w:tcBorders>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Số mặt tiền:</w:t>
            </w:r>
            <w:r>
              <w:rPr>
                <w:sz w:val="24"/>
                <w:szCs w:val="24"/>
              </w:rPr>
            </w:r>
            <w:r>
              <w:rPr>
                <w:sz w:val="24"/>
                <w:szCs w:val="24"/>
              </w:rPr>
            </w:r>
          </w:p>
        </w:tc>
        <w:tc>
          <w:tcPr>
            <w:tcBorders>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01 mặt tiền</w:t>
            </w:r>
            <w:r>
              <w:rPr>
                <w:sz w:val="24"/>
                <w:szCs w:val="24"/>
              </w:rPr>
            </w:r>
            <w:r>
              <w:rPr>
                <w:sz w:val="24"/>
                <w:szCs w:val="24"/>
              </w:rPr>
            </w:r>
          </w:p>
        </w:tc>
      </w:tr>
      <w:tr>
        <w:trPr>
          <w:trHeight w:val="1248"/>
        </w:trPr>
        <w:tc>
          <w:tcPr>
            <w:tcBorders>
              <w:left w:val="single" w:color="000000" w:sz="5" w:space="0"/>
              <w:bottom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Mặt cắt đường/ngõ nhỏ nhất từ đường chính dẫn đến tài sản thẩm định giá:</w:t>
            </w:r>
            <w:r>
              <w:rPr>
                <w:sz w:val="24"/>
                <w:szCs w:val="24"/>
              </w:rPr>
            </w:r>
            <w:r>
              <w:rPr>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12,</w:t>
            </w:r>
            <w:r>
              <w:rPr>
                <w:rFonts w:ascii="Times New Roman" w:hAnsi="Times New Roman" w:eastAsia="Times New Roman" w:cs="Times New Roman"/>
                <w:color w:val="000000"/>
                <w:sz w:val="24"/>
                <w:szCs w:val="24"/>
              </w:rPr>
              <w:t xml:space="preserve">0</w:t>
            </w:r>
            <w:r>
              <w:rPr>
                <w:sz w:val="24"/>
                <w:szCs w:val="24"/>
              </w:rPr>
            </w:r>
            <w:r>
              <w:rPr>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Mặt cắt đường/ngõ trước mặt tài sản thẩm định giá:</w:t>
            </w:r>
            <w:r>
              <w:rPr>
                <w:sz w:val="24"/>
                <w:szCs w:val="24"/>
              </w:rPr>
            </w:r>
            <w:r>
              <w:rPr>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12</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t xml:space="preserve">0</w:t>
            </w:r>
            <w:r>
              <w:rPr>
                <w:sz w:val="24"/>
                <w:szCs w:val="24"/>
              </w:rPr>
            </w:r>
            <w:r>
              <w:rPr>
                <w:sz w:val="24"/>
                <w:szCs w:val="24"/>
              </w:rPr>
            </w:r>
            <w:r>
              <w:rPr>
                <w:sz w:val="24"/>
                <w:szCs w:val="24"/>
              </w:rP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Khoảng cách đến trục đường chính:</w:t>
            </w:r>
            <w:r>
              <w:rPr>
                <w:sz w:val="24"/>
                <w:szCs w:val="24"/>
              </w:rPr>
            </w:r>
            <w:r>
              <w:rPr>
                <w:sz w:val="24"/>
                <w:szCs w:val="24"/>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Tài sản nằm tiếp giáp đường nội xóm, cách đường DT419 khoảng 200m.</w:t>
            </w:r>
            <w:r>
              <w:rPr>
                <w:sz w:val="24"/>
                <w:szCs w:val="24"/>
              </w:rPr>
            </w:r>
            <w:r>
              <w:rPr>
                <w:sz w:val="24"/>
                <w:szCs w:val="24"/>
              </w:rPr>
            </w:r>
          </w:p>
        </w:tc>
      </w:tr>
      <w:tr>
        <w:trPr>
          <w:trHeight w:val="48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Các hướng tiếp giáp:</w:t>
            </w:r>
            <w:r>
              <w:rPr>
                <w:sz w:val="24"/>
                <w:szCs w:val="24"/>
              </w:rPr>
            </w:r>
            <w:r>
              <w:rPr>
                <w:sz w:val="24"/>
                <w:szCs w:val="24"/>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Hướng </w:t>
            </w:r>
            <w:r>
              <w:rPr>
                <w:rFonts w:ascii="Times New Roman" w:hAnsi="Times New Roman" w:eastAsia="Times New Roman" w:cs="Times New Roman"/>
                <w:color w:val="ff0000"/>
                <w:sz w:val="24"/>
                <w:szCs w:val="24"/>
              </w:rPr>
              <w:t xml:space="preserve">Tây </w:t>
            </w:r>
            <w:r>
              <w:rPr>
                <w:rFonts w:ascii="Times New Roman" w:hAnsi="Times New Roman" w:eastAsia="Times New Roman" w:cs="Times New Roman"/>
                <w:color w:val="ff0000"/>
                <w:sz w:val="24"/>
                <w:szCs w:val="24"/>
              </w:rPr>
              <w:t xml:space="preserve">Nam</w:t>
            </w:r>
            <w:r>
              <w:rPr>
                <w:rFonts w:ascii="Times New Roman" w:hAnsi="Times New Roman" w:eastAsia="Times New Roman" w:cs="Times New Roman"/>
                <w:color w:val="000000"/>
                <w:sz w:val="24"/>
                <w:szCs w:val="24"/>
              </w:rPr>
              <w:t xml:space="preserve">: Tiếp giáp đường bê tông rộng khoảng 12m;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 Các hướng khác: Tiếp giáp các thửa đất khác.</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Vị trí trên bản đồ vệ tinh: </w:t>
            </w:r>
            <w:r>
              <w:rPr>
                <w:rFonts w:ascii="Times New Roman" w:hAnsi="Times New Roman" w:eastAsia="Times New Roman" w:cs="Times New Roman"/>
                <w:color w:val="000000"/>
                <w:sz w:val="24"/>
                <w:szCs w:val="24"/>
              </w:rPr>
              <w:t xml:space="preserve">21.01276341314858, 105.618091637074</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r>
            <w:r>
              <w:rPr>
                <w:sz w:val="24"/>
                <w:szCs w:val="24"/>
              </w:rPr>
              <mc:AlternateContent>
                <mc:Choice Requires="wpg">
                  <w:drawing>
                    <wp:inline xmlns:wp="http://schemas.openxmlformats.org/drawingml/2006/wordprocessingDrawing" distT="0" distB="0" distL="0" distR="0">
                      <wp:extent cx="5265908" cy="238761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09708" name=""/>
                              <pic:cNvPicPr>
                                <a:picLocks noChangeAspect="1"/>
                              </pic:cNvPicPr>
                              <pic:nvPr/>
                            </pic:nvPicPr>
                            <pic:blipFill rotWithShape="1">
                              <a:blip r:embed="rId18"/>
                              <a:srcRect l="5123" t="10367" r="1962" b="2531"/>
                              <a:stretch/>
                            </pic:blipFill>
                            <pic:spPr bwMode="auto">
                              <a:xfrm rot="0" flipH="0" flipV="0">
                                <a:off x="0" y="0"/>
                                <a:ext cx="5265907" cy="2387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4.64pt;height:188.00pt;mso-wrap-distance-left:0.00pt;mso-wrap-distance-top:0.00pt;mso-wrap-distance-right:0.00pt;mso-wrap-distance-bottom:0.00pt;rotation:0;z-index:1;" stroked="false">
                      <v:imagedata r:id="rId18" o:title="" croptop="6794f" cropleft="3357f" cropbottom="1659f" cropright="1286f"/>
                      <o:lock v:ext="edit" rotation="t"/>
                    </v:shape>
                  </w:pict>
                </mc:Fallback>
              </mc:AlternateContent>
            </w:r>
            <w:r/>
            <w:r>
              <w:rPr>
                <w:rFonts w:ascii="Times New Roman" w:hAnsi="Times New Roman" w:eastAsia="Times New Roman" w:cs="Times New Roman"/>
                <w:color w:val="000000"/>
                <w:sz w:val="24"/>
                <w:szCs w:val="24"/>
              </w:rPr>
              <w:t xml:space="preserve"> </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2.2.</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Diện tích; Kích thước; Hình dáng</w:t>
            </w:r>
            <w:r>
              <w:rPr>
                <w:sz w:val="24"/>
                <w:szCs w:val="24"/>
              </w:rPr>
            </w:r>
            <w:r>
              <w:rPr>
                <w:sz w:val="24"/>
                <w:szCs w:val="24"/>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Diện tích sử dụng riêng thực tế (m²):</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140,6</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Diện tích sử dụng chung thực tế (m²):</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Mặt tiền (m):</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6,55</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Chiều sâu (m): </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22,53~22,64</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Hình dáng: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Hình chữ nhật</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Hướng: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color w:val="ff0000"/>
                <w:sz w:val="24"/>
                <w:szCs w:val="24"/>
              </w:rPr>
            </w:pPr>
            <w:r>
              <w:rPr>
                <w:rFonts w:ascii="Times New Roman" w:hAnsi="Times New Roman" w:eastAsia="Times New Roman" w:cs="Times New Roman"/>
                <w:color w:val="ff0000"/>
                <w:sz w:val="24"/>
                <w:szCs w:val="24"/>
              </w:rPr>
              <w:t xml:space="preserve">Tây </w:t>
            </w:r>
            <w:r>
              <w:rPr>
                <w:rFonts w:ascii="Times New Roman" w:hAnsi="Times New Roman" w:eastAsia="Times New Roman" w:cs="Times New Roman"/>
                <w:color w:val="ff0000"/>
                <w:sz w:val="24"/>
                <w:szCs w:val="24"/>
              </w:rPr>
              <w:t xml:space="preserve">Nam</w:t>
            </w:r>
            <w:r>
              <w:rPr>
                <w:color w:val="ff0000"/>
                <w:sz w:val="24"/>
                <w:szCs w:val="24"/>
              </w:rPr>
            </w:r>
            <w:r>
              <w:rPr>
                <w:color w:val="ff0000"/>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2.3.</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Điều kiện kinh doanh; Hạ tầng nội bộ; Hạ tầng xung quanh</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Hạ tầng nội bộ:</w:t>
            </w:r>
            <w:r>
              <w:rPr>
                <w:sz w:val="24"/>
                <w:szCs w:val="24"/>
              </w:rPr>
            </w:r>
            <w:r>
              <w:rPr>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Cấp điện, cấp nước sạch, mạng internet,…hoàn thiện</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Hạ tầng xung quanh:</w:t>
            </w:r>
            <w:r>
              <w:rPr>
                <w:sz w:val="24"/>
                <w:szCs w:val="24"/>
              </w:rPr>
            </w:r>
            <w:r>
              <w:rPr>
                <w:sz w:val="24"/>
                <w:szCs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0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Môi trường trong lành, an ninh đảm bảo, dân trí tốt</w:t>
            </w:r>
            <w:r>
              <w:rPr>
                <w:sz w:val="24"/>
                <w:szCs w:val="24"/>
              </w:rPr>
            </w:r>
            <w:r>
              <w:rPr>
                <w:sz w:val="24"/>
                <w:szCs w:val="24"/>
              </w:rPr>
            </w:r>
          </w:p>
        </w:tc>
      </w:tr>
      <w:tr>
        <w:trPr>
          <w:trHeight w:val="386"/>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Mật độ dân cư:</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Đông đúc</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Đời sống dân cư:</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Ổn định</w:t>
            </w:r>
            <w:r>
              <w:rPr>
                <w:sz w:val="24"/>
                <w:szCs w:val="24"/>
              </w:rPr>
            </w:r>
            <w:r>
              <w:rPr>
                <w:sz w:val="24"/>
                <w:szCs w:val="24"/>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Lợi thế kinh doanh:</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1870"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Phù hợp để ở</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color w:val="000000"/>
                <w:sz w:val="24"/>
                <w:szCs w:val="24"/>
              </w:rPr>
              <w:t xml:space="preserve">Khả năng chuyển nhượng:</w:t>
            </w:r>
            <w:r>
              <w:rPr>
                <w:sz w:val="24"/>
                <w:szCs w:val="24"/>
              </w:rPr>
            </w:r>
            <w:r>
              <w:rPr>
                <w:sz w:val="24"/>
                <w:szCs w:val="24"/>
              </w:rPr>
            </w:r>
          </w:p>
        </w:tc>
        <w:tc>
          <w:tcPr>
            <w:tcBorders>
              <w:bottom w:val="single" w:color="000000" w:sz="5" w:space="0"/>
              <w:right w:val="single" w:color="000000" w:sz="5" w:space="0"/>
            </w:tcBorders>
            <w:tcMar>
              <w:left w:w="0" w:type="dxa"/>
              <w:top w:w="0" w:type="dxa"/>
              <w:right w:w="0" w:type="dxa"/>
              <w:bottom w:w="0" w:type="dxa"/>
            </w:tcMar>
            <w:tcW w:w="2808" w:type="dxa"/>
            <w:vAlign w:val="center"/>
            <w:textDirection w:val="lrTb"/>
            <w:noWrap w:val="false"/>
          </w:tcPr>
          <w:p>
            <w:pPr>
              <w:pBdr/>
              <w:spacing w:after="0" w:before="0" w:line="240" w:lineRule="auto"/>
              <w:ind w:right="143" w:firstLine="0" w:left="142"/>
              <w:jc w:val="center"/>
              <w:rPr>
                <w:sz w:val="24"/>
                <w:szCs w:val="24"/>
              </w:rPr>
            </w:pPr>
            <w:r>
              <w:rPr>
                <w:rFonts w:ascii="Times New Roman" w:hAnsi="Times New Roman" w:eastAsia="Times New Roman" w:cs="Times New Roman"/>
                <w:color w:val="000000"/>
                <w:sz w:val="24"/>
                <w:szCs w:val="24"/>
              </w:rPr>
              <w:t xml:space="preserve">Tốt </w:t>
            </w:r>
            <w:r>
              <w:rPr>
                <w:sz w:val="24"/>
                <w:szCs w:val="24"/>
              </w:rPr>
            </w:r>
            <w:r>
              <w:rPr>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3.</w:t>
            </w:r>
            <w:r>
              <w:rPr>
                <w:sz w:val="24"/>
                <w:szCs w:val="24"/>
              </w:rPr>
            </w:r>
            <w:r>
              <w:rPr>
                <w:sz w:val="24"/>
                <w:szCs w:val="24"/>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143" w:firstLine="0" w:left="142"/>
              <w:rPr>
                <w:sz w:val="24"/>
                <w:szCs w:val="24"/>
              </w:rPr>
            </w:pPr>
            <w:r>
              <w:rPr>
                <w:rFonts w:ascii="Times New Roman" w:hAnsi="Times New Roman" w:eastAsia="Times New Roman" w:cs="Times New Roman"/>
                <w:b/>
                <w:color w:val="000000"/>
                <w:sz w:val="24"/>
                <w:szCs w:val="24"/>
              </w:rPr>
              <w:t xml:space="preserve">Tài sản gắn liền với đất</w:t>
            </w:r>
            <w:r>
              <w:rPr>
                <w:sz w:val="24"/>
                <w:szCs w:val="24"/>
              </w:rPr>
            </w:r>
            <w:r>
              <w:rPr>
                <w:sz w:val="24"/>
                <w:szCs w:val="24"/>
              </w:rPr>
            </w:r>
          </w:p>
        </w:tc>
      </w:tr>
      <w:tr>
        <w:trPr>
          <w:trHeight w:val="850"/>
        </w:trPr>
        <w:tc>
          <w:tcPr>
            <w:tcBorders>
              <w:left w:val="single" w:color="000000" w:sz="5" w:space="0"/>
              <w:bottom w:val="single" w:color="000000" w:sz="5" w:space="0"/>
              <w:right w:val="single" w:color="000000" w:sz="5"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788" w:type="dxa"/>
            <w:vAlign w:val="top"/>
            <w:textDirection w:val="lrTb"/>
            <w:noWrap w:val="false"/>
          </w:tcPr>
          <w:p>
            <w:pPr>
              <w:pBdr/>
              <w:spacing w:after="0" w:before="0" w:line="240" w:lineRule="auto"/>
              <w:ind w:right="143" w:firstLine="0" w:left="142"/>
              <w:jc w:val="both"/>
              <w:rPr>
                <w:sz w:val="24"/>
                <w:szCs w:val="24"/>
              </w:rPr>
            </w:pPr>
            <w:r>
              <w:rPr>
                <w:rFonts w:ascii="Times New Roman" w:hAnsi="Times New Roman" w:eastAsia="Times New Roman" w:cs="Times New Roman"/>
                <w:color w:val="000000"/>
                <w:sz w:val="24"/>
                <w:szCs w:val="24"/>
              </w:rPr>
              <w:t xml:space="preserve">Tại thời điểm khảo sát dưới sự hướng dẫn của khách hàng, CTXD gắn liền với đất là 01 Nhà xưởng khung sắt lợp tôn, xấy hết đất, xây dựng năm 2023. Hiện công trình chưa được chứng nhận trên GCN.                              </w:t>
            </w:r>
            <w:r>
              <w:rPr>
                <w:sz w:val="24"/>
                <w:szCs w:val="24"/>
              </w:rPr>
            </w:r>
            <w:r>
              <w:rPr>
                <w:sz w:val="24"/>
                <w:szCs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không được Khách hàng cung cấp các thông tin quy hoạch liên quan đến thửa đất, dựa trên định vị của tài sản sau khi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Tại thời điểm khảo sát, Tổ thẩm định xác nhận trên đất có CTXD là </w:t>
      </w:r>
      <w:r>
        <w:rPr>
          <w:rFonts w:ascii="Times New Roman" w:hAnsi="Times New Roman" w:eastAsia="Times New Roman" w:cs="Times New Roman"/>
          <w:color w:val="000000"/>
          <w:sz w:val="24"/>
        </w:rPr>
        <w:t xml:space="preserve"> 01 Nhà xưởng khung sắt lợp tôn, xấy hết đất, xây dựng năm 2023</w:t>
      </w:r>
      <w:r>
        <w:rPr>
          <w:rFonts w:ascii="Times New Roman" w:hAnsi="Times New Roman" w:eastAsia="Times New Roman" w:cs="Times New Roman"/>
          <w:color w:val="000000"/>
          <w:sz w:val="24"/>
        </w:rPr>
        <w:t xml:space="preserve">.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w:t>
      </w: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6"/>
        <w:gridCol w:w="1658"/>
        <w:gridCol w:w="1843"/>
        <w:gridCol w:w="1843"/>
        <w:gridCol w:w="1843"/>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9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658" w:type="dxa"/>
            <w:vAlign w:val="top"/>
            <w:textDirection w:val="lrTb"/>
            <w:noWrap w:val="false"/>
          </w:tcPr>
          <w:p>
            <w:pPr>
              <w:pBdr/>
              <w:spacing w:after="0" w:before="0" w:line="240" w:lineRule="auto"/>
              <w:ind w:right="0" w:firstLine="0" w:left="142"/>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top"/>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591"/>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Tây Phương, Thành phố Hà Nội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Tây Phương, Thành phố Hà Nội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Tây Phương, Thành phố Hà Nội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Tây Phương, Thành phố Hà Nội </w:t>
            </w:r>
            <w:r>
              <w:rPr>
                <w:rFonts w:ascii="Times New Roman" w:hAnsi="Times New Roman" w:cs="Times New Roman"/>
                <w:sz w:val="22"/>
                <w:szCs w:val="22"/>
              </w:rPr>
            </w:r>
            <w:r>
              <w:rPr>
                <w:rFonts w:ascii="Times New Roman" w:hAnsi="Times New Roman" w:cs="Times New Roman"/>
                <w:sz w:val="22"/>
                <w:szCs w:val="22"/>
              </w:rPr>
            </w:r>
          </w:p>
        </w:tc>
      </w:tr>
      <w:tr>
        <w:trPr>
          <w:trHeight w:val="151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https://batdongsan.com.vn/ban-dat-duong-bac-nam-thi-tran-quoc-oai-1/ban-lo-goc-10m2-hai-mat-tien-sieu-vip-lan-2-42m-khu-dau-gia-dg02-oai-pr44562129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r>
      <w:tr>
        <w:trPr>
          <w:trHeight w:val="709"/>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0917.983237 </w:t>
              <w:br/>
              <w:t xml:space="preserve">(</w:t>
            </w:r>
            <w:r>
              <w:rPr>
                <w:rFonts w:ascii="Times New Roman" w:hAnsi="Times New Roman" w:eastAsia="Times New Roman" w:cs="Times New Roman"/>
                <w:color w:val="000000"/>
                <w:sz w:val="22"/>
                <w:szCs w:val="22"/>
              </w:rPr>
              <w:t xml:space="preserve">A.</w:t>
            </w:r>
            <w:r>
              <w:rPr>
                <w:rFonts w:ascii="Times New Roman" w:hAnsi="Times New Roman" w:eastAsia="Times New Roman" w:cs="Times New Roman"/>
                <w:color w:val="000000"/>
                <w:sz w:val="22"/>
                <w:szCs w:val="22"/>
              </w:rPr>
              <w:t xml:space="preserve">Quang)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0915.068766</w:t>
              <w:br/>
              <w:t xml:space="preserve">(</w:t>
            </w:r>
            <w:r>
              <w:rPr>
                <w:rFonts w:ascii="Times New Roman" w:hAnsi="Times New Roman" w:eastAsia="Times New Roman" w:cs="Times New Roman"/>
                <w:color w:val="000000"/>
                <w:sz w:val="22"/>
                <w:szCs w:val="22"/>
              </w:rPr>
              <w:t xml:space="preserve">C</w:t>
            </w:r>
            <w:r>
              <w:rPr>
                <w:rFonts w:ascii="Times New Roman" w:hAnsi="Times New Roman" w:eastAsia="Times New Roman" w:cs="Times New Roman"/>
                <w:color w:val="000000"/>
                <w:sz w:val="22"/>
                <w:szCs w:val="22"/>
              </w:rPr>
              <w:t xml:space="preserve">hị Nguyên)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0988.990596</w:t>
              <w:br/>
              <w:t xml:space="preserve">(</w:t>
            </w:r>
            <w:r>
              <w:rPr>
                <w:rFonts w:ascii="Times New Roman" w:hAnsi="Times New Roman" w:eastAsia="Times New Roman" w:cs="Times New Roman"/>
                <w:color w:val="000000"/>
                <w:sz w:val="22"/>
                <w:szCs w:val="22"/>
              </w:rPr>
              <w:t xml:space="preserve">A</w:t>
            </w:r>
            <w:r>
              <w:rPr>
                <w:rFonts w:ascii="Times New Roman" w:hAnsi="Times New Roman" w:eastAsia="Times New Roman" w:cs="Times New Roman"/>
                <w:color w:val="000000"/>
                <w:sz w:val="22"/>
                <w:szCs w:val="22"/>
              </w:rPr>
              <w:t xml:space="preserve">nh Hùng)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Đang giao dịch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 Tháng </w:t>
            </w:r>
            <w:r>
              <w:rPr>
                <w:rFonts w:ascii="Times New Roman" w:hAnsi="Times New Roman" w:eastAsia="Times New Roman" w:cs="Times New Roman"/>
                <w:color w:val="ff0000"/>
                <w:sz w:val="22"/>
                <w:szCs w:val="22"/>
              </w:rPr>
              <w:t xml:space="preserve">6</w:t>
            </w:r>
            <w:r>
              <w:rPr>
                <w:rFonts w:ascii="Times New Roman" w:hAnsi="Times New Roman" w:eastAsia="Times New Roman" w:cs="Times New Roman"/>
                <w:color w:val="ff0000"/>
                <w:sz w:val="22"/>
                <w:szCs w:val="22"/>
              </w:rPr>
              <w:t xml:space="preserve">/2026 </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 Tháng </w:t>
            </w:r>
            <w:r>
              <w:rPr>
                <w:rFonts w:ascii="Times New Roman" w:hAnsi="Times New Roman" w:eastAsia="Times New Roman" w:cs="Times New Roman"/>
                <w:color w:val="ff0000"/>
                <w:sz w:val="22"/>
                <w:szCs w:val="22"/>
              </w:rPr>
              <w:t xml:space="preserve">6</w:t>
            </w:r>
            <w:r>
              <w:rPr>
                <w:rFonts w:ascii="Times New Roman" w:hAnsi="Times New Roman" w:eastAsia="Times New Roman" w:cs="Times New Roman"/>
                <w:color w:val="ff0000"/>
                <w:sz w:val="22"/>
                <w:szCs w:val="22"/>
              </w:rPr>
              <w:t xml:space="preserve">/2026 </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 Tháng </w:t>
            </w:r>
            <w:r>
              <w:rPr>
                <w:rFonts w:ascii="Times New Roman" w:hAnsi="Times New Roman" w:eastAsia="Times New Roman" w:cs="Times New Roman"/>
                <w:color w:val="ff0000"/>
                <w:sz w:val="22"/>
                <w:szCs w:val="22"/>
              </w:rPr>
              <w:t xml:space="preserve">6</w:t>
            </w:r>
            <w:r>
              <w:rPr>
                <w:rFonts w:ascii="Times New Roman" w:hAnsi="Times New Roman" w:eastAsia="Times New Roman" w:cs="Times New Roman"/>
                <w:color w:val="ff0000"/>
                <w:sz w:val="22"/>
                <w:szCs w:val="22"/>
              </w:rPr>
              <w:t xml:space="preserve">/2026 </w:t>
            </w:r>
            <w:r>
              <w:rPr>
                <w:rFonts w:ascii="Times New Roman" w:hAnsi="Times New Roman" w:cs="Times New Roman"/>
                <w:color w:val="ff0000"/>
                <w:sz w:val="22"/>
                <w:szCs w:val="22"/>
              </w:rPr>
            </w:r>
            <w:r>
              <w:rPr>
                <w:rFonts w:ascii="Times New Roman" w:hAnsi="Times New Roman" w:cs="Times New Roman"/>
                <w:color w:val="ff0000"/>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r>
      <w:tr>
        <w:trPr>
          <w:trHeight w:val="64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nông thôn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1927"/>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Tây Phương, Thành phố Hà Nội. Tài sản nằm tiếp giáp đường nội khu, cách đường DT419 khoảng 200m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Tây Phương, Thành phố Hà Nội. Tài sản nằm tiếp giáp đường nội khu,cách đường Bắc Nam khoảng 50m </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Tây Phương, Thành phố Hà Nội. Tài sản nằm tiếp giáp đường nội khu,cách đường DT419 khoảng 700m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tại: xã Tây Phương, Thành phố Hà Nội. Tài sản nằm tiếp giáp đường nội khu,cách đường DT419 khoảng 1km</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nhựa có vỉa hè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Độ rộng đường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140,6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108,</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168,6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121</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6,55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8,96</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2 mặt tiền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Tiếp giáp 1 mặt tiền </w:t>
            </w:r>
            <w:r>
              <w:rPr>
                <w:rFonts w:ascii="Times New Roman" w:hAnsi="Times New Roman" w:cs="Times New Roman"/>
                <w:sz w:val="22"/>
                <w:szCs w:val="22"/>
              </w:rPr>
            </w:r>
            <w:r>
              <w:rPr>
                <w:rFonts w:ascii="Times New Roman" w:hAnsi="Times New Roman" w:cs="Times New Roman"/>
                <w:sz w:val="22"/>
                <w:szCs w:val="22"/>
              </w:rPr>
            </w:r>
          </w:p>
        </w:tc>
      </w:tr>
      <w:tr>
        <w:trPr>
          <w:trHeight w:val="460"/>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Khá</w:t>
            </w:r>
            <w:r>
              <w:rPr>
                <w:rFonts w:ascii="Times New Roman" w:hAnsi="Times New Roman" w:cs="Times New Roman"/>
                <w:sz w:val="22"/>
                <w:szCs w:val="22"/>
              </w:rPr>
            </w:r>
            <w:r>
              <w:rPr>
                <w:rFonts w:ascii="Times New Roman" w:hAnsi="Times New Roman" w:cs="Times New Roman"/>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môi trường an ninh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xưởng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lợp tôn 1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29"/>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themeColor="text1"/>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themeColor="text1"/>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w:t>
            </w: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48"/>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17.280.000.000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18.546.000.000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11.495.000.000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16.416.000.000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16.876.860.000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10.920.250.000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i/>
                <w:sz w:val="22"/>
                <w:szCs w:val="22"/>
              </w:rPr>
            </w:pPr>
            <w:r>
              <w:rPr>
                <w:rFonts w:ascii="Times New Roman" w:hAnsi="Times New Roman" w:eastAsia="Times New Roman" w:cs="Times New Roman"/>
                <w:b/>
                <w:bCs/>
                <w:i/>
                <w:iCs/>
                <w:color w:val="000000"/>
                <w:sz w:val="22"/>
                <w:szCs w:val="22"/>
              </w:rPr>
              <w:t xml:space="preserve">503.723.097</w:t>
            </w:r>
            <w:r>
              <w:rPr>
                <w:rFonts w:ascii="Times New Roman" w:hAnsi="Times New Roman" w:cs="Times New Roman"/>
                <w:b/>
                <w:bCs/>
                <w:i/>
                <w:sz w:val="22"/>
                <w:szCs w:val="22"/>
              </w:rPr>
            </w:r>
            <w:r>
              <w:rPr>
                <w:rFonts w:ascii="Times New Roman" w:hAnsi="Times New Roman" w:cs="Times New Roman"/>
                <w:b/>
                <w:bCs/>
                <w:i/>
                <w:sz w:val="22"/>
                <w:szCs w:val="22"/>
              </w:rPr>
            </w:r>
          </w:p>
        </w:tc>
      </w:tr>
      <w:tr>
        <w:trPr>
          <w:trHeight w:val="1224"/>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Đơn giá xây dựng theo Quyết định số 425/QĐ-BXD ngày 30/3/2026 của Bộ Xây Dựng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5.947.144</w:t>
            </w:r>
            <w:r>
              <w:rPr>
                <w:rFonts w:ascii="Times New Roman" w:hAnsi="Times New Roman" w:cs="Times New Roman"/>
                <w:sz w:val="22"/>
                <w:szCs w:val="22"/>
              </w:rPr>
            </w:r>
            <w:r>
              <w:rPr>
                <w:rFonts w:ascii="Times New Roman" w:hAnsi="Times New Roman" w:cs="Times New Roman"/>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Tỷ lệ % CLCL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70%</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16.416.000.000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16.876.860.000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10.416.526.903</w:t>
            </w:r>
            <w:r>
              <w:rPr>
                <w:rFonts w:ascii="Times New Roman" w:hAnsi="Times New Roman" w:cs="Times New Roman"/>
                <w:b/>
                <w:bCs/>
                <w:sz w:val="22"/>
                <w:szCs w:val="22"/>
              </w:rPr>
            </w:r>
            <w:r>
              <w:rPr>
                <w:rFonts w:ascii="Times New Roman" w:hAnsi="Times New Roman" w:cs="Times New Roman"/>
                <w:b/>
                <w:bCs/>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152.000.000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100.100.000</w:t>
            </w:r>
            <w:r>
              <w:rPr>
                <w:rFonts w:ascii="Times New Roman" w:hAnsi="Times New Roman" w:cs="Times New Roman"/>
                <w:b/>
                <w:bCs/>
                <w:sz w:val="22"/>
                <w:szCs w:val="22"/>
              </w:rPr>
            </w:r>
            <w:r>
              <w:rPr>
                <w:rFonts w:ascii="Times New Roman" w:hAnsi="Times New Roman" w:cs="Times New Roman"/>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b/>
                <w:bCs/>
                <w:sz w:val="22"/>
                <w:szCs w:val="22"/>
              </w:rPr>
            </w:pPr>
            <w:r>
              <w:rPr>
                <w:rFonts w:ascii="Times New Roman" w:hAnsi="Times New Roman" w:eastAsia="Times New Roman" w:cs="Times New Roman"/>
                <w:b/>
                <w:bCs/>
                <w:color w:val="000000"/>
                <w:sz w:val="22"/>
                <w:szCs w:val="22"/>
              </w:rPr>
              <w:t xml:space="preserve">86.086.999</w:t>
            </w:r>
            <w:r>
              <w:rPr>
                <w:rFonts w:ascii="Times New Roman" w:hAnsi="Times New Roman" w:cs="Times New Roman"/>
                <w:b/>
                <w:bCs/>
                <w:sz w:val="22"/>
                <w:szCs w:val="22"/>
              </w:rPr>
            </w:r>
            <w:r>
              <w:rPr>
                <w:rFonts w:ascii="Times New Roman" w:hAnsi="Times New Roman" w:cs="Times New Roman"/>
                <w:b/>
                <w:bCs/>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Độ rộng đường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Tương đồng</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Lợi thế hơn</w:t>
            </w:r>
            <w:r>
              <w:rPr>
                <w:rFonts w:ascii="Times New Roman" w:hAnsi="Times New Roman" w:cs="Times New Roman"/>
                <w:color w:val="ff0000"/>
                <w:sz w:val="22"/>
                <w:szCs w:val="22"/>
              </w:rPr>
            </w:r>
            <w:r>
              <w:rPr>
                <w:rFonts w:ascii="Times New Roman" w:hAnsi="Times New Roman" w:cs="Times New Roman"/>
                <w:color w:val="ff0000"/>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ff0000"/>
                <w:sz w:val="22"/>
                <w:szCs w:val="22"/>
              </w:rPr>
            </w:pPr>
            <w:r>
              <w:rPr>
                <w:rFonts w:ascii="Times New Roman" w:hAnsi="Times New Roman" w:eastAsia="Times New Roman" w:cs="Times New Roman"/>
                <w:color w:val="ff0000"/>
                <w:sz w:val="22"/>
                <w:szCs w:val="22"/>
              </w:rPr>
              <w:t xml:space="preserve">Tương đồng</w:t>
            </w:r>
            <w:r>
              <w:rPr>
                <w:rFonts w:ascii="Times New Roman" w:hAnsi="Times New Roman" w:cs="Times New Roman"/>
                <w:color w:val="ff0000"/>
                <w:sz w:val="22"/>
                <w:szCs w:val="22"/>
              </w:rPr>
            </w:r>
            <w:r>
              <w:rPr>
                <w:rFonts w:ascii="Times New Roman" w:hAnsi="Times New Roman" w:cs="Times New Roman"/>
                <w:color w:val="ff0000"/>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496"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658" w:type="dxa"/>
            <w:vAlign w:val="center"/>
            <w:textDirection w:val="lrTb"/>
            <w:noWrap w:val="false"/>
          </w:tcPr>
          <w:p>
            <w:pPr>
              <w:pBdr/>
              <w:spacing w:after="0" w:before="0" w:line="240" w:lineRule="auto"/>
              <w:ind w:right="0" w:firstLine="0" w:left="142"/>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701"/>
        <w:gridCol w:w="979"/>
        <w:gridCol w:w="1586"/>
        <w:gridCol w:w="1559"/>
        <w:gridCol w:w="1559"/>
        <w:gridCol w:w="153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STT</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Yếu tố so sánh</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Đơn vị tính</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color w:val="000000" w:themeColor="text1"/>
                <w:sz w:val="22"/>
                <w:szCs w:val="22"/>
              </w:rPr>
            </w:r>
            <w:r>
              <w:rPr>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color w:val="000000" w:themeColor="text1"/>
                <w:sz w:val="22"/>
                <w:szCs w:val="22"/>
              </w:rPr>
            </w:r>
            <w:r>
              <w:rPr>
                <w:color w:val="000000" w:themeColor="text1"/>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A</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Giá trị QSDĐ thị trường (Ước tính sau thương lượng)</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Đồng</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16.416.000.000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16.876.860.000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10.416.526.903</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B</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Đơn giá đất ước tính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152.000.000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100.100.000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86.086.999</w:t>
            </w:r>
            <w:r>
              <w:rPr>
                <w:color w:val="000000" w:themeColor="text1"/>
                <w:sz w:val="22"/>
                <w:szCs w:val="22"/>
              </w:rPr>
            </w:r>
            <w:r>
              <w:rPr>
                <w:color w:val="000000" w:themeColor="text1"/>
                <w:sz w:val="22"/>
                <w:szCs w:val="22"/>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C</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Điều chỉnh các yếu tố so sánh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152.000.000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100.100.000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86.086.999 </w:t>
            </w:r>
            <w:r>
              <w:rPr>
                <w:color w:val="000000" w:themeColor="text1"/>
                <w:sz w:val="22"/>
                <w:szCs w:val="22"/>
              </w:rPr>
            </w:r>
            <w:r>
              <w:rPr>
                <w:color w:val="000000" w:themeColor="text1"/>
                <w:sz w:val="22"/>
                <w:szCs w:val="22"/>
              </w:rPr>
            </w:r>
          </w:p>
        </w:tc>
      </w:tr>
      <w:tr>
        <w:trPr>
          <w:trHeight w:val="238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Tài sản tại: xã Tây Phương, Thành phố Hà Nội. Tài sản nằm tiếp giáp đường nội khu, cách đường DT419 khoảng 200m</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Tài sản tại: xã Tây Phương, Thành phố Hà Nội. Tài sản nằm tiếp giáp đường nội khu,cách đường Bắc Nam khoảng 50m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Tài sản tại: xã Tây Phương, Thành phố Hà Nội. Tài sản nằm tiếp giáp đường nội khu,cách đường DT419 khoảng 700m</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Tài sản tại: xã Tây Phương, Thành phố Hà Nội. Tài sản nằm tiếp giáp đường nội khu,cách đường DT419 khoảng 1km</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12,00%</w:t>
            </w:r>
            <w:r>
              <w:rPr>
                <w:color w:val="000000" w:themeColor="text1"/>
                <w:sz w:val="22"/>
                <w:szCs w:val="22"/>
              </w:rPr>
            </w:r>
            <w:r>
              <w:rPr>
                <w:color w:val="000000" w:themeColor="text1"/>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10.010.000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10.330.440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152.000.000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110.110.000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96.417.439 </w:t>
            </w:r>
            <w:r>
              <w:rPr>
                <w:color w:val="000000" w:themeColor="text1"/>
                <w:sz w:val="22"/>
                <w:szCs w:val="22"/>
              </w:rPr>
            </w:r>
            <w:r>
              <w:rPr>
                <w:color w:val="000000" w:themeColor="text1"/>
                <w:sz w:val="22"/>
                <w:szCs w:val="22"/>
              </w:rPr>
            </w:r>
          </w:p>
        </w:tc>
      </w:tr>
      <w:tr>
        <w:trPr>
          <w:trHeight w:val="76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Đường bê tông</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Đường nhựa có vỉa hè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Đường bê tông</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-5,00%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-7.600.000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144.400.000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110.110.000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96.417.439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Độ rộng đường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r>
            <w:r>
              <w:rPr>
                <w:rFonts w:ascii="Times New Roman" w:hAnsi="Times New Roman" w:eastAsia="Times New Roman" w:cs="Times New Roman"/>
                <w:b/>
                <w:color w:val="000000" w:themeColor="text1"/>
                <w:sz w:val="22"/>
                <w:szCs w:val="22"/>
              </w:rPr>
              <w:t xml:space="preserve">(m)</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12,</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16</w:t>
            </w:r>
            <w:r>
              <w:rPr>
                <w:rFonts w:ascii="Times New Roman" w:hAnsi="Times New Roman" w:eastAsia="Times New Roman" w:cs="Times New Roman"/>
                <w:b/>
                <w:color w:val="000000" w:themeColor="text1"/>
                <w:sz w:val="22"/>
                <w:szCs w:val="22"/>
              </w:rPr>
              <w:t xml:space="preserve">,</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10,</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6,</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-5,00%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20,00%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-7.600.000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3.003.000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17.217.400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136.800.000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113.113.000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113.634.839 </w:t>
            </w:r>
            <w:r>
              <w:rPr>
                <w:color w:val="000000" w:themeColor="text1"/>
                <w:sz w:val="22"/>
                <w:szCs w:val="22"/>
              </w:rPr>
            </w:r>
            <w:r>
              <w:rPr>
                <w:color w:val="000000" w:themeColor="text1"/>
                <w:sz w:val="22"/>
                <w:szCs w:val="22"/>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Diện tích đất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r>
            <w:r>
              <w:rPr>
                <w:rFonts w:ascii="Times New Roman" w:hAnsi="Times New Roman" w:eastAsia="Times New Roman" w:cs="Times New Roman"/>
                <w:b/>
                <w:color w:val="000000" w:themeColor="text1"/>
                <w:sz w:val="22"/>
                <w:szCs w:val="22"/>
              </w:rPr>
              <w:t xml:space="preserve">(m²)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140,6</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108,</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168,6</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121,</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-5,00%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8,00%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-3,00%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-7.600.000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8.008.000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-2.582.610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129.200.000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121.121.000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111.052.229 </w:t>
            </w:r>
            <w:r>
              <w:rPr>
                <w:color w:val="000000" w:themeColor="text1"/>
                <w:sz w:val="22"/>
                <w:szCs w:val="22"/>
              </w:rPr>
            </w:r>
            <w:r>
              <w:rPr>
                <w:color w:val="000000" w:themeColor="text1"/>
                <w:sz w:val="22"/>
                <w:szCs w:val="22"/>
              </w:rPr>
            </w:r>
          </w:p>
        </w:tc>
      </w:tr>
      <w:tr>
        <w:trPr>
          <w:trHeight w:val="25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Mặt tiền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b/>
                <w:color w:val="000000" w:themeColor="text1"/>
                <w:sz w:val="22"/>
                <w:szCs w:val="22"/>
              </w:rPr>
              <w:t xml:space="preserve">(m)</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6,55</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6,</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8,96</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7,</w:t>
            </w:r>
            <w:r>
              <w:rPr>
                <w:rFonts w:ascii="Times New Roman" w:hAnsi="Times New Roman" w:eastAsia="Times New Roman" w:cs="Times New Roman"/>
                <w:b/>
                <w:color w:val="000000" w:themeColor="text1"/>
                <w:sz w:val="22"/>
                <w:szCs w:val="22"/>
              </w:rPr>
              <w:t xml:space="preserve">0</w:t>
            </w:r>
            <w:r>
              <w:rPr>
                <w:color w:val="000000" w:themeColor="text1"/>
                <w:sz w:val="22"/>
                <w:szCs w:val="22"/>
              </w:rPr>
            </w:r>
            <w:r>
              <w:rPr>
                <w:color w:val="000000" w:themeColor="text1"/>
                <w:sz w:val="22"/>
                <w:szCs w:val="22"/>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-2.002.000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129.200.000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119.119.000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111.052.229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Tiếp giáp 2 mặt tiền</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Tiếp giáp 1 mặt tiền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Tiếp giáp 1 mặt tiền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-5,00%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-7.600.000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121.600.000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119.119.000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111.052.229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Hình chữ nhật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Hình chữ nhật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Hình chữ nhật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r>
      <w:tr>
        <w:trPr>
          <w:trHeight w:val="6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121.600.000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119.119.000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111.052.229 </w:t>
            </w:r>
            <w:r>
              <w:rPr>
                <w:color w:val="000000" w:themeColor="text1"/>
                <w:sz w:val="22"/>
                <w:szCs w:val="22"/>
              </w:rPr>
            </w:r>
            <w:r>
              <w:rPr>
                <w:color w:val="000000" w:themeColor="text1"/>
                <w:sz w:val="22"/>
                <w:szCs w:val="22"/>
              </w:rPr>
            </w:r>
          </w:p>
        </w:tc>
      </w:tr>
      <w:tr>
        <w:trPr>
          <w:trHeight w:val="50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Tốt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Tốt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Tốt</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Khá</w:t>
            </w:r>
            <w:r>
              <w:rPr>
                <w:color w:val="000000" w:themeColor="text1"/>
                <w:sz w:val="22"/>
                <w:szCs w:val="22"/>
              </w:rPr>
            </w:r>
            <w:r>
              <w:rPr>
                <w:color w:val="000000" w:themeColor="text1"/>
                <w:sz w:val="22"/>
                <w:szCs w:val="22"/>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0,00%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10,00%</w:t>
            </w:r>
            <w:r>
              <w:rPr>
                <w:color w:val="000000" w:themeColor="text1"/>
                <w:sz w:val="22"/>
                <w:szCs w:val="22"/>
              </w:rPr>
            </w:r>
            <w:r>
              <w:rPr>
                <w:color w:val="000000" w:themeColor="text1"/>
                <w:sz w:val="22"/>
                <w:szCs w:val="22"/>
              </w:rPr>
            </w:r>
          </w:p>
        </w:tc>
      </w:tr>
      <w:tr>
        <w:trPr>
          <w:trHeight w:val="283"/>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8.608.700 </w:t>
            </w:r>
            <w:r>
              <w:rPr>
                <w:color w:val="000000" w:themeColor="text1"/>
                <w:sz w:val="22"/>
                <w:szCs w:val="22"/>
              </w:rPr>
            </w:r>
            <w:r>
              <w:rPr>
                <w:color w:val="000000" w:themeColor="text1"/>
                <w:sz w:val="22"/>
                <w:szCs w:val="22"/>
              </w:rPr>
            </w:r>
          </w:p>
        </w:tc>
      </w:tr>
      <w:tr>
        <w:trPr>
          <w:trHeight w:val="55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121.600.000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119.119.000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119.660.929 </w:t>
            </w:r>
            <w:r>
              <w:rPr>
                <w:color w:val="000000" w:themeColor="text1"/>
                <w:sz w:val="22"/>
                <w:szCs w:val="22"/>
              </w:rPr>
            </w:r>
            <w:r>
              <w:rPr>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D</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Mức giá chỉ dẫn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121.600.000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119.119.000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119.660.929 </w:t>
            </w:r>
            <w:r>
              <w:rPr>
                <w:color w:val="000000" w:themeColor="text1"/>
                <w:sz w:val="22"/>
                <w:szCs w:val="22"/>
              </w:rPr>
            </w:r>
            <w:r>
              <w:rPr>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4650"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120.126.643 </w:t>
            </w:r>
            <w:r>
              <w:rPr>
                <w:color w:val="000000" w:themeColor="text1"/>
                <w:sz w:val="22"/>
                <w:szCs w:val="22"/>
              </w:rPr>
            </w:r>
            <w:r>
              <w:rPr>
                <w:color w:val="000000" w:themeColor="text1"/>
                <w:sz w:val="22"/>
                <w:szCs w:val="22"/>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-0,8%</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-0,4%</w:t>
            </w:r>
            <w:r>
              <w:rPr>
                <w:color w:val="000000" w:themeColor="text1"/>
                <w:sz w:val="22"/>
                <w:szCs w:val="22"/>
              </w:rPr>
            </w:r>
            <w:r>
              <w:rPr>
                <w:color w:val="000000" w:themeColor="text1"/>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b/>
                <w:color w:val="000000" w:themeColor="text1"/>
                <w:sz w:val="22"/>
                <w:szCs w:val="22"/>
              </w:rPr>
              <w:t xml:space="preserve">Tổng hợp các số liệu điều chỉnh tại mục C</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30.400.000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23.023.000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38.739.150 </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4</w:t>
            </w:r>
            <w:r>
              <w:rPr>
                <w:color w:val="000000" w:themeColor="text1"/>
                <w:sz w:val="22"/>
                <w:szCs w:val="22"/>
              </w:rPr>
            </w:r>
            <w:r>
              <w:rPr>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0% - 5%</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2% - 10%</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 - 20%</w:t>
            </w:r>
            <w:r>
              <w:rPr>
                <w:color w:val="000000" w:themeColor="text1"/>
                <w:sz w:val="22"/>
                <w:szCs w:val="22"/>
              </w:rPr>
            </w:r>
            <w:r>
              <w:rPr>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97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86"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30.400.000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19.019.000 </w:t>
            </w:r>
            <w:r>
              <w:rPr>
                <w:color w:val="000000" w:themeColor="text1"/>
                <w:sz w:val="22"/>
                <w:szCs w:val="22"/>
              </w:rPr>
            </w:r>
            <w:r>
              <w:rPr>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32" w:type="dxa"/>
            <w:vAlign w:val="center"/>
            <w:textDirection w:val="lrTb"/>
            <w:noWrap/>
          </w:tcPr>
          <w:p>
            <w:pPr>
              <w:pBdr/>
              <w:spacing w:after="0" w:before="0" w:line="240" w:lineRule="auto"/>
              <w:ind/>
              <w:jc w:val="center"/>
              <w:rPr>
                <w:color w:val="000000" w:themeColor="text1"/>
                <w:sz w:val="22"/>
                <w:szCs w:val="22"/>
              </w:rPr>
            </w:pPr>
            <w:r>
              <w:rPr>
                <w:rFonts w:ascii="Times New Roman" w:hAnsi="Times New Roman" w:eastAsia="Times New Roman" w:cs="Times New Roman"/>
                <w:color w:val="000000" w:themeColor="text1"/>
                <w:sz w:val="22"/>
                <w:szCs w:val="22"/>
              </w:rPr>
              <w:t xml:space="preserve">33.573.930 </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-0,8</w:t>
      </w:r>
      <w:r>
        <w:t xml:space="preserve">% đến</w:t>
      </w:r>
      <w:r>
        <w:t xml:space="preserve"> </w:t>
      </w:r>
      <w:r>
        <w:t xml:space="preserve"> </w:t>
      </w:r>
      <w:r>
        <w:t xml:space="preserve">1,2%,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121.600.000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40.533.333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119.119.000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39.706.333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119.660.929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39.886.976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120.126.643</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120.000.000</w:t>
      </w:r>
      <w:r>
        <w:rPr>
          <w:b/>
          <w:bCs/>
          <w:color w:val="000000" w:themeColor="text1"/>
        </w:rPr>
        <w:t xml:space="preserve"> </w:t>
      </w:r>
      <w:r>
        <w:rPr>
          <w:b/>
          <w:bCs/>
        </w:rPr>
        <w:t xml:space="preserve">đồng/m².</w:t>
      </w:r>
      <w:r>
        <w:rPr>
          <w:b/>
          <w:bCs/>
        </w:rPr>
      </w:r>
      <w:r>
        <w:rPr>
          <w:b/>
          <w:bCs/>
        </w:rPr>
      </w:r>
    </w:p>
    <w:p>
      <w:pPr>
        <w:pStyle w:val="1037"/>
        <w:pBdr/>
        <w:spacing w:after="120" w:before="120" w:line="276" w:lineRule="auto"/>
        <w:ind w:left="0"/>
        <w:jc w:val="both"/>
        <w:rPr>
          <w:b/>
          <w:lang w:val="pt-BR"/>
        </w:rPr>
      </w:pPr>
      <w:r>
        <w:rPr>
          <w:b/>
          <w:lang w:val="pt-BR"/>
        </w:rPr>
      </w:r>
      <w:r>
        <w:rPr>
          <w:b/>
          <w:lang w:val="pt-BR"/>
        </w:rPr>
      </w:r>
      <w:r>
        <w:rPr>
          <w:b/>
          <w:lang w:val="pt-BR"/>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rPr>
          <w:highlight w:val="none"/>
        </w:rPr>
      </w:r>
      <w:r>
        <w:rPr>
          <w:highlight w:val="none"/>
        </w:rPr>
      </w:r>
    </w:p>
    <w:tbl>
      <w:tblPr>
        <w:tblW w:w="492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34"/>
        <w:gridCol w:w="1802"/>
        <w:gridCol w:w="2581"/>
        <w:gridCol w:w="2090"/>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35, tờ bản đồ số 0 có địa chỉ: Khu Gốc Găng, xã Phùng Xá, huyện Thạch Thất, Thành phố Hà Nội (</w:t>
            </w:r>
            <w:r>
              <w:rPr>
                <w:rFonts w:ascii="Times New Roman" w:hAnsi="Times New Roman" w:eastAsia="Times New Roman" w:cs="Times New Roman"/>
                <w:b/>
                <w:bCs/>
                <w:i/>
                <w:iCs/>
                <w:color w:val="000000"/>
                <w:sz w:val="24"/>
              </w:rPr>
              <w:t xml:space="preserve">Nay là xã Tây Phương,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CV 300026, số vào sổ cấp GCN: CS-TTH 18510 do Sở Tài nguyên và Môi trường Thành phố Hà Nội  cấp ngày 21/4/2020; Chủ sử dụng đất là Ông Chu Văn Thạo và Bà Nguyễn Thị Yến. </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ở tại </w:t>
            </w:r>
            <w:r>
              <w:rPr>
                <w:b w:val="0"/>
                <w:bCs w:val="0"/>
                <w:color w:val="ff0000"/>
              </w:rPr>
              <w:t xml:space="preserve">nông </w:t>
            </w:r>
            <w:r>
              <w:rPr>
                <w:b w:val="0"/>
                <w:bCs w:val="0"/>
                <w:color w:val="ff0000"/>
              </w:rPr>
              <w:t xml:space="preserve">t</w:t>
            </w:r>
            <w:r>
              <w:rPr>
                <w:b w:val="0"/>
                <w:bCs w:val="0"/>
                <w:color w:val="ff0000"/>
              </w:rPr>
              <w:t xml:space="preserve">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140,6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120.000.000</w:t>
            </w:r>
            <w:r/>
          </w:p>
        </w:tc>
        <w:tc>
          <w:tcPr>
            <w:shd w:val="clear" w:color="000000" w:fill="ffffff"/>
            <w:tcBorders/>
            <w:tcW w:w="2090" w:type="dxa"/>
            <w:vAlign w:val="center"/>
            <w:textDirection w:val="lrTb"/>
            <w:noWrap w:val="false"/>
          </w:tcPr>
          <w:p>
            <w:pPr>
              <w:pBdr/>
              <w:spacing w:after="40" w:before="40" w:line="288" w:lineRule="auto"/>
              <w:ind/>
              <w:jc w:val="center"/>
              <w:rPr/>
            </w:pPr>
            <w:r>
              <w:rPr>
                <w:color w:val="000000" w:themeColor="text1"/>
              </w:rPr>
              <w:t xml:space="preserve">16.872.000.000</w:t>
            </w: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0" w:type="dxa"/>
            <w:vAlign w:val="center"/>
            <w:textDirection w:val="lrTb"/>
            <w:noWrap/>
          </w:tcPr>
          <w:p>
            <w:pPr>
              <w:pBdr/>
              <w:spacing w:after="40" w:before="40" w:line="288" w:lineRule="auto"/>
              <w:ind/>
              <w:jc w:val="center"/>
              <w:rPr>
                <w:b/>
                <w:bCs/>
                <w:color w:val="000000"/>
              </w:rPr>
            </w:pPr>
            <w:r>
              <w:rPr>
                <w:b/>
                <w:bCs/>
              </w:rPr>
              <w:t xml:space="preserve">16.872.000.000</w:t>
            </w:r>
            <w:r>
              <w:rPr>
                <w:b/>
                <w:bCs/>
                <w:color w:val="000000"/>
              </w:rPr>
            </w:r>
            <w:r>
              <w:rPr>
                <w:b/>
                <w:bCs/>
                <w:color w:val="000000"/>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0" w:type="dxa"/>
            <w:vAlign w:val="center"/>
            <w:textDirection w:val="lrTb"/>
            <w:noWrap/>
          </w:tcPr>
          <w:p>
            <w:pPr>
              <w:pBdr/>
              <w:spacing w:after="40" w:before="40" w:line="288" w:lineRule="auto"/>
              <w:ind/>
              <w:jc w:val="center"/>
              <w:rPr>
                <w:b/>
                <w:bCs/>
                <w:color w:val="000000"/>
              </w:rPr>
            </w:pPr>
            <w:r>
              <w:rPr>
                <w:b/>
                <w:bCs/>
                <w:color w:val="000000"/>
              </w:rPr>
              <w:t xml:space="preserve">16.872.000.000</w:t>
            </w:r>
            <w:r>
              <w:rPr>
                <w:b/>
                <w:bCs/>
                <w:color w:val="000000"/>
              </w:rPr>
            </w:r>
            <w:r>
              <w:rPr>
                <w:b/>
                <w:bCs/>
                <w:color w:val="000000"/>
              </w:rPr>
            </w:r>
          </w:p>
        </w:tc>
      </w:tr>
      <w:tr>
        <w:trPr>
          <w:trHeight w:val="20"/>
        </w:trPr>
        <w:tc>
          <w:tcPr>
            <w:gridSpan w:val="5"/>
            <w:tcBorders/>
            <w:tcW w:w="9382"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tám trăm bảy mươi hai triệu đồng chẵn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5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5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5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5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5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5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5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5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5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5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5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5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5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5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5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5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5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5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5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5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spacing w:after="120" w:before="120" w:line="252" w:lineRule="auto"/>
        <w:ind/>
        <w:jc w:val="both"/>
        <w:rPr>
          <w:lang w:val="vi-VN"/>
        </w:rPr>
      </w:pPr>
      <w:r>
        <w:rPr>
          <w:lang w:val="vi-VN"/>
        </w:rPr>
      </w:r>
      <w:r>
        <w:rPr>
          <w:rFonts w:ascii="Times New Roman" w:hAnsi="Times New Roman" w:eastAsia="Times New Roman" w:cs="Times New Roman"/>
          <w:color w:val="000000"/>
          <w:sz w:val="24"/>
        </w:rPr>
        <w:t xml:space="preserve">Tại thời điểm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không được Khách hàng cung cấp các thông tin quy hoạch liên quan đến thửa đất, dựa trên định vị của tài sản sau khi khảo sát,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52"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Tổ thẩm định xác nhận trên đất có CTXD là </w:t>
      </w:r>
      <w:r>
        <w:rPr>
          <w:rFonts w:ascii="Times New Roman" w:hAnsi="Times New Roman" w:eastAsia="Times New Roman" w:cs="Times New Roman"/>
          <w:color w:val="000000"/>
          <w:sz w:val="24"/>
        </w:rPr>
        <w:t xml:space="preserve"> 01 Nhà xưởng khung sắt lợp tôn, xấy hết đất, xây dựng năm 2023</w:t>
      </w:r>
      <w:r>
        <w:rPr>
          <w:rFonts w:ascii="Times New Roman" w:hAnsi="Times New Roman" w:eastAsia="Times New Roman" w:cs="Times New Roman"/>
          <w:color w:val="000000"/>
          <w:sz w:val="24"/>
        </w:rPr>
        <w:t xml:space="preserve">.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w:t>
      </w: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7"/>
        <w:numPr>
          <w:ilvl w:val="0"/>
          <w:numId w:val="3"/>
        </w:numPr>
        <w:pBdr/>
        <w:tabs>
          <w:tab w:val="left" w:leader="none" w:pos="993"/>
        </w:tabs>
        <w:spacing w:after="120" w:before="120" w:line="25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5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5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5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5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52"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7"/>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275/2026/0862/VFI-CT.53.A</w:t>
      </w:r>
      <w:r>
        <w:rPr>
          <w:color w:val="ff0000"/>
          <w:lang w:val="vi-VN"/>
        </w:rPr>
        <w:t xml:space="preserve"> </w:t>
      </w:r>
      <w:r>
        <w:rPr>
          <w:color w:val="000000" w:themeColor="text1"/>
        </w:rPr>
        <w:t xml:space="preserve">ngày </w:t>
      </w:r>
      <w:r>
        <w:rPr>
          <w:color w:val="000000" w:themeColor="text1"/>
        </w:rPr>
        <w:t xml:space="preserve">0</w:t>
      </w:r>
      <w:r>
        <w:rPr>
          <w:color w:val="000000" w:themeColor="text1"/>
        </w:rPr>
        <w:t xml:space="preserve">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275/2026/0862/VFI-BC.53.A</w:t>
      </w:r>
      <w:r>
        <w:rPr>
          <w:i/>
          <w:lang w:val="pt-BR"/>
        </w:rPr>
        <w:t xml:space="preserve"> ngày </w:t>
      </w:r>
      <w:r>
        <w:rPr>
          <w:i/>
          <w:lang w:val="pt-BR"/>
        </w:rPr>
        <w:t xml:space="preserve">0</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92766" cy="22983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64073" name=""/>
                              <pic:cNvPicPr>
                                <a:picLocks noChangeAspect="1"/>
                              </pic:cNvPicPr>
                              <pic:nvPr/>
                            </pic:nvPicPr>
                            <pic:blipFill rotWithShape="1">
                              <a:blip r:embed="rId19"/>
                              <a:stretch/>
                            </pic:blipFill>
                            <pic:spPr bwMode="auto">
                              <a:xfrm flipH="0" flipV="0">
                                <a:off x="0" y="0"/>
                                <a:ext cx="1492765" cy="2298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7.54pt;height:180.9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53741" cy="247165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82420" name=""/>
                              <pic:cNvPicPr>
                                <a:picLocks noChangeAspect="1"/>
                              </pic:cNvPicPr>
                              <pic:nvPr/>
                            </pic:nvPicPr>
                            <pic:blipFill rotWithShape="1">
                              <a:blip r:embed="rId20"/>
                              <a:stretch/>
                            </pic:blipFill>
                            <pic:spPr bwMode="auto">
                              <a:xfrm flipH="0" flipV="0">
                                <a:off x="0" y="0"/>
                                <a:ext cx="1853741" cy="2471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5.96pt;height:194.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93648" cy="17202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33386" name=""/>
                              <pic:cNvPicPr>
                                <a:picLocks noChangeAspect="1"/>
                              </pic:cNvPicPr>
                              <pic:nvPr/>
                            </pic:nvPicPr>
                            <pic:blipFill rotWithShape="1">
                              <a:blip r:embed="rId21"/>
                              <a:stretch/>
                            </pic:blipFill>
                            <pic:spPr bwMode="auto">
                              <a:xfrm flipH="0" flipV="0">
                                <a:off x="0" y="0"/>
                                <a:ext cx="2293647" cy="1720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60pt;height:135.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51519" cy="16886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37490" name=""/>
                              <pic:cNvPicPr>
                                <a:picLocks noChangeAspect="1"/>
                              </pic:cNvPicPr>
                              <pic:nvPr/>
                            </pic:nvPicPr>
                            <pic:blipFill rotWithShape="1">
                              <a:blip r:embed="rId22"/>
                              <a:stretch/>
                            </pic:blipFill>
                            <pic:spPr bwMode="auto">
                              <a:xfrm flipH="0" flipV="0">
                                <a:off x="0" y="0"/>
                                <a:ext cx="2251518" cy="1688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7.28pt;height:132.9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0748" cy="22009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17923" name=""/>
                              <pic:cNvPicPr>
                                <a:picLocks noChangeAspect="1"/>
                              </pic:cNvPicPr>
                              <pic:nvPr/>
                            </pic:nvPicPr>
                            <pic:blipFill rotWithShape="1">
                              <a:blip r:embed="rId23"/>
                              <a:stretch/>
                            </pic:blipFill>
                            <pic:spPr bwMode="auto">
                              <a:xfrm flipH="0" flipV="0">
                                <a:off x="0" y="0"/>
                                <a:ext cx="1650747" cy="2200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9.98pt;height:173.3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89151" cy="23855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12070" name=""/>
                              <pic:cNvPicPr>
                                <a:picLocks noChangeAspect="1"/>
                              </pic:cNvPicPr>
                              <pic:nvPr/>
                            </pic:nvPicPr>
                            <pic:blipFill rotWithShape="1">
                              <a:blip r:embed="rId24"/>
                              <a:stretch/>
                            </pic:blipFill>
                            <pic:spPr bwMode="auto">
                              <a:xfrm flipH="0" flipV="0">
                                <a:off x="0" y="0"/>
                                <a:ext cx="1789151" cy="2385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0.88pt;height:187.8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275/2026/0862/VFI-BC.53.A</w:t>
      </w:r>
      <w:r>
        <w:rPr>
          <w:i/>
          <w:lang w:val="pt-BR"/>
        </w:rPr>
        <w:t xml:space="preserve"> ngày </w:t>
      </w:r>
      <w:r>
        <w:rPr>
          <w:i/>
          <w:lang w:val="pt-BR"/>
        </w:rPr>
        <w:t xml:space="preserve">0</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https://batdongsan.com.vn/ban-dat-duong-bac-nam-thi-tran-quoc-oai-1/ban-lo-goc-10m2-hai-mat-tien-sieu-vip-lan-2-42m-khu-dau-gia-dg02-oai-pr44562129</w:t>
            </w:r>
            <w:r>
              <w:rPr>
                <w:color w:val="000000" w:themeColor="text1"/>
                <w:sz w:val="22"/>
                <w:szCs w:val="22"/>
              </w:rPr>
              <w:br/>
              <w:t xml:space="preserve">0917.983237</w:t>
            </w:r>
            <w:r>
              <w:rPr>
                <w:sz w:val="22"/>
                <w:szCs w:val="22"/>
              </w:rPr>
              <w:t xml:space="preserve"> </w:t>
            </w:r>
            <w:r>
              <w:rPr>
                <w:sz w:val="22"/>
                <w:szCs w:val="22"/>
              </w:rPr>
              <w:br/>
              <w:t xml:space="preserve">(</w:t>
            </w:r>
            <w:r>
              <w:rPr>
                <w:sz w:val="22"/>
                <w:szCs w:val="22"/>
              </w:rPr>
              <w:t xml:space="preserve">A.</w:t>
            </w:r>
            <w:r>
              <w:rPr>
                <w:sz w:val="22"/>
                <w:szCs w:val="22"/>
              </w:rPr>
              <w:t xml:space="preserve">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Tây Phương, Thành phố Hà Nội. Tài sản nằm tiếp giáp đường nội khu,cách đường Bắc Nam khoảng 50m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w:t>
            </w:r>
            <w:r>
              <w:rPr>
                <w:color w:val="000000" w:themeColor="text1"/>
                <w:sz w:val="22"/>
                <w:szCs w:val="22"/>
              </w:rPr>
              <w:t xml:space="preserve">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color w:val="000000" w:themeColor="text1"/>
                <w:sz w:val="22"/>
                <w:szCs w:val="22"/>
              </w:rPr>
              <w:t xml:space="preserve">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gắn liền với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369051" cy="190657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53876" name=""/>
                              <pic:cNvPicPr>
                                <a:picLocks noChangeAspect="1"/>
                              </pic:cNvPicPr>
                              <pic:nvPr/>
                            </pic:nvPicPr>
                            <pic:blipFill rotWithShape="1">
                              <a:blip r:embed="rId25"/>
                              <a:stretch/>
                            </pic:blipFill>
                            <pic:spPr bwMode="auto">
                              <a:xfrm flipH="0" flipV="0">
                                <a:off x="0" y="0"/>
                                <a:ext cx="4369051" cy="1906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4.02pt;height:150.12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jc w:val="center"/>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562895" cy="252784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38964" name=""/>
                              <pic:cNvPicPr>
                                <a:picLocks noChangeAspect="1"/>
                              </pic:cNvPicPr>
                              <pic:nvPr/>
                            </pic:nvPicPr>
                            <pic:blipFill rotWithShape="1">
                              <a:blip r:embed="rId26"/>
                              <a:stretch/>
                            </pic:blipFill>
                            <pic:spPr bwMode="auto">
                              <a:xfrm flipH="0" flipV="0">
                                <a:off x="0" y="0"/>
                                <a:ext cx="3562894" cy="2527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0.54pt;height:199.04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ind/>
              <w:jc w:val="center"/>
              <w:rPr/>
            </w:pPr>
            <w:r>
              <w:rPr>
                <w:highlight w:val="none"/>
              </w:rPr>
            </w:r>
            <w:r>
              <mc:AlternateContent>
                <mc:Choice Requires="wpg">
                  <w:drawing>
                    <wp:inline xmlns:wp="http://schemas.openxmlformats.org/drawingml/2006/wordprocessingDrawing" distT="0" distB="0" distL="0" distR="0">
                      <wp:extent cx="4542233" cy="216701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56721" name=""/>
                              <pic:cNvPicPr>
                                <a:picLocks noChangeAspect="1"/>
                              </pic:cNvPicPr>
                              <pic:nvPr/>
                            </pic:nvPicPr>
                            <pic:blipFill rotWithShape="1">
                              <a:blip r:embed="rId27"/>
                              <a:stretch/>
                            </pic:blipFill>
                            <pic:spPr bwMode="auto">
                              <a:xfrm flipH="0" flipV="0">
                                <a:off x="0" y="0"/>
                                <a:ext cx="4542233" cy="2167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7.66pt;height:170.63pt;mso-wrap-distance-left:0.00pt;mso-wrap-distance-top:0.00pt;mso-wrap-distance-right:0.00pt;mso-wrap-distance-bottom:0.00pt;z-index:1;" stroked="false">
                      <v:imagedata r:id="rId27" o:title=""/>
                      <o:lock v:ext="edit" rotation="t"/>
                    </v:shape>
                  </w:pict>
                </mc:Fallback>
              </mc:AlternateContent>
            </w:r>
            <w:r>
              <w:rPr>
                <w:highlight w:val="none"/>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0915.068766</w:t>
            </w:r>
            <w:r>
              <w:rPr>
                <w:sz w:val="22"/>
                <w:szCs w:val="22"/>
              </w:rPr>
              <w:t xml:space="preserve"> </w:t>
            </w:r>
            <w:r>
              <w:rPr>
                <w:sz w:val="22"/>
                <w:szCs w:val="22"/>
              </w:rPr>
              <w:br/>
              <w:t xml:space="preserve">(</w:t>
            </w:r>
            <w:r>
              <w:rPr>
                <w:sz w:val="22"/>
                <w:szCs w:val="22"/>
              </w:rPr>
              <w:t xml:space="preserve">C</w:t>
            </w:r>
            <w:r>
              <w:rPr>
                <w:sz w:val="22"/>
                <w:szCs w:val="22"/>
              </w:rPr>
              <w:t xml:space="preserve">hị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18.546.000.000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16.691.400.000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(168.6m²)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Tây Phương, Thành phố Hà Nội. Tài sản nằm tiếp giáp đường nội khu,cách đường DT419 khoảng 700m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463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5146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8.0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040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8040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7.0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4327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6432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8.1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0988.990596</w:t>
            </w:r>
            <w:r>
              <w:rPr>
                <w:sz w:val="22"/>
                <w:szCs w:val="22"/>
              </w:rPr>
              <w:t xml:space="preserve"> </w:t>
            </w:r>
            <w:r>
              <w:rPr>
                <w:sz w:val="22"/>
                <w:szCs w:val="22"/>
              </w:rPr>
              <w:br/>
              <w:t xml:space="preserve">(</w:t>
            </w:r>
            <w:r>
              <w:rPr>
                <w:sz w:val="22"/>
                <w:szCs w:val="22"/>
              </w:rPr>
              <w:t xml:space="preserve">A</w:t>
            </w:r>
            <w:r>
              <w:rPr>
                <w:sz w:val="22"/>
                <w:szCs w:val="22"/>
              </w:rPr>
              <w:t xml:space="preserve">nh 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10.345.500.000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xã Tây Phương, Thành phố Hà Nội. Tài sản nằm tiếp giáp đường nội khu,cách đường DT419 khoảng 1km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w:t>
            </w:r>
            <w:r>
              <w:rPr>
                <w:color w:val="000000" w:themeColor="text1"/>
                <w:sz w:val="22"/>
                <w:szCs w:val="22"/>
              </w:rPr>
              <w:t xml:space="preserve">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color w:val="000000" w:themeColor="text1"/>
                <w:sz w:val="22"/>
                <w:szCs w:val="22"/>
              </w:rPr>
              <w:t xml:space="preserve">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gắn liền với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1 tầng lợp tôn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3130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1313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6.5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8053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805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6.5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680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368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4.0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19816"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84425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22202" name=""/>
                        <pic:cNvPicPr>
                          <a:picLocks noChangeAspect="1"/>
                        </pic:cNvPicPr>
                        <pic:nvPr/>
                      </pic:nvPicPr>
                      <pic:blipFill rotWithShape="1">
                        <a:blip r:embed="rId35"/>
                        <a:stretch/>
                      </pic:blipFill>
                      <pic:spPr bwMode="auto">
                        <a:xfrm flipH="0" flipV="0">
                          <a:off x="0" y="0"/>
                          <a:ext cx="6048374" cy="8844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96.4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59313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68783" name=""/>
                        <pic:cNvPicPr>
                          <a:picLocks noChangeAspect="1"/>
                        </pic:cNvPicPr>
                        <pic:nvPr/>
                      </pic:nvPicPr>
                      <pic:blipFill rotWithShape="1">
                        <a:blip r:embed="rId36"/>
                        <a:stretch/>
                      </pic:blipFill>
                      <pic:spPr bwMode="auto">
                        <a:xfrm flipH="0" flipV="0">
                          <a:off x="0" y="0"/>
                          <a:ext cx="6048374" cy="85931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76.62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67972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9238" name=""/>
                        <pic:cNvPicPr>
                          <a:picLocks noChangeAspect="1"/>
                        </pic:cNvPicPr>
                        <pic:nvPr/>
                      </pic:nvPicPr>
                      <pic:blipFill rotWithShape="1">
                        <a:blip r:embed="rId37"/>
                        <a:stretch/>
                      </pic:blipFill>
                      <pic:spPr bwMode="auto">
                        <a:xfrm flipH="0" flipV="0">
                          <a:off x="0" y="0"/>
                          <a:ext cx="6048374" cy="8679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83.44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82693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76540" name=""/>
                        <pic:cNvPicPr>
                          <a:picLocks noChangeAspect="1"/>
                        </pic:cNvPicPr>
                        <pic:nvPr/>
                      </pic:nvPicPr>
                      <pic:blipFill rotWithShape="1">
                        <a:blip r:embed="rId38"/>
                        <a:stretch/>
                      </pic:blipFill>
                      <pic:spPr bwMode="auto">
                        <a:xfrm flipH="0" flipV="0">
                          <a:off x="0" y="0"/>
                          <a:ext cx="6048374" cy="8826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95.03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83245"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F11127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C34DE3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7EE535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7EE535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C34DE3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A047C1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2026-07-22T10:09:32Z</dcterms:modified>
</cp:coreProperties>
</file>