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6017555" cy="3592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6017553" cy="35921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275/2026/0363VFI-CT.17.A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CP ĐẦU TƯ VÀ XÂY DỰNG VINA2</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center"/>
                              <w:rPr>
                                <w:b/>
                                <w:bCs/>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bCs/>
                                <w:iCs/>
                              </w:rPr>
                            </w:r>
                            <w:r>
                              <w:rPr>
                                <w:b/>
                                <w:bCs/>
                                <w:iCs/>
                              </w:rPr>
                            </w:r>
                          </w:p>
                          <w:p>
                            <w:pPr>
                              <w:pBdr/>
                              <w:spacing w:after="60" w:before="60" w:line="276" w:lineRule="auto"/>
                              <w:ind/>
                              <w:jc w:val="both"/>
                              <w:rPr>
                                <w:b/>
                                <w:bCs/>
                                <w:spacing w:val="2"/>
                                <w:lang w:val="vi-VN"/>
                              </w:rPr>
                            </w:pPr>
                            <w:r>
                              <w:rPr>
                                <w:bCs/>
                                <w:color w:val="000000" w:themeColor="text1"/>
                                <w:lang w:val="pt-BR"/>
                              </w:rPr>
                              <w:t xml:space="preserve">Quyền sở hữu căn hộ số 807 - Tầng 08 tại tờ bản đồ số: 00 có địa chỉ: Nhà 25T1 - Lô đất N05 - Khu đô thị Đông Nam đường Trần Duy Hưng, phường Trung Hoà, quận Cầu Giấy, thành phố Hà Nội (nay là phường Thanh Xuân, thành phố Hà </w:t>
                            </w:r>
                            <w:r>
                              <w:rPr>
                                <w:bCs/>
                                <w:color w:val="000000" w:themeColor="text1"/>
                                <w:lang w:val="pt-BR"/>
                              </w:rPr>
                              <w:t xml:space="preserve">Nội) theo Giấy chứng nhận Quyền sử dụng đất, quyền sở hữu nhà ở và tài sản khác gắn liền với đất số: BU 411139, số vào sổ cấp GCN: CH 1129/QĐ - UBND/2014/5701 do UBND quận Cầu Giấy cấp ngày 15/04/2014; Chủ tài sản là ông Đỗ Trọng Quỳnh và bà Nguyễn Thị Hoa</w:t>
                            </w:r>
                            <w:r>
                              <w:rPr>
                                <w:bCs/>
                                <w:i/>
                                <w:iCs/>
                              </w:rPr>
                              <w:t xml:space="preserve">.</w:t>
                            </w:r>
                            <w:r>
                              <w:rPr>
                                <w:b/>
                                <w:bCs/>
                                <w:spacing w:val="2"/>
                                <w:lang w:val="vi-VN"/>
                              </w:rPr>
                            </w:r>
                            <w:r>
                              <w:rPr>
                                <w:b/>
                                <w:bCs/>
                                <w:spacing w:val="2"/>
                                <w:lang w:val="vi-VN"/>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73.82pt;height:282.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275/2026/0363VFI-CT.17.A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CP ĐẦU TƯ VÀ XÂY DỰNG VINA2</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center"/>
                        <w:rPr>
                          <w:b/>
                          <w:bCs/>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bCs/>
                          <w:iCs/>
                        </w:rPr>
                      </w:r>
                      <w:r>
                        <w:rPr>
                          <w:b/>
                          <w:bCs/>
                          <w:iCs/>
                        </w:rPr>
                      </w:r>
                    </w:p>
                    <w:p>
                      <w:pPr>
                        <w:pBdr/>
                        <w:spacing w:after="60" w:before="60" w:line="276" w:lineRule="auto"/>
                        <w:ind/>
                        <w:jc w:val="both"/>
                        <w:rPr>
                          <w:b/>
                          <w:bCs/>
                          <w:spacing w:val="2"/>
                          <w:lang w:val="vi-VN"/>
                        </w:rPr>
                      </w:pPr>
                      <w:r>
                        <w:rPr>
                          <w:bCs/>
                          <w:color w:val="000000" w:themeColor="text1"/>
                          <w:lang w:val="pt-BR"/>
                        </w:rPr>
                        <w:t xml:space="preserve">Quyền sở hữu căn hộ số 807 - Tầng 08 tại tờ bản đồ số: 00 có địa chỉ: Nhà 25T1 - Lô đất N05 - Khu đô thị Đông Nam đường Trần Duy Hưng, phường Trung Hoà, quận Cầu Giấy, thành phố Hà Nội (nay là phường Thanh Xuân, thành phố Hà </w:t>
                      </w:r>
                      <w:r>
                        <w:rPr>
                          <w:bCs/>
                          <w:color w:val="000000" w:themeColor="text1"/>
                          <w:lang w:val="pt-BR"/>
                        </w:rPr>
                        <w:t xml:space="preserve">Nội) theo Giấy chứng nhận Quyền sử dụng đất, quyền sở hữu nhà ở và tài sản khác gắn liền với đất số: BU 411139, số vào sổ cấp GCN: CH 1129/QĐ - UBND/2014/5701 do UBND quận Cầu Giấy cấp ngày 15/04/2014; Chủ tài sản là ông Đỗ Trọng Quỳnh và bà Nguyễn Thị Hoa</w:t>
                      </w:r>
                      <w:r>
                        <w:rPr>
                          <w:bCs/>
                          <w:i/>
                          <w:iCs/>
                        </w:rPr>
                        <w:t xml:space="preserve">.</w:t>
                      </w:r>
                      <w:r>
                        <w:rPr>
                          <w:b/>
                          <w:bCs/>
                          <w:spacing w:val="2"/>
                          <w:lang w:val="vi-VN"/>
                        </w:rPr>
                      </w:r>
                      <w:r>
                        <w:rPr>
                          <w:b/>
                          <w:bCs/>
                          <w:spacing w:val="2"/>
                          <w:lang w:val="vi-VN"/>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28"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160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57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275/2026/0363VFI-CT.17.A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048"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6 tháng 3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CP ĐẦU TƯ VÀ XÂY DỰNG VINA2</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275/2026/0363/VFI-HĐTĐ.17.A</w:t>
      </w:r>
      <w:r>
        <w:rPr>
          <w:spacing w:val="-4"/>
          <w:lang w:val="vi-VN"/>
        </w:rPr>
        <w:t xml:space="preserve"> ký ngày </w:t>
      </w:r>
      <w:r>
        <w:rPr>
          <w:color w:val="000000" w:themeColor="text1"/>
          <w:spacing w:val="-4"/>
        </w:rPr>
        <w:t xml:space="preserve">2 tháng 3 năm 2026</w:t>
      </w:r>
      <w:r>
        <w:rPr>
          <w:spacing w:val="-4"/>
          <w:lang w:val="vi-VN"/>
        </w:rPr>
        <w:t xml:space="preserve"> </w:t>
      </w:r>
      <w:r>
        <w:rPr>
          <w:spacing w:val="-4"/>
          <w:lang w:val="vi-VN"/>
        </w:rPr>
        <w:t xml:space="preserve">giữa </w:t>
      </w:r>
      <w:r>
        <w:rPr>
          <w:color w:val="000000" w:themeColor="text1"/>
          <w:spacing w:val="-4"/>
        </w:rPr>
        <w:t xml:space="preserve">Công ty CP Đầu tư và Xây dựng VINA2</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CP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275/2026/0363/VFI-BC.17.A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6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9" w:type="pct"/>
        <w:tblBorders/>
        <w:tblLayout w:type="fixed"/>
        <w:tblLook w:val="04A0" w:firstRow="1" w:lastRow="0" w:firstColumn="1" w:lastColumn="0" w:noHBand="0" w:noVBand="1"/>
      </w:tblPr>
      <w:tblGrid>
        <w:gridCol w:w="1818"/>
        <w:gridCol w:w="491"/>
        <w:gridCol w:w="7609"/>
      </w:tblGrid>
      <w:tr>
        <w:trPr>
          <w:trHeight w:val="20"/>
        </w:trPr>
        <w:tc>
          <w:tcPr>
            <w:shd w:val="clear" w:color="auto" w:fill="auto"/>
            <w:tcBorders/>
            <w:tcW w:w="18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Tên khách hàng</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491"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7609" w:type="dxa"/>
            <w:vAlign w:val="center"/>
            <w:textDirection w:val="lrTb"/>
            <w:noWrap w:val="false"/>
          </w:tcPr>
          <w:p>
            <w:pPr>
              <w:pBdr/>
              <w:spacing/>
              <w:ind/>
              <w:rPr>
                <w:rFonts w:ascii="Times New Roman" w:hAnsi="Times New Roman" w:cs="Times New Roman"/>
                <w:sz w:val="24"/>
                <w:szCs w:val="24"/>
              </w:rPr>
            </w:pPr>
            <w:r>
              <w:rPr>
                <w:rFonts w:ascii="Times New Roman" w:hAnsi="Times New Roman" w:eastAsia="Times New Roman" w:cs="Times New Roman"/>
                <w:b/>
                <w:bCs/>
                <w:sz w:val="24"/>
                <w:szCs w:val="24"/>
              </w:rPr>
            </w:r>
            <w:r>
              <w:rPr>
                <w:rFonts w:ascii="Times New Roman" w:hAnsi="Times New Roman" w:eastAsia="Times New Roman" w:cs="Times New Roman"/>
                <w:b/>
                <w:color w:val="000000" w:themeColor="text1"/>
                <w:sz w:val="24"/>
                <w:szCs w:val="24"/>
                <w:lang w:val="pt-BR"/>
              </w:rPr>
              <w:t xml:space="preserve">CÔNG TY CP ĐẦU TƯ VÀ XÂY DỰNG VINA2</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MST</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491"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7609" w:type="dxa"/>
            <w:vAlign w:val="center"/>
            <w:textDirection w:val="lrTb"/>
            <w:noWrap w:val="false"/>
          </w:tcPr>
          <w:p>
            <w:pPr>
              <w:pBdr/>
              <w:spacing w:after="40" w:before="40" w:line="276" w:lineRule="auto"/>
              <w:ind/>
              <w:jc w:val="both"/>
              <w:rPr>
                <w:rFonts w:ascii="Times New Roman" w:hAnsi="Times New Roman" w:cs="Times New Roman"/>
                <w:color w:val="ff0000"/>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333e48"/>
                <w:spacing w:val="-2"/>
                <w:sz w:val="24"/>
                <w:szCs w:val="24"/>
                <w:highlight w:val="white"/>
              </w:rPr>
              <w:t xml:space="preserve">0100105895</w:t>
            </w:r>
            <w:r>
              <w:rPr>
                <w:rFonts w:ascii="Times New Roman" w:hAnsi="Times New Roman" w:cs="Times New Roman"/>
                <w:color w:val="ff0000"/>
                <w:sz w:val="24"/>
                <w:szCs w:val="24"/>
              </w:rPr>
            </w:r>
            <w:r>
              <w:rPr>
                <w:rFonts w:ascii="Times New Roman" w:hAnsi="Times New Roman" w:cs="Times New Roman"/>
                <w:color w:val="ff0000"/>
                <w:sz w:val="24"/>
                <w:szCs w:val="24"/>
              </w:rPr>
            </w:r>
          </w:p>
        </w:tc>
      </w:tr>
      <w:tr>
        <w:trPr>
          <w:trHeight w:val="20"/>
        </w:trPr>
        <w:tc>
          <w:tcPr>
            <w:shd w:val="clear" w:color="ffffff" w:fill="ffffff"/>
            <w:tcBorders/>
            <w:tcW w:w="1818" w:type="dxa"/>
            <w:vAlign w:val="center"/>
            <w:vMerge w:val="restart"/>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Địa chỉ</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ffffff" w:fill="ffffff"/>
            <w:tcBorders/>
            <w:tcW w:w="491" w:type="dxa"/>
            <w:vAlign w:val="center"/>
            <w:vMerge w:val="restart"/>
            <w:textDirection w:val="lrTb"/>
            <w:noWrap w:val="false"/>
          </w:tcPr>
          <w:p>
            <w:pPr>
              <w:pBdr/>
              <w:spacing w:after="40" w:before="40" w:line="276" w:lineRule="auto"/>
              <w:ind/>
              <w:jc w:val="center"/>
              <w:rPr>
                <w:rFonts w:ascii="Times New Roman" w:hAnsi="Times New Roman" w:cs="Times New Roman"/>
                <w:bCs/>
                <w:color w:val="000000"/>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cs="Times New Roman"/>
                <w:bCs/>
                <w:color w:val="000000"/>
                <w:sz w:val="24"/>
                <w:szCs w:val="24"/>
              </w:rPr>
            </w:r>
            <w:r>
              <w:rPr>
                <w:rFonts w:ascii="Times New Roman" w:hAnsi="Times New Roman" w:cs="Times New Roman"/>
                <w:bCs/>
                <w:color w:val="000000"/>
                <w:sz w:val="24"/>
                <w:szCs w:val="24"/>
              </w:rPr>
            </w:r>
          </w:p>
        </w:tc>
        <w:tc>
          <w:tcPr>
            <w:tcBorders/>
            <w:tcW w:w="7609" w:type="dxa"/>
            <w:vAlign w:val="center"/>
            <w:vMerge w:val="restart"/>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333e48"/>
                <w:spacing w:val="-2"/>
                <w:sz w:val="24"/>
                <w:szCs w:val="24"/>
                <w:highlight w:val="white"/>
              </w:rPr>
              <w:t xml:space="preserve">Tầng 2 - 4, tòa nhà B - KĐTM Kim Văn - Kim Lũ, Phường Định Công, Thành phố Hà Nội, Việt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1818" w:type="dxa"/>
            <w:vAlign w:val="center"/>
            <w:vMerge w:val="restart"/>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Đại diện</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ffffff" w:fill="ffffff"/>
            <w:tcBorders/>
            <w:tcW w:w="491" w:type="dxa"/>
            <w:vAlign w:val="center"/>
            <w:vMerge w:val="restart"/>
            <w:textDirection w:val="lrTb"/>
            <w:noWrap w:val="false"/>
          </w:tcPr>
          <w:p>
            <w:pPr>
              <w:pBdr/>
              <w:spacing w:after="40" w:before="40" w:line="276" w:lineRule="auto"/>
              <w:ind/>
              <w:jc w:val="center"/>
              <w:rPr>
                <w:rFonts w:ascii="Times New Roman" w:hAnsi="Times New Roman" w:cs="Times New Roman"/>
                <w:bCs/>
                <w:color w:val="000000"/>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cs="Times New Roman"/>
                <w:bCs/>
                <w:color w:val="000000"/>
                <w:sz w:val="24"/>
                <w:szCs w:val="24"/>
              </w:rPr>
            </w:r>
            <w:r>
              <w:rPr>
                <w:rFonts w:ascii="Times New Roman" w:hAnsi="Times New Roman" w:cs="Times New Roman"/>
                <w:bCs/>
                <w:color w:val="000000"/>
                <w:sz w:val="24"/>
                <w:szCs w:val="24"/>
              </w:rPr>
            </w:r>
          </w:p>
        </w:tc>
        <w:tc>
          <w:tcPr>
            <w:tcBorders/>
            <w:tcW w:w="7609" w:type="dxa"/>
            <w:vAlign w:val="center"/>
            <w:vMerge w:val="restart"/>
            <w:textDirection w:val="lrTb"/>
            <w:noWrap w:val="false"/>
          </w:tcPr>
          <w:p>
            <w:pPr>
              <w:pBdr/>
              <w:spacing w:after="40" w:before="40" w:line="276" w:lineRule="auto"/>
              <w:ind/>
              <w:jc w:val="both"/>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lang w:val="vi-VN"/>
              </w:rPr>
              <w:t xml:space="preserve">Ông Vũ Trọng Hùng</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Chức vụ</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491"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7609" w:type="dxa"/>
            <w:vAlign w:val="center"/>
            <w:textDirection w:val="lrTb"/>
            <w:noWrap w:val="false"/>
          </w:tcPr>
          <w:p>
            <w:pPr>
              <w:pBdr/>
              <w:spacing w:after="40" w:before="40" w:line="276" w:lineRule="auto"/>
              <w:ind/>
              <w:jc w:val="both"/>
              <w:rPr>
                <w:rFonts w:ascii="Times New Roman" w:hAnsi="Times New Roman" w:cs="Times New Roman"/>
                <w:b/>
                <w:bCs/>
                <w:color w:val="ff0000"/>
                <w:sz w:val="24"/>
                <w:szCs w:val="24"/>
              </w:rPr>
            </w:pPr>
            <w:r>
              <w:rPr>
                <w:rFonts w:ascii="Times New Roman" w:hAnsi="Times New Roman" w:eastAsia="Times New Roman" w:cs="Times New Roman"/>
                <w:b/>
                <w:bCs/>
                <w:color w:val="000000" w:themeColor="text1"/>
                <w:sz w:val="24"/>
                <w:szCs w:val="24"/>
                <w:lang w:val="vi-VN"/>
              </w:rPr>
              <w:t xml:space="preserve">Tổng Giám đốc</w:t>
            </w:r>
            <w:r>
              <w:rPr>
                <w:rFonts w:ascii="Times New Roman" w:hAnsi="Times New Roman" w:cs="Times New Roman"/>
                <w:b/>
                <w:bCs/>
                <w:color w:val="ff0000"/>
                <w:sz w:val="24"/>
                <w:szCs w:val="24"/>
              </w:rPr>
            </w:r>
            <w:r>
              <w:rPr>
                <w:rFonts w:ascii="Times New Roman" w:hAnsi="Times New Roman" w:cs="Times New Roman"/>
                <w:b/>
                <w:bCs/>
                <w:color w:val="ff0000"/>
                <w:sz w:val="24"/>
                <w:szCs w:val="24"/>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918" w:type="dxa"/>
        <w:tblBorders/>
        <w:tblLayout w:type="fixed"/>
        <w:tblLook w:val="04A0" w:firstRow="1" w:lastRow="0" w:firstColumn="1" w:lastColumn="0" w:noHBand="0" w:noVBand="1"/>
      </w:tblPr>
      <w:tblGrid>
        <w:gridCol w:w="1998"/>
        <w:gridCol w:w="289"/>
        <w:gridCol w:w="7631"/>
      </w:tblGrid>
      <w:tr>
        <w:trPr>
          <w:trHeight w:val="20"/>
        </w:trPr>
        <w:tc>
          <w:tcPr>
            <w:tcBorders/>
            <w:tcW w:w="1998"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631"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40" w:before="40" w:line="276" w:lineRule="auto"/>
              <w:ind/>
              <w:jc w:val="both"/>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60" w:before="60" w:line="276" w:lineRule="auto"/>
        <w:ind/>
        <w:jc w:val="both"/>
        <w:rPr>
          <w:b/>
          <w:bCs/>
          <w:spacing w:val="2"/>
          <w:lang w:val="vi-VN"/>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bCs/>
          <w:color w:val="000000" w:themeColor="text1"/>
          <w:lang w:val="pt-BR"/>
        </w:rPr>
        <w:t xml:space="preserve">Quyền sở hữu căn hộ số 807 - Tầng 08 tại tờ bản đồ số: 00 có địa chỉ: Nhà 25T1 - Lô đất N05 - Khu đô thị Đông Nam đường Trần Duy Hưng, phường Trung Hoà, quận Cầu Giấy, thành phố Hà Nội (nay là phường Thanh Xuân, thành phố Hà </w:t>
      </w:r>
      <w:r>
        <w:rPr>
          <w:bCs/>
          <w:color w:val="000000" w:themeColor="text1"/>
          <w:lang w:val="pt-BR"/>
        </w:rPr>
        <w:t xml:space="preserve">Nội) theo Giấy chứng nhận Quyền sử dụng đất, quyền sở hữu nhà ở và tài sản khác gắn liền với đất số: BU 411139, số vào sổ cấp GCN: CH 1129/QĐ - UBND/2014/5701 do UBND quận Cầu Giấy cấp ngày 15/04/2014; Chủ tài sản là ông Đỗ Trọng Quỳnh và bà Nguyễn Thị Hoa</w:t>
      </w:r>
      <w:r>
        <w:rPr>
          <w:i/>
          <w:iCs/>
        </w:rPr>
        <w:t xml:space="preserve">.</w:t>
      </w:r>
      <w:r>
        <w:rPr>
          <w:b/>
          <w:bCs/>
          <w:spacing w:val="2"/>
          <w:lang w:val="vi-VN"/>
        </w:rPr>
      </w:r>
      <w:r>
        <w:rPr>
          <w:b/>
          <w:bCs/>
          <w:spacing w:val="2"/>
          <w:lang w:val="vi-VN"/>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1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58"/>
        <w:gridCol w:w="2538"/>
        <w:gridCol w:w="1873"/>
        <w:gridCol w:w="2683"/>
        <w:gridCol w:w="2284"/>
      </w:tblGrid>
      <w:tr>
        <w:trPr>
          <w:trHeight w:val="20"/>
        </w:trPr>
        <w:tc>
          <w:tcPr>
            <w:shd w:val="clear" w:color="000000" w:fill="ffffff"/>
            <w:tcBorders/>
            <w:tcW w:w="55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3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73"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83"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8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094"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số 807 - Tầng 08 tại tờ bản đồ số: 00 có địa chỉ: Nhà 25T1 - Lô đất N05 - Khu đô thị Đông Nam đường Trần Duy Hưng, phường Trung Hoà, quận Cầu Giấy, thành phố Hà Nội (nay là phường Thanh Xuân, thành phố Hà </w:t>
            </w:r>
            <w:r>
              <w:rPr>
                <w:bCs/>
                <w:color w:val="000000" w:themeColor="text1"/>
                <w:lang w:val="pt-BR"/>
              </w:rPr>
              <w:t xml:space="preserve">Nội) theo Giấy chứng nhận Quyền sử dụng đất, quyền sở hữu nhà ở và tài sản khác gắn liền với đất số: BU 411139, số vào sổ cấp GCN: CH 1129/QĐ - UBND/2014/5701 do UBND quận Cầu Giấy cấp ngày 15/04/2014; Chủ tài sản là ông Đỗ Trọng Quỳnh và bà Nguyễn Thị Hoa</w:t>
            </w:r>
            <w:r>
              <w:rPr>
                <w:bCs/>
                <w:spacing w:val="2"/>
              </w:rPr>
              <w:t xml:space="preserve">.</w:t>
            </w:r>
            <w:r>
              <w:rPr>
                <w:b/>
                <w:bCs/>
                <w:spacing w:val="2"/>
                <w:lang w:val="vi-VN"/>
              </w:rPr>
            </w:r>
            <w:r>
              <w:rPr>
                <w:b/>
                <w:bCs/>
                <w:spacing w:val="2"/>
                <w:lang w:val="vi-VN"/>
              </w:rPr>
            </w:r>
          </w:p>
        </w:tc>
        <w:tc>
          <w:tcPr>
            <w:shd w:val="clear" w:color="000000" w:fill="ffffff"/>
            <w:tcBorders/>
            <w:tcW w:w="228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538" w:type="dxa"/>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1873" w:type="dxa"/>
            <w:vAlign w:val="center"/>
            <w:textDirection w:val="lrTb"/>
            <w:noWrap/>
          </w:tcPr>
          <w:p>
            <w:pPr>
              <w:pBdr/>
              <w:spacing w:after="40" w:before="40" w:line="288" w:lineRule="auto"/>
              <w:ind/>
              <w:jc w:val="center"/>
              <w:rPr>
                <w:color w:val="000000"/>
              </w:rPr>
            </w:pPr>
            <w:r>
              <w:rPr>
                <w:color w:val="000000" w:themeColor="text1"/>
              </w:rPr>
              <w:t xml:space="preserve">162</w:t>
            </w:r>
            <w:r>
              <w:rPr>
                <w:color w:val="000000"/>
              </w:rPr>
            </w:r>
            <w:r>
              <w:rPr>
                <w:color w:val="000000"/>
              </w:rPr>
            </w:r>
          </w:p>
        </w:tc>
        <w:tc>
          <w:tcPr>
            <w:shd w:val="clear" w:color="000000" w:fill="ffffff"/>
            <w:tcBorders/>
            <w:tcW w:w="2683" w:type="dxa"/>
            <w:vAlign w:val="center"/>
            <w:textDirection w:val="lrTb"/>
            <w:noWrap w:val="false"/>
          </w:tcPr>
          <w:p>
            <w:pPr>
              <w:pBdr/>
              <w:spacing w:after="40" w:before="40" w:line="288" w:lineRule="auto"/>
              <w:ind/>
              <w:jc w:val="center"/>
              <w:rPr/>
            </w:pPr>
            <w:r>
              <w:rPr>
                <w:color w:val="000000" w:themeColor="text1"/>
              </w:rPr>
              <w:t xml:space="preserve">93.000.000</w:t>
            </w:r>
            <w:r/>
          </w:p>
        </w:tc>
        <w:tc>
          <w:tcPr>
            <w:shd w:val="clear" w:color="000000" w:fill="ffffff"/>
            <w:tcBorders/>
            <w:tcW w:w="2284" w:type="dxa"/>
            <w:vAlign w:val="center"/>
            <w:textDirection w:val="lrTb"/>
            <w:noWrap w:val="false"/>
          </w:tcPr>
          <w:p>
            <w:pPr>
              <w:pBdr/>
              <w:spacing w:after="40" w:before="40" w:line="288" w:lineRule="auto"/>
              <w:ind/>
              <w:jc w:val="right"/>
              <w:rPr/>
            </w:pPr>
            <w:r>
              <w:rPr>
                <w:color w:val="000000" w:themeColor="text1"/>
              </w:rPr>
              <w:t xml:space="preserve">15.066.000.000</w:t>
            </w:r>
            <w:r/>
          </w:p>
        </w:tc>
      </w:tr>
      <w:tr>
        <w:trPr>
          <w:trHeight w:val="20"/>
        </w:trPr>
        <w:tc>
          <w:tcPr>
            <w:gridSpan w:val="4"/>
            <w:tcBorders/>
            <w:tcW w:w="765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84" w:type="dxa"/>
            <w:vAlign w:val="center"/>
            <w:textDirection w:val="lrTb"/>
            <w:noWrap/>
          </w:tcPr>
          <w:p>
            <w:pPr>
              <w:pBdr/>
              <w:spacing w:after="40" w:before="40" w:line="288" w:lineRule="auto"/>
              <w:ind/>
              <w:jc w:val="right"/>
              <w:rPr>
                <w:b/>
                <w:bCs/>
                <w:color w:val="000000"/>
              </w:rPr>
            </w:pPr>
            <w:r>
              <w:rPr>
                <w:b/>
                <w:bCs/>
              </w:rPr>
              <w:t xml:space="preserve">15.066.000.000</w:t>
            </w:r>
            <w:r>
              <w:rPr>
                <w:b/>
                <w:bCs/>
                <w:color w:val="000000"/>
              </w:rPr>
            </w:r>
            <w:r>
              <w:rPr>
                <w:b/>
                <w:bCs/>
                <w:color w:val="000000"/>
              </w:rPr>
            </w:r>
          </w:p>
        </w:tc>
      </w:tr>
      <w:tr>
        <w:trPr>
          <w:trHeight w:val="20"/>
        </w:trPr>
        <w:tc>
          <w:tcPr>
            <w:gridSpan w:val="5"/>
            <w:tcBorders/>
            <w:tcW w:w="9936"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lăm tỷ không trăm sáu mươi sáu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9" w:type="pct"/>
        <w:tblBorders/>
        <w:tblLayout w:type="fixed"/>
        <w:tblLook w:val="01E0" w:firstRow="1" w:lastRow="1" w:firstColumn="1" w:lastColumn="1" w:noHBand="0" w:noVBand="0"/>
      </w:tblPr>
      <w:tblGrid>
        <w:gridCol w:w="4698"/>
        <w:gridCol w:w="5220"/>
      </w:tblGrid>
      <w:tr>
        <w:trPr>
          <w:trHeight w:val="20"/>
        </w:trPr>
        <w:tc>
          <w:tcPr>
            <w:tcBorders/>
            <w:tcW w:w="469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20"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9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522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98"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22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68"/>
        <w:gridCol w:w="3219"/>
        <w:gridCol w:w="5105"/>
      </w:tblGrid>
      <w:tr>
        <w:trPr>
          <w:trHeight w:val="1152"/>
        </w:trPr>
        <w:tc>
          <w:tcPr>
            <w:tcBorders/>
            <w:tcW w:w="176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2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498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275/2026/0363VFI-BC.17.A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05"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6 tháng 3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275/2026/0363VFI-CT.17.A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6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10008" w:type="dxa"/>
        <w:tblBorders/>
        <w:tblLayout w:type="fixed"/>
        <w:tblLook w:val="04A0" w:firstRow="1" w:lastRow="0" w:firstColumn="1" w:lastColumn="0" w:noHBand="0" w:noVBand="1"/>
      </w:tblPr>
      <w:tblGrid>
        <w:gridCol w:w="1998"/>
        <w:gridCol w:w="289"/>
        <w:gridCol w:w="7721"/>
      </w:tblGrid>
      <w:tr>
        <w:trPr>
          <w:trHeight w:val="20"/>
        </w:trPr>
        <w:tc>
          <w:tcPr>
            <w:tcBorders/>
            <w:tcW w:w="1998"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721"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721"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721"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721"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721"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721"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721" w:type="dxa"/>
            <w:vAlign w:val="center"/>
            <w:textDirection w:val="lrTb"/>
            <w:noWrap w:val="false"/>
          </w:tcPr>
          <w:p>
            <w:pPr>
              <w:pBdr/>
              <w:spacing w:after="60" w:before="60" w:line="276" w:lineRule="auto"/>
              <w:ind/>
              <w:jc w:val="both"/>
              <w:rPr>
                <w:b/>
                <w:bCs/>
                <w:lang w:val="vi-VN"/>
              </w:rPr>
            </w:pPr>
            <w:r>
              <w:rPr>
                <w:b/>
                <w:bCs/>
                <w:lang w:val="vi-VN"/>
              </w:rPr>
              <w:t xml:space="preserve">Ông</w:t>
            </w:r>
            <w:r>
              <w:rPr>
                <w:b/>
                <w:bCs/>
              </w:rPr>
              <w:t xml:space="preserve"> Vũ Văn Quân </w:t>
            </w:r>
            <w:r>
              <w:rPr>
                <w:b/>
                <w:bCs/>
                <w:lang w:val="vi-VN"/>
              </w:rPr>
              <w:tab/>
              <w:t xml:space="preserve">       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930" w:type="dxa"/>
        <w:tblBorders/>
        <w:tblLayout w:type="fixed"/>
        <w:tblLook w:val="04A0" w:firstRow="1" w:lastRow="0" w:firstColumn="1" w:lastColumn="0" w:noHBand="0" w:noVBand="1"/>
      </w:tblPr>
      <w:tblGrid>
        <w:gridCol w:w="2518"/>
        <w:gridCol w:w="284"/>
        <w:gridCol w:w="7128"/>
      </w:tblGrid>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Tên khách hàng</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7128" w:type="dxa"/>
            <w:vAlign w:val="center"/>
            <w:textDirection w:val="lrTb"/>
            <w:noWrap w:val="false"/>
          </w:tcPr>
          <w:p>
            <w:pPr>
              <w:pBdr/>
              <w:spacing/>
              <w:ind/>
              <w:rPr>
                <w:rFonts w:ascii="Times New Roman" w:hAnsi="Times New Roman" w:cs="Times New Roman"/>
                <w:sz w:val="24"/>
                <w:szCs w:val="24"/>
              </w:rPr>
            </w:pPr>
            <w:r>
              <w:rPr>
                <w:rFonts w:ascii="Times New Roman" w:hAnsi="Times New Roman" w:eastAsia="Times New Roman" w:cs="Times New Roman"/>
                <w:b/>
                <w:bCs/>
                <w:sz w:val="24"/>
                <w:szCs w:val="24"/>
              </w:rPr>
            </w:r>
            <w:r>
              <w:rPr>
                <w:rFonts w:ascii="Times New Roman" w:hAnsi="Times New Roman" w:eastAsia="Times New Roman" w:cs="Times New Roman"/>
                <w:b/>
                <w:color w:val="000000" w:themeColor="text1"/>
                <w:sz w:val="24"/>
                <w:szCs w:val="24"/>
                <w:lang w:val="pt-BR"/>
              </w:rPr>
              <w:t xml:space="preserve">CÔNG TY CP ĐẦU TƯ VÀ XÂY DỰNG VINA2</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MST</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7128" w:type="dxa"/>
            <w:vAlign w:val="center"/>
            <w:textDirection w:val="lrTb"/>
            <w:noWrap w:val="false"/>
          </w:tcPr>
          <w:p>
            <w:pPr>
              <w:pBdr/>
              <w:spacing w:after="40" w:before="40" w:line="276" w:lineRule="auto"/>
              <w:ind/>
              <w:jc w:val="both"/>
              <w:rPr>
                <w:rFonts w:ascii="Times New Roman" w:hAnsi="Times New Roman" w:cs="Times New Roman"/>
                <w:color w:val="ff0000"/>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333e48"/>
                <w:spacing w:val="-2"/>
                <w:sz w:val="24"/>
                <w:szCs w:val="24"/>
                <w:highlight w:val="white"/>
              </w:rPr>
              <w:t xml:space="preserve">0100105895</w:t>
            </w:r>
            <w:r>
              <w:rPr>
                <w:rFonts w:ascii="Times New Roman" w:hAnsi="Times New Roman" w:cs="Times New Roman"/>
                <w:color w:val="ff0000"/>
                <w:sz w:val="24"/>
                <w:szCs w:val="24"/>
              </w:rPr>
            </w:r>
            <w:r>
              <w:rPr>
                <w:rFonts w:ascii="Times New Roman" w:hAnsi="Times New Roman" w:cs="Times New Roman"/>
                <w:color w:val="ff0000"/>
                <w:sz w:val="24"/>
                <w:szCs w:val="24"/>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Địa chỉ</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cs="Times New Roman"/>
                <w:bCs/>
                <w:color w:val="000000"/>
                <w:sz w:val="24"/>
                <w:szCs w:val="24"/>
              </w:rPr>
            </w:r>
            <w:r>
              <w:rPr>
                <w:rFonts w:ascii="Times New Roman" w:hAnsi="Times New Roman" w:cs="Times New Roman"/>
                <w:bCs/>
                <w:color w:val="000000"/>
                <w:sz w:val="24"/>
                <w:szCs w:val="24"/>
              </w:rPr>
            </w:r>
          </w:p>
        </w:tc>
        <w:tc>
          <w:tcPr>
            <w:tcBorders/>
            <w:tcW w:w="7128"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333e48"/>
                <w:spacing w:val="-2"/>
                <w:sz w:val="24"/>
                <w:szCs w:val="24"/>
                <w:highlight w:val="white"/>
              </w:rPr>
              <w:t xml:space="preserve">Tầng 2 - 4, tòa nhà B - KĐTM Kim Văn - Kim Lũ, Phường Định Công, Thành phố Hà Nội, Việt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Đại diện</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cs="Times New Roman"/>
                <w:bCs/>
                <w:color w:val="000000"/>
                <w:sz w:val="24"/>
                <w:szCs w:val="24"/>
              </w:rPr>
            </w:r>
            <w:r>
              <w:rPr>
                <w:rFonts w:ascii="Times New Roman" w:hAnsi="Times New Roman" w:cs="Times New Roman"/>
                <w:bCs/>
                <w:color w:val="000000"/>
                <w:sz w:val="24"/>
                <w:szCs w:val="24"/>
              </w:rPr>
            </w:r>
          </w:p>
        </w:tc>
        <w:tc>
          <w:tcPr>
            <w:tcBorders/>
            <w:tcW w:w="7128" w:type="dxa"/>
            <w:vAlign w:val="center"/>
            <w:textDirection w:val="lrTb"/>
            <w:noWrap w:val="false"/>
          </w:tcPr>
          <w:p>
            <w:pPr>
              <w:pBdr/>
              <w:spacing w:after="40" w:before="40" w:line="276" w:lineRule="auto"/>
              <w:ind/>
              <w:jc w:val="both"/>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lang w:val="vi-VN"/>
              </w:rPr>
              <w:t xml:space="preserve">Ông Vũ Trọng Hùng</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20"/>
        </w:trPr>
        <w:tc>
          <w:tcPr>
            <w:tcBorders/>
            <w:tcW w:w="2518" w:type="dxa"/>
            <w:vAlign w:val="center"/>
            <w:vMerge w:val="restart"/>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Chức vụ</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vMerge w:val="restart"/>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7128" w:type="dxa"/>
            <w:vAlign w:val="center"/>
            <w:vMerge w:val="restart"/>
            <w:textDirection w:val="lrTb"/>
            <w:noWrap w:val="false"/>
          </w:tcPr>
          <w:p>
            <w:pPr>
              <w:pBdr/>
              <w:spacing w:after="40" w:before="40" w:line="276" w:lineRule="auto"/>
              <w:ind/>
              <w:jc w:val="both"/>
              <w:rPr>
                <w:rFonts w:ascii="Times New Roman" w:hAnsi="Times New Roman" w:cs="Times New Roman"/>
                <w:b/>
                <w:bCs/>
                <w:color w:val="ff0000"/>
                <w:sz w:val="24"/>
                <w:szCs w:val="24"/>
              </w:rPr>
            </w:pPr>
            <w:r>
              <w:rPr>
                <w:rFonts w:ascii="Times New Roman" w:hAnsi="Times New Roman" w:eastAsia="Times New Roman" w:cs="Times New Roman"/>
                <w:b/>
                <w:bCs/>
                <w:color w:val="000000" w:themeColor="text1"/>
                <w:sz w:val="24"/>
                <w:szCs w:val="24"/>
                <w:lang w:val="vi-VN"/>
              </w:rPr>
              <w:t xml:space="preserve">Tổng Giám đốc</w:t>
            </w:r>
            <w:r>
              <w:rPr>
                <w:rFonts w:ascii="Times New Roman" w:hAnsi="Times New Roman" w:cs="Times New Roman"/>
                <w:b/>
                <w:bCs/>
                <w:color w:val="ff0000"/>
                <w:sz w:val="24"/>
                <w:szCs w:val="24"/>
              </w:rPr>
            </w:r>
            <w:r>
              <w:rPr>
                <w:rFonts w:ascii="Times New Roman" w:hAnsi="Times New Roman" w:cs="Times New Roman"/>
                <w:b/>
                <w:bCs/>
                <w:color w:val="ff0000"/>
                <w:sz w:val="24"/>
                <w:szCs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số 807 - Tầng 08 tại tờ bản đồ số: 00 có địa chỉ: Nhà 25T1 - Lô đất N05 - Khu đô thị Đông Nam đường Trần Duy Hưng, phường Trung Hoà, quận Cầu Giấy, thành phố Hà Nội (nay là phường Thanh Xuân, thành phố Hà </w:t>
            </w:r>
            <w:r>
              <w:rPr>
                <w:bCs/>
                <w:color w:val="000000" w:themeColor="text1"/>
                <w:lang w:val="pt-BR"/>
              </w:rPr>
              <w:t xml:space="preserve">Nội) theo Giấy chứng nhận Quyền sử dụng đất, quyền sở hữu nhà ở và tài sản khác gắn liền với đất số: BU 411139, số vào sổ cấp GCN: CH 1129/QĐ - UBND/2014/5701 do UBND quận Cầu Giấy cấp ngày 15/04/2014; Chủ tài sản là ông Đỗ Trọng Quỳnh và bà Nguyễn Thị Hoa</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Nhà 25T1 - Lô đất N05 - khu đô thị Đông Nam đường Trần Duy Hưng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21.007448217114, 105.8008424779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BU 411139, số vào sổ cấp GCN: CH 1129/QĐ - UBND/2014/5701 do UBND quận Cầu Giấy cấp ngày 15/04/2014; Chủ tài sản là ông Đỗ Trọng Quỳnh và bà Nguyễn Thị Hoa.</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275/2026/0363/VFI-HĐTĐ.17.A</w:t>
      </w:r>
      <w:r>
        <w:rPr>
          <w:spacing w:val="-4"/>
          <w:lang w:val="vi-VN"/>
        </w:rPr>
        <w:t xml:space="preserve"> ký ngày </w:t>
      </w:r>
      <w:r>
        <w:rPr>
          <w:color w:val="000000" w:themeColor="text1"/>
          <w:spacing w:val="-4"/>
        </w:rPr>
        <w:t xml:space="preserve">02 tháng 03 năm 2026</w:t>
      </w:r>
      <w:r>
        <w:rPr>
          <w:spacing w:val="-4"/>
          <w:lang w:val="vi-VN"/>
        </w:rPr>
        <w:t xml:space="preserve"> </w:t>
      </w:r>
      <w:r>
        <w:rPr>
          <w:spacing w:val="-4"/>
          <w:lang w:val="vi-VN"/>
        </w:rPr>
        <w:t xml:space="preserve">giữa </w:t>
      </w:r>
      <w:r>
        <w:rPr>
          <w:color w:val="000000" w:themeColor="text1"/>
          <w:spacing w:val="-4"/>
        </w:rPr>
        <w:t xml:space="preserve">Công ty CP Đầu tư và Xây dựng VINA2</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CP Thẩm định và Đầu tư Tài chính Hoa Sen</w:t>
      </w:r>
      <w:r>
        <w:rPr>
          <w:color w:val="000000" w:themeColor="text1"/>
          <w:lang w:val="pt-BR"/>
        </w:rPr>
        <w:t xml:space="preserve">.</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Bức tranh thị trường bất động sản Hà Nộ</w:t>
      </w:r>
      <w:r>
        <w:rPr>
          <w:shd w:val="clear" w:color="auto" w:fill="ffffff"/>
        </w:rPr>
        <w:t xml:space="preserve">i năm 2026: Hạ tầng dẫn dắt, thị trường bước vào chu kỳ tăng trưởng mới.</w:t>
      </w:r>
      <w:r>
        <w:rPr>
          <w:iCs/>
        </w:rPr>
      </w:r>
      <w:r>
        <w:rPr>
          <w:iCs/>
        </w:rPr>
      </w:r>
    </w:p>
    <w:p>
      <w:pPr>
        <w:pBdr/>
        <w:tabs>
          <w:tab w:val="left" w:leader="none" w:pos="426"/>
        </w:tabs>
        <w:spacing w:after="120" w:before="120" w:line="276" w:lineRule="auto"/>
        <w:ind/>
        <w:jc w:val="both"/>
        <w:rPr/>
      </w:pP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w:t>
      </w:r>
      <w:r>
        <w:rPr>
          <w:shd w:val="clear" w:color="auto" w:fill="ffffff"/>
        </w:rPr>
        <w:t xml:space="preserve">ng”, thị trường vận động theo hướng chọn lọc, phân hóa mạnh, lấy nhu cầu ở thực, chất lượng dự án và năng lực doanh nghiệp làm trụ cột phát triển bền vững.</w:t>
      </w:r>
      <w:r>
        <w:rPr>
          <w:bCs/>
          <w:i/>
          <w:lang w:val="pt-BR"/>
        </w:rPr>
      </w:r>
      <w:r/>
    </w:p>
    <w:p>
      <w:pPr>
        <w:pBdr/>
        <w:tabs>
          <w:tab w:val="left" w:leader="none" w:pos="426"/>
        </w:tabs>
        <w:spacing w:after="120" w:before="120" w:line="276" w:lineRule="auto"/>
        <w:ind/>
        <w:jc w:val="both"/>
        <w:rPr/>
      </w:pPr>
      <w:r>
        <w:rPr>
          <w:shd w:val="clear" w:color="auto" w:fill="ffffff"/>
        </w:rPr>
        <w:t xml:space="preserve">Trong bối cảnh kinh tế vĩ mô dần ổn định, khuôn khổ pháp lý được hoàn thiện và đầu tư công tiếp tục </w:t>
      </w:r>
      <w:r>
        <w:rPr>
          <w:shd w:val="clear" w:color="auto" w:fill="ffffff"/>
        </w:rPr>
        <w:t xml:space="preserve">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w:t>
      </w:r>
      <w:r>
        <w:rPr>
          <w:shd w:val="clear" w:color="auto" w:fill="ffffff"/>
        </w:rPr>
        <w:t xml:space="preserve"> gắn chặt với quy hoạch đô thị, nhu cầu ở thực và năng lực triển khai của doanh nghiệp.</w:t>
      </w:r>
      <w:r>
        <w:rPr>
          <w:bCs/>
          <w:i/>
          <w:lang w:val="pt-BR"/>
        </w:rPr>
      </w:r>
      <w:r/>
    </w:p>
    <w:p>
      <w:pPr>
        <w:pBdr/>
        <w:tabs>
          <w:tab w:val="left" w:leader="none" w:pos="426"/>
        </w:tabs>
        <w:spacing w:after="120" w:before="120" w:line="276" w:lineRule="auto"/>
        <w:ind/>
        <w:jc w:val="both"/>
        <w:rPr/>
      </w:pPr>
      <w:r>
        <w:rPr>
          <w:shd w:val="clear" w:color="auto" w:fill="ffffff"/>
        </w:rPr>
        <w:t xml:space="preserve">Hạ tầng – "xương sống" mở không gian phát triển mới</w:t>
      </w:r>
      <w:r>
        <w:rPr>
          <w:bCs/>
          <w:i/>
          <w:lang w:val="pt-BR"/>
        </w:rPr>
      </w:r>
      <w:r/>
    </w:p>
    <w:p>
      <w:pPr>
        <w:pBdr/>
        <w:tabs>
          <w:tab w:val="left" w:leader="none" w:pos="426"/>
        </w:tabs>
        <w:spacing w:after="120" w:before="120" w:line="276" w:lineRule="auto"/>
        <w:ind/>
        <w:jc w:val="both"/>
        <w:rPr/>
      </w:pPr>
      <w:r>
        <w:rPr>
          <w:shd w:val="clear" w:color="auto" w:fill="ffffff"/>
        </w:rPr>
        <w:t xml:space="preserve">Trong nhiều năm qua, hạ tầng giao thông luôn là yếu tố then chốt định hình không gian phát triển đô thị Hà Nội. Đến </w:t>
      </w:r>
      <w:r>
        <w:rPr>
          <w:shd w:val="clear" w:color="auto" w:fill="ffffff"/>
        </w:rPr>
        <w:t xml:space="preserve">năm 2026, vai trò này càng trở nên rõ rệt khi hàng loạt dự án trọng điểm được triển khai đồng bộ, tạo lực đẩy dài hạn cho thị trường bất động sản.</w:t>
      </w:r>
      <w:r>
        <w:rPr>
          <w:bCs/>
          <w:i/>
          <w:lang w:val="pt-BR"/>
        </w:rPr>
      </w:r>
      <w:r/>
    </w:p>
    <w:p>
      <w:pPr>
        <w:pBdr/>
        <w:tabs>
          <w:tab w:val="left" w:leader="none" w:pos="426"/>
        </w:tabs>
        <w:spacing w:after="120" w:before="120" w:line="276" w:lineRule="auto"/>
        <w:ind/>
        <w:jc w:val="both"/>
        <w:rPr/>
      </w:pPr>
      <w:r>
        <w:rPr>
          <w:shd w:val="clear" w:color="auto" w:fill="ffffff"/>
        </w:rPr>
        <w:t xml:space="preserve">Dự án đường Vành đai 4 – Vùng Thủ đô, với quy mô hơn 85.000 tỷ đồng, được coi là "đòn bẩy chiến lược" mở rộng</w:t>
      </w:r>
      <w:r>
        <w:rPr>
          <w:shd w:val="clear" w:color="auto" w:fill="ffffff"/>
        </w:rPr>
        <w:t xml:space="preserve">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bCs/>
          <w:i/>
          <w:lang w:val="pt-BR"/>
        </w:rPr>
      </w:r>
      <w:r/>
    </w:p>
    <w:p>
      <w:pPr>
        <w:pBdr/>
        <w:tabs>
          <w:tab w:val="left" w:leader="none" w:pos="426"/>
        </w:tabs>
        <w:spacing w:after="120" w:before="120" w:line="276" w:lineRule="auto"/>
        <w:ind/>
        <w:jc w:val="both"/>
        <w:rPr/>
      </w:pPr>
      <w:r>
        <w:rPr>
          <w:shd w:val="clear" w:color="auto" w:fill="ffffff"/>
        </w:rPr>
        <w:t xml:space="preserve">C</w:t>
      </w:r>
      <w:r>
        <w:rPr>
          <w:shd w:val="clear" w:color="auto" w:fill="ffffff"/>
        </w:rPr>
        <w:t xml:space="preserve">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shd w:val="clear" w:color="auto" w:fill="ffffff"/>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w:t>
      </w:r>
      <w:r>
        <w:rPr>
          <w:shd w:val="clear" w:color="auto" w:fill="ffffff"/>
        </w:rPr>
        <w:t xml:space="preserve">trưởng bất động sản dài hạn.</w:t>
      </w:r>
      <w:r>
        <w:rPr>
          <w:bCs/>
          <w:i/>
          <w:lang w:val="pt-BR"/>
        </w:rPr>
      </w:r>
      <w:r/>
    </w:p>
    <w:p>
      <w:pPr>
        <w:pBdr/>
        <w:tabs>
          <w:tab w:val="left" w:leader="none" w:pos="426"/>
        </w:tabs>
        <w:spacing w:after="120" w:before="120" w:line="276" w:lineRule="auto"/>
        <w:ind/>
        <w:jc w:val="both"/>
        <w:rPr>
          <w:highlight w:val="none"/>
        </w:rPr>
      </w:pPr>
      <w:r>
        <w:rPr>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w:t>
      </w:r>
      <w:r>
        <w:rPr>
          <w:shd w:val="clear" w:color="auto" w:fill="ffffff"/>
        </w:rPr>
        <w:t xml:space="preserve">5 (Văn Cao – Hòa Lạc), đang nổi lên như một cực phát triển mới. Ở phía Đông, hệ thống cầu vượt sông Hồng, cùng quy hoạch chỉnh trang đô thị ven sông, tiếp tục mở ra dư địa cho các dự án nhà ở và đô thị sinh thái.</w:t>
      </w:r>
      <w:r>
        <w:rPr>
          <w:highlight w:val="none"/>
        </w:rPr>
      </w:r>
      <w:r>
        <w:rPr>
          <w:highlight w:val="none"/>
        </w:rPr>
      </w:r>
    </w:p>
    <w:p>
      <w:pPr>
        <w:pBdr/>
        <w:tabs>
          <w:tab w:val="left" w:leader="none" w:pos="426"/>
        </w:tabs>
        <w:spacing w:after="120" w:before="120" w:line="276" w:lineRule="auto"/>
        <w:ind/>
        <w:jc w:val="both"/>
        <w:rPr/>
      </w:pPr>
      <w:r>
        <w:rPr>
          <w:shd w:val="clear" w:color="auto" w:fill="ffffff"/>
        </w:rPr>
        <w:t xml:space="preserve">Thị trường chuyển từ "tăng nóng" sang tăng </w:t>
      </w:r>
      <w:r>
        <w:rPr>
          <w:shd w:val="clear" w:color="auto" w:fill="ffffff"/>
        </w:rPr>
        <w:t xml:space="preserve">trưởng chọn lọcNếu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w:t>
      </w:r>
      <w:r>
        <w:rPr>
          <w:shd w:val="clear" w:color="auto" w:fill="ffffff"/>
        </w:rPr>
        <w:t xml:space="preserve">hững khu vực có quy hoạch rõ ràng, hạ tầng đồng bộ và nhu cầu ở thực ổn định.</w:t>
        <w:br/>
        <w:t xml:space="preserve">Theo ông Nguyễn Văn Đính, Chủ tịch Hội Môi giới Bất động sản Việt Nam (VARS), thị trường bất động sản Hà Nội sẽ không tăng trưởng theo kiểu nóng mà dựa trên nền tảng hạ tầng và n</w:t>
      </w:r>
      <w:r>
        <w:rPr>
          <w:shd w:val="clear" w:color="auto" w:fill="ffffff"/>
        </w:rPr>
        <w:t xml:space="preserve">hu cầu thật. Những dự án gắn với các tuyến giao thông lớn, pháp lý minh bạch và được triển khai bài bản sẽ trở thành động lực chính của thị trường trong năm 2026.</w:t>
      </w:r>
      <w:r>
        <w:rPr>
          <w:bCs/>
          <w:i/>
          <w:lang w:val="pt-BR"/>
        </w:rPr>
      </w:r>
      <w:r/>
    </w:p>
    <w:p>
      <w:pPr>
        <w:pBdr/>
        <w:tabs>
          <w:tab w:val="left" w:leader="none" w:pos="426"/>
        </w:tabs>
        <w:spacing w:after="120" w:before="120" w:line="276" w:lineRule="auto"/>
        <w:ind/>
        <w:jc w:val="both"/>
        <w:rPr/>
      </w:pPr>
      <w:r>
        <w:rPr>
          <w:shd w:val="clear" w:color="auto" w:fill="ffffff"/>
        </w:rPr>
        <w:t xml:space="preserve">Số liệu từ các đơn vị nghiên cứu cho thấy, trong giai đoạn gần đây, giá bất động sản tại nhữn</w:t>
      </w:r>
      <w:r>
        <w:rPr>
          <w:shd w:val="clear" w:color="auto" w:fill="ffffff"/>
        </w:rPr>
        <w:t xml:space="preserve">g khu vực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bCs/>
          <w:i/>
          <w:lang w:val="pt-BR"/>
        </w:rPr>
      </w:r>
      <w:r/>
    </w:p>
    <w:p>
      <w:pPr>
        <w:pBdr/>
        <w:tabs>
          <w:tab w:val="left" w:leader="none" w:pos="426"/>
        </w:tabs>
        <w:spacing w:after="120" w:before="120" w:line="276" w:lineRule="auto"/>
        <w:ind/>
        <w:jc w:val="both"/>
        <w:rPr/>
      </w:pPr>
      <w:r>
        <w:rPr>
          <w:shd w:val="clear" w:color="auto" w:fill="ffffff"/>
        </w:rPr>
        <w:t xml:space="preserve">Nguồn cung lớn, </w:t>
      </w:r>
      <w:r>
        <w:rPr>
          <w:shd w:val="clear" w:color="auto" w:fill="ffffff"/>
        </w:rPr>
        <w:t xml:space="preserve">thị trường phân hóa rõ nét</w:t>
      </w:r>
      <w:r>
        <w:rPr>
          <w:bCs/>
          <w:i/>
          <w:lang w:val="pt-BR"/>
        </w:rPr>
      </w:r>
      <w:r/>
    </w:p>
    <w:p>
      <w:pPr>
        <w:pBdr/>
        <w:tabs>
          <w:tab w:val="left" w:leader="none" w:pos="426"/>
        </w:tabs>
        <w:spacing w:after="120" w:before="120" w:line="276" w:lineRule="auto"/>
        <w:ind/>
        <w:jc w:val="both"/>
        <w:rPr/>
      </w:pPr>
      <w:r>
        <w:rPr>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w:t>
      </w:r>
      <w:r>
        <w:rPr>
          <w:shd w:val="clear" w:color="auto" w:fill="ffffff"/>
        </w:rPr>
        <w:t xml:space="preserve">khởi động. Điều này vừa tạo cơ hội cho người mua, vừa đặt ra thách thức cho doanh nghiệp phát triển dự án.</w:t>
      </w:r>
      <w:r>
        <w:rPr>
          <w:bCs/>
          <w:i/>
          <w:lang w:val="pt-BR"/>
        </w:rPr>
      </w:r>
      <w:r/>
    </w:p>
    <w:p>
      <w:pPr>
        <w:pBdr/>
        <w:tabs>
          <w:tab w:val="left" w:leader="none" w:pos="426"/>
        </w:tabs>
        <w:spacing w:after="120" w:before="120" w:line="276" w:lineRule="auto"/>
        <w:ind/>
        <w:jc w:val="both"/>
        <w:rPr/>
      </w:pPr>
      <w:r>
        <w:rPr>
          <w:shd w:val="clear" w:color="auto" w:fill="ffffff"/>
        </w:rPr>
        <w:t xml:space="preserve">Ông David Jackson, Tổng Giám đốc Avison Young Việt Nam nhận định, thị trường căn hộ đang bước vào giai đoạn bản lề. Phân khúc này tiếp tục giữ vai tr</w:t>
      </w:r>
      <w:r>
        <w:rPr>
          <w:shd w:val="clear" w:color="auto" w:fill="ffffff"/>
        </w:rPr>
        <w:t xml:space="preserve">ò chủ đạo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w:t>
      </w:r>
      <w:r>
        <w:rPr>
          <w:shd w:val="clear" w:color="auto" w:fill="ffffff"/>
        </w:rPr>
        <w:t xml:space="preserve">vượt khả năng chi trả của số đông sẽ gặp khó.</w:t>
      </w:r>
      <w:r>
        <w:rPr>
          <w:bCs/>
          <w:i/>
          <w:lang w:val="pt-BR"/>
        </w:rPr>
      </w:r>
      <w:r/>
    </w:p>
    <w:p>
      <w:pPr>
        <w:pBdr/>
        <w:tabs>
          <w:tab w:val="left" w:leader="none" w:pos="426"/>
        </w:tabs>
        <w:spacing w:after="120" w:before="120" w:line="276" w:lineRule="auto"/>
        <w:ind/>
        <w:jc w:val="both"/>
        <w:rPr/>
      </w:pPr>
      <w:r>
        <w:rPr>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w:t>
      </w:r>
      <w:r>
        <w:rPr>
          <w:shd w:val="clear" w:color="auto" w:fill="ffffff"/>
        </w:rPr>
        <w:t xml:space="preserve">n nhờ phù hợp với nhu cầu ở thực. Trong khi đó, phân khúc nhà ở vừa túi tiền và nhà ở xã hội được kỳ vọng sẽ dần cải thiện nguồn cung khi các chính sách mới được triển khai đồng bộ.</w:t>
      </w:r>
      <w:r/>
    </w:p>
    <w:p>
      <w:pPr>
        <w:pBdr/>
        <w:tabs>
          <w:tab w:val="left" w:leader="none" w:pos="426"/>
        </w:tabs>
        <w:spacing w:after="120" w:before="120" w:line="276" w:lineRule="auto"/>
        <w:ind/>
        <w:jc w:val="both"/>
        <w:rPr/>
      </w:pPr>
      <w:r>
        <w:rPr>
          <w:shd w:val="clear" w:color="auto" w:fill="ffffff"/>
        </w:rPr>
        <w:t xml:space="preserve">Chính sách và pháp lý – điểm tựa cho chu kỳ mới</w:t>
      </w:r>
      <w:r>
        <w:rPr>
          <w:bCs/>
          <w:i/>
          <w:lang w:val="pt-BR"/>
        </w:rPr>
      </w:r>
      <w:r/>
    </w:p>
    <w:p>
      <w:pPr>
        <w:pBdr/>
        <w:tabs>
          <w:tab w:val="left" w:leader="none" w:pos="426"/>
        </w:tabs>
        <w:spacing w:after="120" w:before="120" w:line="276" w:lineRule="auto"/>
        <w:ind/>
        <w:jc w:val="both"/>
        <w:rPr/>
      </w:pPr>
      <w:r>
        <w:rPr>
          <w:shd w:val="clear" w:color="auto" w:fill="ffffff"/>
        </w:rPr>
        <w:t xml:space="preserve">Năm 2026 được xem là thời</w:t>
      </w:r>
      <w:r>
        <w:rPr>
          <w:shd w:val="clear" w:color="auto" w:fill="ffffff"/>
        </w:rPr>
        <w:t xml:space="preserve">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w:t>
      </w:r>
      <w:r>
        <w:rPr>
          <w:shd w:val="clear" w:color="auto" w:fill="ffffff"/>
        </w:rPr>
        <w:t xml:space="preserve"> trường.</w:t>
        <w:b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w:t>
      </w:r>
      <w:r>
        <w:rPr>
          <w:shd w:val="clear" w:color="auto" w:fill="ffffff"/>
        </w:rPr>
        <w:t xml:space="preserve"> "treo" dự án kéo dài, đồng thời tạo niềm tin cho nhà đầu tư và người mua nhà.</w:t>
      </w:r>
      <w:r>
        <w:rPr>
          <w:bCs/>
          <w:i/>
          <w:lang w:val="pt-BR"/>
        </w:rPr>
      </w:r>
      <w:r/>
    </w:p>
    <w:p>
      <w:pPr>
        <w:pBdr/>
        <w:tabs>
          <w:tab w:val="left" w:leader="none" w:pos="426"/>
        </w:tabs>
        <w:spacing w:after="120" w:before="120" w:line="276" w:lineRule="auto"/>
        <w:ind/>
        <w:jc w:val="both"/>
        <w:rPr/>
      </w:pPr>
      <w:r>
        <w:rPr>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w:t>
      </w:r>
      <w:r>
        <w:rPr>
          <w:shd w:val="clear" w:color="auto" w:fill="ffffff"/>
        </w:rPr>
        <w:t xml:space="preserve">n.com.vn cho rằng, mức lãi suất cho vay phổ biến quanh 6–7%/năm vẫn nằm trong vùng hỗ trợ giao dịch, khác xa giai đoạn "cú sốc kép" năm 2022.</w:t>
      </w:r>
      <w:r>
        <w:rPr>
          <w:bCs/>
          <w:i/>
          <w:lang w:val="pt-BR"/>
        </w:rPr>
      </w:r>
      <w:r/>
    </w:p>
    <w:p>
      <w:pPr>
        <w:pBdr/>
        <w:tabs>
          <w:tab w:val="left" w:leader="none" w:pos="426"/>
        </w:tabs>
        <w:spacing w:after="120" w:before="120" w:line="276" w:lineRule="auto"/>
        <w:ind/>
        <w:jc w:val="both"/>
        <w:rPr/>
      </w:pPr>
      <w:r>
        <w:rPr>
          <w:shd w:val="clear" w:color="auto" w:fill="ffffff"/>
        </w:rPr>
        <w:t xml:space="preserve">Ở góc nhìn vĩ mô, TS. Cấn Văn Lực, Chuyên gia Kinh tế trưởng Ngân hàng BIDV, Thành viên Hội đồng Tư vấn chính sách</w:t>
      </w:r>
      <w:r>
        <w:rPr>
          <w:shd w:val="clear" w:color="auto" w:fill="ffffff"/>
        </w:rPr>
        <w:t xml:space="preserve"> tài chính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w:t>
      </w:r>
      <w:r>
        <w:rPr>
          <w:shd w:val="clear" w:color="auto" w:fill="ffffff"/>
        </w:rPr>
        <w:t xml:space="preserve"> chủ đầu tư – những yếu tố then chốt để hình thành chu kỳ tăng trưởng bền vững.</w:t>
      </w:r>
      <w:r>
        <w:rPr>
          <w:bCs/>
          <w:i/>
          <w:lang w:val="pt-BR"/>
        </w:rPr>
      </w:r>
      <w:r/>
    </w:p>
    <w:p>
      <w:pPr>
        <w:pBdr/>
        <w:tabs>
          <w:tab w:val="left" w:leader="none" w:pos="426"/>
        </w:tabs>
        <w:spacing w:after="120" w:before="120" w:line="276" w:lineRule="auto"/>
        <w:ind/>
        <w:jc w:val="both"/>
        <w:rPr/>
      </w:pPr>
      <w:r>
        <w:rPr>
          <w:shd w:val="clear" w:color="auto" w:fill="ffffff"/>
        </w:rPr>
        <w:t xml:space="preserve">Triển vọng 2026: tăng trưởng bền vững trên nền tảng mới</w:t>
      </w:r>
      <w:r>
        <w:rPr>
          <w:bCs/>
          <w:i/>
          <w:lang w:val="pt-BR"/>
        </w:rPr>
      </w:r>
      <w:r/>
    </w:p>
    <w:p>
      <w:pPr>
        <w:pBdr/>
        <w:tabs>
          <w:tab w:val="left" w:leader="none" w:pos="426"/>
        </w:tabs>
        <w:spacing w:after="120" w:before="120" w:line="276" w:lineRule="auto"/>
        <w:ind/>
        <w:jc w:val="both"/>
        <w:rPr/>
      </w:pPr>
      <w:r>
        <w:rPr>
          <w:shd w:val="clear" w:color="auto" w:fill="ffffff"/>
        </w:rPr>
        <w:t xml:space="preserve">Với nguồn cung tăng mạnh và người mua ngày càng kỹ tính, năm 2026 được xem là giai đoạn sàng lọc rõ nét đối với các doan</w:t>
      </w:r>
      <w:r>
        <w:rPr>
          <w:shd w:val="clear" w:color="auto" w:fill="ffffff"/>
        </w:rPr>
        <w:t xml:space="preserve">h nghiệp bất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w:t>
      </w:r>
      <w:r>
        <w:rPr>
          <w:shd w:val="clear" w:color="auto" w:fill="ffffff"/>
        </w:rPr>
        <w:t xml:space="preserve">ắn hạn có thể tiếp tục bị đào thải.</w:t>
      </w:r>
      <w:r>
        <w:rPr>
          <w:bCs/>
          <w:i/>
          <w:lang w:val="pt-BR"/>
        </w:rPr>
      </w:r>
      <w:r/>
    </w:p>
    <w:p>
      <w:pPr>
        <w:pBdr/>
        <w:tabs>
          <w:tab w:val="left" w:leader="none" w:pos="426"/>
        </w:tabs>
        <w:spacing w:after="120" w:before="120" w:line="276" w:lineRule="auto"/>
        <w:ind/>
        <w:jc w:val="both"/>
        <w:rPr/>
      </w:pPr>
      <w:r>
        <w:rPr>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w:t>
      </w:r>
      <w:r>
        <w:rPr>
          <w:shd w:val="clear" w:color="auto" w:fill="ffffff"/>
        </w:rPr>
        <w:t xml:space="preserve">h nghiệp phải gìn giữ.</w:t>
      </w:r>
      <w:r>
        <w:rPr>
          <w:bCs/>
          <w:i/>
          <w:lang w:val="pt-BR"/>
        </w:rPr>
      </w:r>
      <w:r/>
    </w:p>
    <w:p>
      <w:pPr>
        <w:pBdr/>
        <w:tabs>
          <w:tab w:val="left" w:leader="none" w:pos="426"/>
        </w:tabs>
        <w:spacing w:after="120" w:before="120" w:line="276" w:lineRule="auto"/>
        <w:ind/>
        <w:jc w:val="both"/>
        <w:rPr/>
      </w:pPr>
      <w:r>
        <w:rPr>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w:t>
      </w:r>
      <w:r>
        <w:rPr>
          <w:shd w:val="clear" w:color="auto" w:fill="ffffff"/>
        </w:rPr>
        <w:t xml:space="preserve"> chủ đạo. Thị trường không còn chỗ cho những cơn sốt ảo, mà hướng tới tăng trưởng ổn định, gắn với chất lượng đô thị và chất lượng sống.</w:t>
      </w:r>
      <w:r>
        <w:rPr>
          <w:bCs/>
          <w:i/>
          <w:lang w:val="pt-BR"/>
        </w:rPr>
      </w:r>
      <w:r/>
    </w:p>
    <w:p>
      <w:pPr>
        <w:pBdr/>
        <w:tabs>
          <w:tab w:val="left" w:leader="none" w:pos="426"/>
        </w:tabs>
        <w:spacing w:after="120" w:before="120" w:line="276" w:lineRule="auto"/>
        <w:ind/>
        <w:jc w:val="both"/>
        <w:rPr/>
      </w:pPr>
      <w:r>
        <w:rPr>
          <w:shd w:val="clear" w:color="auto" w:fill="ffffff"/>
        </w:rPr>
        <w:t xml:space="preserve">Với những nền tảng đó, bất động sản Hà Nội trong năm 2026 được kỳ vọng sẽ bước vào chu kỳ phát triển mới – bền vững hơn</w:t>
      </w:r>
      <w:r>
        <w:rPr>
          <w:shd w:val="clear" w:color="auto" w:fill="ffffff"/>
        </w:rPr>
        <w:t xml:space="preserve">, minh bạch hơn và đóng góp hiệu quả hơn cho tăng trưởng kinh tế – xã hội của Thủ đô.</w:t>
      </w:r>
      <w:r>
        <w:rPr>
          <w:bCs/>
          <w:i/>
          <w:lang w:val="pt-BR"/>
        </w:rPr>
      </w:r>
      <w:r/>
    </w:p>
    <w:p>
      <w:pPr>
        <w:pBdr/>
        <w:tabs>
          <w:tab w:val="left" w:leader="none" w:pos="426"/>
        </w:tabs>
        <w:spacing w:after="120" w:before="120" w:line="276" w:lineRule="auto"/>
        <w:ind/>
        <w:jc w:val="both"/>
        <w:rPr>
          <w:bCs/>
          <w:i/>
          <w:lang w:val="pt-BR"/>
        </w:rPr>
      </w:pPr>
      <w:r>
        <w:rPr>
          <w:shd w:val="clear" w:color="auto" w:fill="ffffff"/>
        </w:rPr>
        <w:t xml:space="preserve">(Nguồn: https://thanglong.chinhphu.vn/buc-tranh-thi-truong-bat-dong-san-ha-noi-nam-2026-ha-tang-dan-dat-thi-truong-buoc-vao-chu-ky-tang-truong-moi-103260101181315972.htm)</w:t>
      </w:r>
      <w:r>
        <w:rPr>
          <w:bCs/>
          <w:i/>
          <w:lang w:val="pt-BR"/>
        </w:rPr>
      </w:r>
      <w:r>
        <w:rPr>
          <w:bCs/>
          <w:i/>
          <w:lang w:val="pt-BR"/>
        </w:rPr>
      </w:r>
    </w:p>
    <w:p>
      <w:pPr>
        <w:pStyle w:val="102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29"/>
        <w:tblInd w:w="137"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34"/>
        <w:gridCol w:w="1134"/>
        <w:gridCol w:w="1134"/>
        <w:gridCol w:w="1134"/>
        <w:gridCol w:w="1134"/>
        <w:gridCol w:w="1134"/>
        <w:gridCol w:w="1134"/>
        <w:gridCol w:w="1134"/>
      </w:tblGrid>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108" w:type="dxa"/>
            <w:vAlign w:val="center"/>
            <w:textDirection w:val="lrTb"/>
            <w:noWrap w:val="false"/>
          </w:tcPr>
          <w:p>
            <w:pPr>
              <w:pBdr/>
              <w:spacing/>
              <w:ind/>
              <w:jc w:val="both"/>
              <w:rPr>
                <w:b/>
                <w:bCs/>
                <w:color w:val="000000"/>
              </w:rPr>
            </w:pPr>
            <w:r>
              <w:rPr>
                <w:b/>
                <w:bCs/>
                <w:color w:val="000000"/>
              </w:rPr>
              <w:t xml:space="preserve">Quyền sở hữu căn hộ số 807 - Tầng 08 tại tờ bản đồ số: 00 có địa chỉ: Nhà 25T1 - Lô đất N05 - Khu đô thị Đông Nam đường Trần Duy Hưng, phường Trung Hoà, quận Cầu Giấy, thành phố Hà Nội (nay là phường Thanh Xuân, thành phố Hà </w:t>
            </w:r>
            <w:r>
              <w:rPr>
                <w:b/>
                <w:bCs/>
                <w:color w:val="000000"/>
              </w:rPr>
              <w:t xml:space="preserve">Nội) theo Giấy chứng nhận Quyền sử dụng đất, quyền sở hữu nhà ở và tài sản khác gắn liền với đất số: BU 411139, số vào sổ cấp GCN: CH 1129/QĐ - UBND/2014/5701 do UBND quận Cầu Giấy cấp ngày 15/04/2014; Chủ tài sản là ông Đỗ Trọng Quỳnh và bà Nguyễn Thị Hoa</w:t>
            </w:r>
            <w:r>
              <w:rPr>
                <w:b/>
                <w:bCs/>
                <w:color w:val="000000"/>
              </w:rPr>
              <w:t xml:space="preserve">.</w:t>
            </w:r>
            <w:r>
              <w:rPr>
                <w:b/>
                <w:bCs/>
                <w:color w:val="000000"/>
              </w:rPr>
            </w:r>
            <w:r>
              <w:rPr>
                <w:b/>
                <w:bCs/>
                <w:color w:val="000000"/>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1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4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4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Địa chỉ:</w:t>
            </w: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8" w:type="dxa"/>
            <w:vAlign w:val="center"/>
            <w:textDirection w:val="lrTb"/>
            <w:noWrap/>
          </w:tcPr>
          <w:p>
            <w:pPr>
              <w:pBdr/>
              <w:spacing/>
              <w:ind/>
              <w:jc w:val="both"/>
              <w:rPr>
                <w:b w:val="0"/>
                <w:bCs w:val="0"/>
              </w:rPr>
            </w:pPr>
            <w:r>
              <w:rPr>
                <w:b w:val="0"/>
                <w:bCs w:val="0"/>
              </w:rPr>
            </w:r>
            <w:r>
              <w:rPr>
                <w:b w:val="0"/>
                <w:bCs w:val="0"/>
                <w:color w:val="000000"/>
              </w:rPr>
              <w:t xml:space="preserve">Nhà 25T1 - Lô đất N05 - Khu đô thị Đông Nam đường Trần Duy Hưng, phường Trung Hoà, quận Cầu Giấy, thành phố Hà Nội (nay là phường Thanh Xuân, thành phố Hà </w:t>
            </w:r>
            <w:r>
              <w:rPr>
                <w:b w:val="0"/>
                <w:bCs w:val="0"/>
                <w:color w:val="000000"/>
              </w:rPr>
              <w:t xml:space="preserve">Nội)</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1.960</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Chung: 1.960m2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tại ở đô thị</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Nguồn gốc sử dụng:</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Nhà nước giao đất có thu tiền sử dụng đất</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vMerge w:val="restart"/>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1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w:t>
            </w:r>
            <w:r>
              <w:rPr>
                <w:color w:val="000000"/>
              </w:rPr>
              <w:t xml:space="preserve">(</w:t>
            </w:r>
            <w:r>
              <w:rPr>
                <w:color w:val="000000"/>
              </w:rPr>
              <w:t xml:space="preserve">21.007448217114</w:t>
            </w:r>
            <w:r>
              <w:rPr>
                <w:color w:val="000000"/>
              </w:rPr>
              <w:t xml:space="preserve">, </w:t>
            </w:r>
            <w:r>
              <w:rPr>
                <w:color w:val="000000"/>
              </w:rPr>
              <w:t xml:space="preserve">105.8008424779</w:t>
            </w:r>
            <w:r>
              <w:rPr>
                <w:color w:val="000000"/>
              </w:rPr>
              <w:t xml:space="preserve">)</w:t>
            </w:r>
            <w:r>
              <w:rPr>
                <w:rFonts w:ascii="Times New Roman" w:hAnsi="Times New Roman" w:eastAsia="Times New Roman" w:cs="Times New Roman"/>
                <w:color w:val="000000"/>
                <w:sz w:val="24"/>
              </w:rPr>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1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color w:val="000000"/>
              </w:rPr>
              <mc:AlternateContent>
                <mc:Choice Requires="wpg">
                  <w:drawing>
                    <wp:inline xmlns:wp="http://schemas.openxmlformats.org/drawingml/2006/wordprocessingDrawing" distT="0" distB="0" distL="0" distR="0">
                      <wp:extent cx="5414799" cy="2907834"/>
                      <wp:effectExtent l="0" t="0" r="0" b="0"/>
                      <wp:docPr id="5" name=""/>
                      <wp:cNvGraphicFramePr/>
                      <a:graphic xmlns:a="http://schemas.openxmlformats.org/drawingml/2006/main">
                        <a:graphicData uri="http://schemas.openxmlformats.org/drawingml/2006/picture">
                          <pic:pic xmlns:pic="http://schemas.openxmlformats.org/drawingml/2006/picture">
                            <pic:nvPicPr>
                              <pic:cNvPr id="692562292" name="" descr=""/>
                              <pic:cNvPicPr/>
                              <pic:nvPr/>
                            </pic:nvPicPr>
                            <pic:blipFill rotWithShape="1">
                              <a:blip r:embed="rId17"/>
                              <a:stretch/>
                            </pic:blipFill>
                            <pic:spPr bwMode="auto">
                              <a:xfrm rot="0" flipH="0" flipV="0">
                                <a:off x="0" y="0"/>
                                <a:ext cx="5414798" cy="29078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6.36pt;height:228.96pt;mso-wrap-distance-left:0.00pt;mso-wrap-distance-top:0.00pt;mso-wrap-distance-right:0.00pt;mso-wrap-distance-bottom:0.00pt;rotation:0;z-index:1;" stroked="false">
                      <v:imagedata r:id="rId17" o:title=""/>
                      <o:lock v:ext="edit" rotation="t"/>
                    </v:shape>
                  </w:pict>
                </mc:Fallback>
              </mc:AlternateConten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1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về căn hộ</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xây dựng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sàn (m²):</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15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tầng: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08/25</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Loại căn hộ</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thường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cửa: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Bắc</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ban công: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Cấu trúc: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 phòng ngủ, 2 nhà vệ sinh, phòng khách + nhà bếp</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Nội thất:</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Nội thất cơ bản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1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bl>
    <w:p>
      <w:pPr>
        <w:pBdr/>
        <w:spacing w:line="235" w:lineRule="auto"/>
        <w:ind w:left="646"/>
        <w:jc w:val="both"/>
        <w:rPr>
          <w:sz w:val="14"/>
          <w:szCs w:val="14"/>
          <w:u w:val="single"/>
        </w:rPr>
      </w:pPr>
      <w:r>
        <w:rPr>
          <w:sz w:val="14"/>
          <w:szCs w:val="14"/>
          <w:u w:val="single"/>
        </w:rPr>
      </w:r>
      <w:r>
        <w:rPr>
          <w:sz w:val="14"/>
          <w:szCs w:val="14"/>
          <w:u w:val="single"/>
        </w:rPr>
      </w:r>
      <w:r>
        <w:rPr>
          <w:sz w:val="14"/>
          <w:szCs w:val="14"/>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ayout w:type="fixed"/>
        <w:tblLook w:val="04A0" w:firstRow="1" w:lastRow="0" w:firstColumn="1" w:lastColumn="0" w:noHBand="0" w:noVBand="1"/>
      </w:tblPr>
      <w:tblGrid>
        <w:gridCol w:w="738"/>
        <w:gridCol w:w="2070"/>
        <w:gridCol w:w="1937"/>
        <w:gridCol w:w="2160"/>
        <w:gridCol w:w="1371"/>
        <w:gridCol w:w="1631"/>
      </w:tblGrid>
      <w:tr>
        <w:trPr>
          <w:jc w:val="center"/>
        </w:trPr>
        <w:tc>
          <w:tcPr>
            <w:tcBorders/>
            <w:tcW w:w="738" w:type="dxa"/>
            <w:vAlign w:val="center"/>
            <w:textDirection w:val="lrTb"/>
            <w:noWrap w:val="false"/>
          </w:tcPr>
          <w:p>
            <w:pPr>
              <w:pBdr/>
              <w:spacing/>
              <w:ind/>
              <w:jc w:val="center"/>
              <w:rPr>
                <w:b/>
                <w:bCs/>
              </w:rPr>
            </w:pPr>
            <w:r>
              <w:rPr>
                <w:b/>
                <w:bCs/>
              </w:rPr>
              <w:t xml:space="preserve">TT</w:t>
            </w:r>
            <w:r>
              <w:rPr>
                <w:b/>
                <w:bCs/>
              </w:rPr>
            </w:r>
            <w:r>
              <w:rPr>
                <w:b/>
                <w:bCs/>
              </w:rPr>
            </w:r>
          </w:p>
        </w:tc>
        <w:tc>
          <w:tcPr>
            <w:tcBorders/>
            <w:tcW w:w="2070"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937"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160"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631"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738" w:type="dxa"/>
            <w:vAlign w:val="center"/>
            <w:textDirection w:val="lrTb"/>
            <w:noWrap w:val="false"/>
          </w:tcPr>
          <w:p>
            <w:pPr>
              <w:pBdr/>
              <w:spacing/>
              <w:ind/>
              <w:jc w:val="center"/>
              <w:rPr/>
            </w:pPr>
            <w:r>
              <w:t xml:space="preserve">1</w:t>
            </w:r>
            <w:r/>
          </w:p>
        </w:tc>
        <w:tc>
          <w:tcPr>
            <w:tcBorders/>
            <w:tcW w:w="2070" w:type="dxa"/>
            <w:vAlign w:val="center"/>
            <w:textDirection w:val="lrTb"/>
            <w:noWrap w:val="false"/>
          </w:tcPr>
          <w:p>
            <w:pPr>
              <w:pBdr/>
              <w:spacing/>
              <w:ind/>
              <w:jc w:val="both"/>
              <w:rPr/>
            </w:pPr>
            <w:r>
              <w:t xml:space="preserve">Địa chỉ</w:t>
            </w:r>
            <w:r/>
          </w:p>
        </w:tc>
        <w:tc>
          <w:tcPr>
            <w:tcBorders/>
            <w:tcW w:w="1937" w:type="dxa"/>
            <w:vAlign w:val="center"/>
            <w:textDirection w:val="lrTb"/>
            <w:noWrap w:val="false"/>
          </w:tcPr>
          <w:p>
            <w:pPr>
              <w:pBdr/>
              <w:spacing/>
              <w:ind/>
              <w:jc w:val="center"/>
              <w:rPr/>
            </w:pPr>
            <w:r>
              <w:t xml:space="preserve">Nhà 25T1 - Lô đất N05 - khu đô thị Đông Nam đường Trần Duy Hưng, phường Trung Hòa, quận Cầu Giấy, thành phố Hà Nội. </w:t>
            </w:r>
            <w:r/>
          </w:p>
        </w:tc>
        <w:tc>
          <w:tcPr>
            <w:tcBorders/>
            <w:tcW w:w="2160" w:type="dxa"/>
            <w:vAlign w:val="center"/>
            <w:textDirection w:val="lrTb"/>
            <w:noWrap w:val="false"/>
          </w:tcPr>
          <w:p>
            <w:pPr>
              <w:pBdr/>
              <w:spacing/>
              <w:ind/>
              <w:jc w:val="center"/>
              <w:rPr/>
            </w:pPr>
            <w:r>
              <w:t xml:space="preserve">Nhà 25T1 - Lô đất N05 - khu đô thị Đông Nam đường Trần Duy Hưng, phường Trung Hòa, quận Cầu Giấy, thành phố Hà Nội.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2</w:t>
            </w:r>
            <w:r/>
          </w:p>
        </w:tc>
        <w:tc>
          <w:tcPr>
            <w:tcBorders/>
            <w:tcW w:w="2070" w:type="dxa"/>
            <w:vAlign w:val="center"/>
            <w:textDirection w:val="lrTb"/>
            <w:noWrap w:val="false"/>
          </w:tcPr>
          <w:p>
            <w:pPr>
              <w:pBdr/>
              <w:spacing/>
              <w:ind/>
              <w:jc w:val="both"/>
              <w:rPr/>
            </w:pPr>
            <w:r>
              <w:t xml:space="preserve">Pháp lý</w:t>
            </w:r>
            <w:r/>
          </w:p>
        </w:tc>
        <w:tc>
          <w:tcPr>
            <w:tcBorders/>
            <w:tcW w:w="1937"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160"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3</w:t>
            </w:r>
            <w:r/>
          </w:p>
        </w:tc>
        <w:tc>
          <w:tcPr>
            <w:tcBorders/>
            <w:tcW w:w="2070" w:type="dxa"/>
            <w:vAlign w:val="center"/>
            <w:textDirection w:val="lrTb"/>
            <w:noWrap w:val="false"/>
          </w:tcPr>
          <w:p>
            <w:pPr>
              <w:pBdr/>
              <w:spacing/>
              <w:ind/>
              <w:jc w:val="both"/>
              <w:rPr/>
            </w:pPr>
            <w:r>
              <w:t xml:space="preserve">Loại tài sản</w:t>
            </w:r>
            <w:r/>
          </w:p>
        </w:tc>
        <w:tc>
          <w:tcPr>
            <w:tcBorders/>
            <w:tcW w:w="1937" w:type="dxa"/>
            <w:vAlign w:val="center"/>
            <w:textDirection w:val="lrTb"/>
            <w:noWrap w:val="false"/>
          </w:tcPr>
          <w:p>
            <w:pPr>
              <w:pBdr/>
              <w:spacing/>
              <w:ind/>
              <w:jc w:val="center"/>
              <w:rPr/>
            </w:pPr>
            <w:r>
              <w:t xml:space="preserve">Căn hộ chung cư</w:t>
            </w:r>
            <w:r/>
          </w:p>
        </w:tc>
        <w:tc>
          <w:tcPr>
            <w:tcBorders/>
            <w:tcW w:w="2160" w:type="dxa"/>
            <w:vAlign w:val="center"/>
            <w:textDirection w:val="lrTb"/>
            <w:noWrap w:val="false"/>
          </w:tcPr>
          <w:p>
            <w:pPr>
              <w:pBdr/>
              <w:spacing/>
              <w:ind/>
              <w:jc w:val="center"/>
              <w:rPr/>
            </w:pPr>
            <w:r>
              <w:t xml:space="preserve">Căn hộ chung cư</w:t>
            </w:r>
            <w:r/>
            <w:r/>
            <w:r>
              <w:t xml:space="preserve"> ✔</w:t>
            </w:r>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4</w:t>
            </w:r>
            <w:r/>
          </w:p>
        </w:tc>
        <w:tc>
          <w:tcPr>
            <w:tcBorders/>
            <w:tcW w:w="2070" w:type="dxa"/>
            <w:vAlign w:val="center"/>
            <w:textDirection w:val="lrTb"/>
            <w:noWrap w:val="false"/>
          </w:tcPr>
          <w:p>
            <w:pPr>
              <w:pBdr/>
              <w:spacing/>
              <w:ind/>
              <w:jc w:val="both"/>
              <w:rPr/>
            </w:pPr>
            <w:r>
              <w:t xml:space="preserve">Diện tích</w:t>
            </w:r>
            <w:r/>
          </w:p>
        </w:tc>
        <w:tc>
          <w:tcPr>
            <w:tcBorders/>
            <w:tcW w:w="1937" w:type="dxa"/>
            <w:vAlign w:val="center"/>
            <w:textDirection w:val="lrTb"/>
            <w:noWrap w:val="false"/>
          </w:tcPr>
          <w:p>
            <w:pPr>
              <w:pBdr/>
              <w:spacing/>
              <w:ind/>
              <w:jc w:val="center"/>
              <w:rPr/>
            </w:pPr>
            <w:r>
              <w:t xml:space="preserve">162 ✔</w:t>
            </w:r>
            <w:r/>
          </w:p>
        </w:tc>
        <w:tc>
          <w:tcPr>
            <w:tcBorders/>
            <w:tcW w:w="2160" w:type="dxa"/>
            <w:vAlign w:val="center"/>
            <w:textDirection w:val="lrTb"/>
            <w:noWrap w:val="false"/>
          </w:tcPr>
          <w:p>
            <w:pPr>
              <w:pBdr/>
              <w:spacing/>
              <w:ind/>
              <w:jc w:val="center"/>
              <w:rPr/>
            </w:pPr>
            <w:r>
              <w:t xml:space="preserve">162 ✔</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5</w:t>
            </w:r>
            <w:r/>
          </w:p>
        </w:tc>
        <w:tc>
          <w:tcPr>
            <w:tcBorders/>
            <w:tcW w:w="2070" w:type="dxa"/>
            <w:vAlign w:val="center"/>
            <w:textDirection w:val="lrTb"/>
            <w:noWrap w:val="false"/>
          </w:tcPr>
          <w:p>
            <w:pPr>
              <w:pBdr/>
              <w:spacing/>
              <w:ind/>
              <w:jc w:val="both"/>
              <w:rPr/>
            </w:pPr>
            <w:r>
              <w:t xml:space="preserve">Mặt tiếp giáp</w:t>
            </w:r>
            <w:r/>
          </w:p>
        </w:tc>
        <w:tc>
          <w:tcPr>
            <w:tcBorders/>
            <w:tcW w:w="1937" w:type="dxa"/>
            <w:vAlign w:val="center"/>
            <w:textDirection w:val="lrTb"/>
            <w:noWrap w:val="false"/>
          </w:tcPr>
          <w:p>
            <w:pPr>
              <w:pBdr/>
              <w:spacing/>
              <w:ind/>
              <w:jc w:val="center"/>
              <w:rPr/>
            </w:pPr>
            <w:r>
              <w:t xml:space="preserve">Lô thường </w:t>
            </w:r>
            <w:r/>
          </w:p>
        </w:tc>
        <w:tc>
          <w:tcPr>
            <w:tcBorders/>
            <w:tcW w:w="2160" w:type="dxa"/>
            <w:vAlign w:val="center"/>
            <w:textDirection w:val="lrTb"/>
            <w:noWrap w:val="false"/>
          </w:tcPr>
          <w:p>
            <w:pPr>
              <w:pBdr/>
              <w:spacing/>
              <w:ind/>
              <w:jc w:val="center"/>
              <w:rPr/>
            </w:pPr>
            <w:r>
              <w:t xml:space="preserve">Lô thường ✔</w:t>
            </w:r>
            <w:r/>
          </w:p>
        </w:tc>
        <w:tc>
          <w:tcPr>
            <w:tcBorders/>
            <w:tcW w:w="1371" w:type="dxa"/>
            <w:vAlign w:val="center"/>
            <w:textDirection w:val="lrTb"/>
            <w:noWrap w:val="false"/>
          </w:tcPr>
          <w:p>
            <w:pPr>
              <w:pBdr/>
              <w:spacing/>
              <w:ind/>
              <w:jc w:val="center"/>
              <w:rPr/>
            </w:pPr>
            <w:r>
              <w:t xml:space="preserve">Không</w:t>
            </w:r>
            <w:r/>
            <w:r/>
            <w:r/>
            <w:r/>
            <w:r/>
          </w:p>
        </w:tc>
        <w:tc>
          <w:tcPr>
            <w:tcBorders/>
            <w:tcW w:w="1631" w:type="dxa"/>
            <w:vAlign w:val="center"/>
            <w:textDirection w:val="lrTb"/>
            <w:noWrap w:val="false"/>
          </w:tcPr>
          <w:p>
            <w:pPr>
              <w:pBdr/>
              <w:spacing/>
              <w:ind/>
              <w:jc w:val="center"/>
              <w:rPr/>
            </w:pPr>
            <w:r/>
            <w:r/>
          </w:p>
        </w:tc>
      </w:tr>
    </w:tbl>
    <w:p>
      <w:pPr>
        <w:pBdr/>
        <w:spacing w:line="235" w:lineRule="auto"/>
        <w:ind w:left="646"/>
        <w:jc w:val="both"/>
        <w:rPr>
          <w:sz w:val="12"/>
          <w:szCs w:val="12"/>
          <w:u w:val="single"/>
        </w:rPr>
      </w:pPr>
      <w:r>
        <w:rPr>
          <w:sz w:val="12"/>
          <w:szCs w:val="12"/>
          <w:u w:val="single"/>
        </w:rPr>
      </w:r>
      <w:r>
        <w:rPr>
          <w:sz w:val="12"/>
          <w:szCs w:val="12"/>
          <w:u w:val="single"/>
        </w:rPr>
      </w:r>
      <w:r>
        <w:rPr>
          <w:sz w:val="12"/>
          <w:szCs w:val="12"/>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highlight w:val="none"/>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highlight w:val="none"/>
          <w:lang w:val="pt-BR"/>
        </w:rPr>
      </w:r>
      <w:r>
        <w:rPr>
          <w:b/>
          <w:bCs/>
          <w:highlight w:val="none"/>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Ind w:w="-88" w:type="dxa"/>
        <w:tblW w:w="0" w:type="auto"/>
        <w:tblBorders/>
        <w:tblLayout w:type="fixed"/>
        <w:tblLook w:val="04A0" w:firstRow="1" w:lastRow="0" w:firstColumn="1" w:lastColumn="0" w:noHBand="0" w:noVBand="1"/>
      </w:tblPr>
      <w:tblGrid>
        <w:gridCol w:w="704"/>
        <w:gridCol w:w="2041"/>
        <w:gridCol w:w="1800"/>
        <w:gridCol w:w="1800"/>
        <w:gridCol w:w="1800"/>
        <w:gridCol w:w="1800"/>
      </w:tblGrid>
      <w:tr>
        <w:trPr>
          <w:trHeight w:val="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textDirection w:val="lrTb"/>
            <w:noWrap w:val="false"/>
          </w:tcPr>
          <w:p>
            <w:pPr>
              <w:pBdr/>
              <w:spacing/>
              <w:ind/>
              <w:jc w:val="both"/>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Phường Trung Hòa, Quận Cầu Giấy, Thành phố Hà Nội</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Phường Trung Hòa, Quận Cầu Giấy, Thành phố Hà Nội</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Phường Trung Hòa, Quận Cầu Giấy, Thành phố Hà Nội</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Phường Trung Hòa, Quận Cầu Giấy, Thành phố Hà Nội</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0966796078</w:t>
            </w:r>
            <w:r>
              <w:rPr>
                <w:sz w:val="22"/>
                <w:szCs w:val="22"/>
              </w:rPr>
              <w:t xml:space="preserve"> </w:t>
            </w:r>
            <w:r>
              <w:rPr>
                <w:sz w:val="22"/>
                <w:szCs w:val="22"/>
              </w:rPr>
              <w:br/>
              <w:t xml:space="preserve">(</w:t>
            </w:r>
            <w:r>
              <w:rPr>
                <w:sz w:val="22"/>
                <w:szCs w:val="22"/>
              </w:rPr>
              <w:t xml:space="preserve">Nga</w:t>
            </w:r>
            <w:r>
              <w:rPr>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0965066754</w:t>
            </w:r>
            <w:r>
              <w:rPr>
                <w:sz w:val="22"/>
                <w:szCs w:val="22"/>
              </w:rPr>
              <w:br/>
            </w:r>
            <w:r>
              <w:rPr>
                <w:sz w:val="22"/>
                <w:szCs w:val="22"/>
              </w:rPr>
              <w:t xml:space="preserve">(</w:t>
            </w:r>
            <w:r>
              <w:rPr>
                <w:sz w:val="22"/>
                <w:szCs w:val="22"/>
              </w:rPr>
              <w:t xml:space="preserve">Thuỳ</w:t>
            </w:r>
            <w:r>
              <w:rPr>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0961846766</w:t>
            </w:r>
            <w:r>
              <w:rPr>
                <w:sz w:val="22"/>
                <w:szCs w:val="22"/>
              </w:rPr>
              <w:br/>
            </w:r>
            <w:r>
              <w:rPr>
                <w:sz w:val="22"/>
                <w:szCs w:val="22"/>
              </w:rPr>
              <w:t xml:space="preserve">(</w:t>
            </w:r>
            <w:r>
              <w:rPr>
                <w:sz w:val="22"/>
                <w:szCs w:val="22"/>
              </w:rPr>
              <w:t xml:space="preserve">Hoàng Anh</w:t>
            </w:r>
            <w:r>
              <w:rPr>
                <w:sz w:val="22"/>
                <w:szCs w:val="22"/>
              </w:rPr>
              <w:t xml:space="preserve">)</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b w:val="0"/>
                <w:bCs w:val="0"/>
              </w:rPr>
            </w:pPr>
            <w:r>
              <w:rPr>
                <w:b w:val="0"/>
                <w:bCs w:val="0"/>
              </w:rPr>
            </w:r>
            <w:r>
              <w:rPr>
                <w:b w:val="0"/>
                <w:bCs w:val="0"/>
                <w:color w:val="000000"/>
              </w:rPr>
              <w:t xml:space="preserve">Căn hộ số 807 - Tầng 08 tại Nhà 25T1</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b w:val="0"/>
                <w:bCs w:val="0"/>
              </w:rPr>
            </w:pPr>
            <w:r>
              <w:rPr>
                <w:b w:val="0"/>
                <w:bCs w:val="0"/>
              </w:rPr>
            </w:r>
            <w:r>
              <w:rPr>
                <w:b w:val="0"/>
                <w:bCs w:val="0"/>
                <w:color w:val="000000"/>
              </w:rPr>
              <w:t xml:space="preserve">Căn hộ chung cư  tại Nhà 25T1</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b w:val="0"/>
                <w:bCs w:val="0"/>
              </w:rPr>
            </w:pPr>
            <w:r>
              <w:rPr>
                <w:b w:val="0"/>
                <w:bCs w:val="0"/>
              </w:rPr>
            </w:r>
            <w:r>
              <w:rPr>
                <w:b w:val="0"/>
                <w:bCs w:val="0"/>
                <w:color w:val="000000"/>
              </w:rPr>
              <w:t xml:space="preserve">Căn hộ chung cư  tại Nhà 25T1</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b w:val="0"/>
                <w:bCs w:val="0"/>
              </w:rPr>
            </w:pPr>
            <w:r>
              <w:rPr>
                <w:b w:val="0"/>
                <w:bCs w:val="0"/>
              </w:rPr>
            </w:r>
            <w:r>
              <w:rPr>
                <w:b w:val="0"/>
                <w:bCs w:val="0"/>
                <w:color w:val="000000"/>
              </w:rPr>
              <w:t xml:space="preserve">Căn hộ chung cư  tại Nhà 25T1</w:t>
            </w:r>
            <w:r>
              <w:rPr>
                <w:b w:val="0"/>
                <w:bCs w:val="0"/>
              </w:rPr>
            </w:r>
            <w:r>
              <w:rPr>
                <w:b w:val="0"/>
                <w:bCs w:val="0"/>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Diện tích căn hộ (m²)</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162</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181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159</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162</w:t>
            </w:r>
            <w:r>
              <w:rPr>
                <w:color w:val="000000"/>
                <w:sz w:val="22"/>
                <w:szCs w:val="22"/>
              </w:rPr>
            </w:r>
            <w:r>
              <w:rPr>
                <w:color w:val="000000"/>
                <w:sz w:val="22"/>
                <w:szCs w:val="22"/>
              </w:rPr>
            </w:r>
          </w:p>
        </w:tc>
      </w:tr>
      <w:tr>
        <w:trPr>
          <w:trHeight w:val="292"/>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pPr>
            <w:r>
              <w:rPr>
                <w:rFonts w:ascii="Times New Roman" w:hAnsi="Times New Roman" w:eastAsia="Times New Roman" w:cs="Times New Roman"/>
                <w:color w:val="000000"/>
                <w:sz w:val="22"/>
              </w:rPr>
              <w:t xml:space="preserve">Loại Căn</w:t>
            </w: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thường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thường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pPr>
            <w:r>
              <w:rPr>
                <w:rFonts w:ascii="Times New Roman" w:hAnsi="Times New Roman" w:eastAsia="Times New Roman" w:cs="Times New Roman"/>
                <w:color w:val="000000"/>
                <w:sz w:val="22"/>
              </w:rPr>
              <w:t xml:space="preserve">Tầng</w:t>
            </w: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08/25</w:t>
            </w: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Tầng trung (18 - 20)</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 (10 - 20)</w:t>
            </w: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thấp (5 - 8)</w:t>
            </w: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pPr>
            <w:r>
              <w:rPr>
                <w:rFonts w:ascii="Times New Roman" w:hAnsi="Times New Roman" w:eastAsia="Times New Roman" w:cs="Times New Roman"/>
                <w:color w:val="000000"/>
                <w:sz w:val="22"/>
              </w:rPr>
              <w:t xml:space="preserve">Hướng </w:t>
            </w: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 Đông Nam</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Đông Nam</w:t>
            </w: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 Đông Nam</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Đông Nam</w:t>
            </w: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pPr>
            <w:r>
              <w:rPr>
                <w:rFonts w:ascii="Times New Roman" w:hAnsi="Times New Roman" w:eastAsia="Times New Roman" w:cs="Times New Roman"/>
                <w:color w:val="000000"/>
                <w:sz w:val="22"/>
              </w:rPr>
              <w:t xml:space="preserve">Cấu trúc</w:t>
            </w: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Phòng Ngủ, 2 WC, 1 Bếp, 1 Khách</w:t>
            </w: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Phòng Ngủ, 2 WC, 1 Bếp, 1 Khách</w:t>
            </w: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Phòng Ngủ, 2 WC, 1 Bếp, 1 Khách</w:t>
            </w: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Phòng Ngủ, 2 WC, 1 Bếp, 1 Khách</w:t>
            </w: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21.700.000.000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16.850.000.000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15.714.000.000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19.530.000.000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15.165.000.000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14.142.600.000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22</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QSH CHCC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tcPr>
          <w:p>
            <w:pPr>
              <w:pBdr/>
              <w:spacing/>
              <w:ind/>
              <w:jc w:val="center"/>
              <w:rPr>
                <w:b/>
                <w:bCs/>
                <w:color w:val="000000"/>
                <w:sz w:val="22"/>
                <w:szCs w:val="22"/>
              </w:rPr>
            </w:pPr>
            <w:r>
              <w:rPr>
                <w:b/>
                <w:bCs/>
                <w:color w:val="000000" w:themeColor="text1"/>
                <w:sz w:val="22"/>
                <w:szCs w:val="22"/>
              </w:rPr>
              <w:t xml:space="preserve">107.900.552</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tcPr>
          <w:p>
            <w:pPr>
              <w:pBdr/>
              <w:spacing/>
              <w:ind/>
              <w:jc w:val="center"/>
              <w:rPr>
                <w:b/>
                <w:bCs/>
                <w:color w:val="000000"/>
                <w:sz w:val="22"/>
                <w:szCs w:val="22"/>
              </w:rPr>
            </w:pPr>
            <w:r>
              <w:rPr>
                <w:b/>
                <w:bCs/>
                <w:color w:val="000000" w:themeColor="text1"/>
                <w:sz w:val="22"/>
                <w:szCs w:val="22"/>
              </w:rPr>
              <w:t xml:space="preserve">95.377.358</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tcPr>
          <w:p>
            <w:pPr>
              <w:pBdr/>
              <w:spacing/>
              <w:ind/>
              <w:jc w:val="center"/>
              <w:rPr>
                <w:b/>
                <w:bCs/>
                <w:color w:val="000000"/>
                <w:sz w:val="22"/>
                <w:szCs w:val="22"/>
              </w:rPr>
            </w:pPr>
            <w:r>
              <w:rPr>
                <w:b/>
                <w:bCs/>
                <w:color w:val="000000" w:themeColor="text1"/>
                <w:sz w:val="22"/>
                <w:szCs w:val="22"/>
              </w:rPr>
              <w:t xml:space="preserve">87.300.000</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Vị trí căn hộ</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Vị trí tầng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252"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58"/>
        <w:gridCol w:w="1908"/>
        <w:gridCol w:w="1030"/>
        <w:gridCol w:w="1656"/>
        <w:gridCol w:w="1656"/>
        <w:gridCol w:w="1656"/>
        <w:gridCol w:w="1656"/>
      </w:tblGrid>
      <w:tr>
        <w:trPr>
          <w:trHeight w:val="20"/>
          <w:tblHeader/>
        </w:trPr>
        <w:tc>
          <w:tcPr>
            <w:shd w:val="clear" w:color="000000" w:fill="ffffff"/>
            <w:tcBorders/>
            <w:tcW w:w="558"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ĐVT</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558"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0"/>
                <w:szCs w:val="20"/>
              </w:rPr>
            </w:pPr>
            <w:r>
              <w:rPr>
                <w:color w:val="000000" w:themeColor="text1"/>
                <w:sz w:val="22"/>
                <w:szCs w:val="22"/>
              </w:rPr>
              <w:t xml:space="preserve">19.530.000.000</w:t>
            </w:r>
            <w:r>
              <w:rPr>
                <w:color w:val="000000"/>
                <w:sz w:val="20"/>
                <w:szCs w:val="20"/>
              </w:rPr>
            </w:r>
            <w:r>
              <w:rPr>
                <w:color w:val="000000"/>
                <w:sz w:val="20"/>
                <w:szCs w:val="20"/>
              </w:rPr>
            </w:r>
          </w:p>
        </w:tc>
        <w:tc>
          <w:tcPr>
            <w:shd w:val="clear" w:color="000000" w:fill="ffffff"/>
            <w:tcBorders/>
            <w:tcW w:w="1656" w:type="dxa"/>
            <w:vAlign w:val="center"/>
            <w:textDirection w:val="lrTb"/>
            <w:noWrap w:val="false"/>
          </w:tcPr>
          <w:p>
            <w:pPr>
              <w:pBdr/>
              <w:spacing/>
              <w:ind/>
              <w:jc w:val="center"/>
              <w:rPr>
                <w:color w:val="000000"/>
                <w:sz w:val="20"/>
                <w:szCs w:val="20"/>
              </w:rPr>
            </w:pPr>
            <w:r>
              <w:rPr>
                <w:color w:val="000000" w:themeColor="text1"/>
                <w:sz w:val="22"/>
                <w:szCs w:val="22"/>
              </w:rPr>
              <w:t xml:space="preserve">15.165.000.000</w:t>
            </w:r>
            <w:r>
              <w:rPr>
                <w:color w:val="000000"/>
                <w:sz w:val="20"/>
                <w:szCs w:val="20"/>
              </w:rPr>
            </w:r>
            <w:r>
              <w:rPr>
                <w:color w:val="000000"/>
                <w:sz w:val="20"/>
                <w:szCs w:val="20"/>
              </w:rPr>
            </w:r>
          </w:p>
        </w:tc>
        <w:tc>
          <w:tcPr>
            <w:shd w:val="clear" w:color="000000" w:fill="ffffff"/>
            <w:tcBorders/>
            <w:tcW w:w="1656" w:type="dxa"/>
            <w:vAlign w:val="center"/>
            <w:textDirection w:val="lrTb"/>
            <w:noWrap w:val="false"/>
          </w:tcPr>
          <w:p>
            <w:pPr>
              <w:pBdr/>
              <w:spacing/>
              <w:ind/>
              <w:jc w:val="center"/>
              <w:rPr>
                <w:color w:val="000000"/>
                <w:sz w:val="20"/>
                <w:szCs w:val="20"/>
              </w:rPr>
            </w:pPr>
            <w:r>
              <w:rPr>
                <w:color w:val="000000" w:themeColor="text1"/>
                <w:sz w:val="22"/>
                <w:szCs w:val="22"/>
              </w:rPr>
              <w:t xml:space="preserve">14.142.600.000</w:t>
            </w:r>
            <w:r>
              <w:rPr>
                <w:color w:val="000000"/>
                <w:sz w:val="20"/>
                <w:szCs w:val="20"/>
              </w:rPr>
            </w:r>
            <w:r>
              <w:rPr>
                <w:color w:val="000000"/>
                <w:sz w:val="20"/>
                <w:szCs w:val="20"/>
              </w:rPr>
            </w:r>
          </w:p>
        </w:tc>
      </w:tr>
      <w:tr>
        <w:trPr>
          <w:trHeight w:val="20"/>
        </w:trPr>
        <w:tc>
          <w:tcPr>
            <w:shd w:val="clear" w:color="000000" w:fill="ffffff"/>
            <w:tcBorders/>
            <w:tcW w:w="558"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107.900.552</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95.377.358</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87.300.000</w:t>
            </w:r>
            <w:r>
              <w:rPr>
                <w:color w:val="000000"/>
                <w:sz w:val="22"/>
                <w:szCs w:val="22"/>
              </w:rPr>
            </w:r>
            <w:r>
              <w:rPr>
                <w:color w:val="000000"/>
                <w:sz w:val="22"/>
                <w:szCs w:val="22"/>
              </w:rPr>
            </w:r>
          </w:p>
        </w:tc>
      </w:tr>
      <w:tr>
        <w:trPr>
          <w:trHeight w:val="20"/>
        </w:trPr>
        <w:tc>
          <w:tcPr>
            <w:shd w:val="clear" w:color="000000" w:fill="ffffff"/>
            <w:tcBorders/>
            <w:tcW w:w="558"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p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656" w:type="dxa"/>
            <w:vAlign w:val="center"/>
            <w:textDirection w:val="lrTb"/>
            <w:noWrap w:val="false"/>
          </w:tcPr>
          <w:p>
            <w:pPr>
              <w:pBdr/>
              <w:spacing/>
              <w:ind/>
              <w:jc w:val="center"/>
              <w:rPr/>
            </w:p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656" w:type="dxa"/>
            <w:vAlign w:val="center"/>
            <w:textDirection w:val="lrTb"/>
            <w:noWrap w:val="false"/>
          </w:tcPr>
          <w:p>
            <w:pPr>
              <w:pBdr/>
              <w:spacing/>
              <w:ind/>
              <w:jc w:val="center"/>
              <w:rPr/>
            </w:p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r>
              <w:rPr>
                <w:b/>
                <w:bCs/>
                <w:color w:val="000000"/>
                <w:sz w:val="22"/>
                <w:szCs w:val="22"/>
              </w:rPr>
            </w: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107.900.552</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95.377.358</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87.300.000</w:t>
            </w:r>
            <w:r>
              <w:rPr>
                <w:color w:val="000000"/>
                <w:sz w:val="22"/>
                <w:szCs w:val="22"/>
              </w:rPr>
            </w:r>
            <w:r>
              <w:rPr>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val="0"/>
                <w:bCs w:val="0"/>
              </w:rPr>
            </w:pPr>
            <w:r>
              <w:rPr>
                <w:b w:val="0"/>
                <w:bCs w:val="0"/>
              </w:rPr>
            </w:r>
            <w:r>
              <w:rPr>
                <w:b w:val="0"/>
                <w:bCs w:val="0"/>
                <w:color w:val="000000"/>
              </w:rPr>
              <w:t xml:space="preserve">Căn hộ số 807 - Tầng 08 tại Nhà 25T1</w:t>
            </w:r>
            <w:r>
              <w:rPr>
                <w:b w:val="0"/>
                <w:bCs w:val="0"/>
              </w:rPr>
            </w:r>
            <w:r>
              <w:rPr>
                <w:b w:val="0"/>
                <w:bCs w:val="0"/>
              </w:rPr>
            </w:r>
          </w:p>
        </w:tc>
        <w:tc>
          <w:tcPr>
            <w:shd w:val="clear" w:color="000000" w:fill="ffffff"/>
            <w:tcBorders/>
            <w:tcW w:w="1656" w:type="dxa"/>
            <w:vAlign w:val="center"/>
            <w:textDirection w:val="lrTb"/>
            <w:noWrap w:val="false"/>
          </w:tcPr>
          <w:p>
            <w:pPr>
              <w:pBdr/>
              <w:spacing/>
              <w:ind/>
              <w:jc w:val="center"/>
              <w:rPr>
                <w:b w:val="0"/>
                <w:bCs w:val="0"/>
              </w:rPr>
            </w:pPr>
            <w:r>
              <w:rPr>
                <w:b w:val="0"/>
                <w:bCs w:val="0"/>
              </w:rPr>
            </w:r>
            <w:r>
              <w:rPr>
                <w:b w:val="0"/>
                <w:bCs w:val="0"/>
                <w:color w:val="000000"/>
              </w:rPr>
              <w:t xml:space="preserve">Căn hộ chung cư  tại Nhà 25T1</w:t>
            </w:r>
            <w:r>
              <w:rPr>
                <w:b w:val="0"/>
                <w:bCs w:val="0"/>
              </w:rPr>
            </w:r>
            <w:r>
              <w:rPr>
                <w:b w:val="0"/>
                <w:bCs w:val="0"/>
              </w:rPr>
            </w:r>
          </w:p>
        </w:tc>
        <w:tc>
          <w:tcPr>
            <w:shd w:val="clear" w:color="000000" w:fill="ffffff"/>
            <w:tcBorders/>
            <w:tcW w:w="1656" w:type="dxa"/>
            <w:vAlign w:val="center"/>
            <w:textDirection w:val="lrTb"/>
            <w:noWrap w:val="false"/>
          </w:tcPr>
          <w:p>
            <w:pPr>
              <w:pBdr/>
              <w:spacing/>
              <w:ind/>
              <w:jc w:val="center"/>
              <w:rPr>
                <w:b w:val="0"/>
                <w:bCs w:val="0"/>
              </w:rPr>
            </w:pPr>
            <w:r>
              <w:rPr>
                <w:b w:val="0"/>
                <w:bCs w:val="0"/>
              </w:rPr>
            </w:r>
            <w:r>
              <w:rPr>
                <w:b w:val="0"/>
                <w:bCs w:val="0"/>
                <w:color w:val="000000"/>
              </w:rPr>
              <w:t xml:space="preserve">Căn hộ chung cư  tại Nhà 25T1</w:t>
            </w:r>
            <w:r>
              <w:rPr>
                <w:b w:val="0"/>
                <w:bCs w:val="0"/>
              </w:rPr>
            </w:r>
            <w:r>
              <w:rPr>
                <w:b w:val="0"/>
                <w:bCs w:val="0"/>
              </w:rPr>
            </w:r>
          </w:p>
        </w:tc>
        <w:tc>
          <w:tcPr>
            <w:shd w:val="clear" w:color="000000" w:fill="ffffff"/>
            <w:tcBorders/>
            <w:tcW w:w="1656" w:type="dxa"/>
            <w:vAlign w:val="center"/>
            <w:textDirection w:val="lrTb"/>
            <w:noWrap w:val="false"/>
          </w:tcPr>
          <w:p>
            <w:pPr>
              <w:pBdr/>
              <w:spacing/>
              <w:ind/>
              <w:jc w:val="center"/>
              <w:rPr>
                <w:b w:val="0"/>
                <w:bCs w:val="0"/>
              </w:rPr>
            </w:pPr>
            <w:r>
              <w:rPr>
                <w:b w:val="0"/>
                <w:bCs w:val="0"/>
              </w:rPr>
            </w:r>
            <w:r>
              <w:rPr>
                <w:b w:val="0"/>
                <w:bCs w:val="0"/>
                <w:color w:val="000000"/>
              </w:rPr>
              <w:t xml:space="preserve">Căn hộ chung cư  tại Nhà 25T1</w:t>
            </w:r>
            <w:r>
              <w:rPr>
                <w:b w:val="0"/>
                <w:bCs w:val="0"/>
              </w:rPr>
            </w:r>
            <w:r>
              <w:rPr>
                <w:b w:val="0"/>
                <w:bCs w:val="0"/>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107.900.552</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95.377.358</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87.300.000</w:t>
            </w:r>
            <w:r>
              <w:rPr>
                <w:color w:val="000000"/>
                <w:sz w:val="22"/>
                <w:szCs w:val="22"/>
              </w:rPr>
            </w:r>
            <w:r>
              <w:rPr>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107.900.552</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95.377.358</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87.300.000</w:t>
            </w:r>
            <w:r>
              <w:rPr>
                <w:color w:val="000000"/>
                <w:sz w:val="22"/>
                <w:szCs w:val="22"/>
              </w:rPr>
            </w:r>
            <w:r>
              <w:rPr>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107.900.552</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95.377.358</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87.300.000</w:t>
            </w:r>
            <w:r>
              <w:rPr>
                <w:color w:val="000000"/>
                <w:sz w:val="22"/>
                <w:szCs w:val="22"/>
              </w:rPr>
            </w:r>
            <w:r>
              <w:rPr>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Diện tích căn hộ</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162</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181</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159</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162</w:t>
            </w:r>
            <w:r>
              <w:rPr>
                <w:b/>
                <w:bCs/>
                <w:color w:val="000000"/>
                <w:sz w:val="22"/>
                <w:szCs w:val="22"/>
              </w:rPr>
            </w:r>
            <w:r>
              <w:rPr>
                <w:b/>
                <w:bCs/>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2.158.011</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110.058.563</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95.377.358</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87.300.000</w:t>
            </w:r>
            <w:r>
              <w:rPr>
                <w:color w:val="000000"/>
                <w:sz w:val="22"/>
                <w:szCs w:val="22"/>
              </w:rPr>
            </w:r>
            <w:r>
              <w:rPr>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 căn hộ</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shd w:val="clear" w:color="000000" w:fill="ffffff"/>
            <w:tcBorders/>
            <w:tcW w:w="1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c>
          <w:tcPr>
            <w:shd w:val="clear" w:color="000000" w:fill="ffffff"/>
            <w:tcBorders/>
            <w:tcW w:w="1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thường</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thường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-10.790.055</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99.268.508</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95.377.358</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87.300.000</w:t>
            </w:r>
            <w:r>
              <w:rPr>
                <w:color w:val="000000"/>
                <w:sz w:val="22"/>
                <w:szCs w:val="22"/>
              </w:rPr>
            </w:r>
            <w:r>
              <w:rPr>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 Bắc</w:t>
            </w:r>
            <w:r>
              <w:rPr>
                <w:b/>
                <w:bCs/>
                <w:color w:val="000000"/>
                <w:sz w:val="22"/>
                <w:szCs w:val="22"/>
              </w:rPr>
            </w:r>
            <w:r>
              <w:rPr>
                <w:b/>
                <w:bCs/>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6.111.000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99.268.508</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95.377.358</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93.411.000</w:t>
            </w:r>
            <w:r>
              <w:rPr>
                <w:color w:val="000000"/>
                <w:sz w:val="22"/>
                <w:szCs w:val="22"/>
              </w:rPr>
            </w:r>
            <w:r>
              <w:rPr>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 tầng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08/25</w:t>
            </w:r>
            <w:r/>
          </w:p>
        </w:tc>
        <w:tc>
          <w:tcPr>
            <w:shd w:val="clear" w:color="000000" w:fill="ffffff"/>
            <w:tcBorders/>
            <w:tcW w:w="1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Tầng trung (18 - 20)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 (10 - 20)</w:t>
            </w:r>
            <w:r/>
          </w:p>
        </w:tc>
        <w:tc>
          <w:tcPr>
            <w:shd w:val="clear" w:color="000000" w:fill="ffffff"/>
            <w:tcBorders/>
            <w:tcW w:w="1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thấp (5 - 8)</w:t>
            </w: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-5.395.028</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-4.768.868</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1.746.000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93.873.480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90.608.490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95.157.000</w:t>
            </w:r>
            <w:r>
              <w:rPr>
                <w:color w:val="000000"/>
                <w:sz w:val="22"/>
                <w:szCs w:val="22"/>
              </w:rPr>
            </w:r>
            <w:r>
              <w:rPr>
                <w:color w:val="000000"/>
                <w:sz w:val="22"/>
                <w:szCs w:val="22"/>
              </w:rPr>
            </w:r>
          </w:p>
        </w:tc>
      </w:tr>
      <w:tr>
        <w:trPr>
          <w:trHeight w:val="20"/>
        </w:trPr>
        <w:tc>
          <w:tcPr>
            <w:shd w:val="clear" w:color="000000" w:fill="ffffff"/>
            <w:tcBorders/>
            <w:tcW w:w="558"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08" w:type="dxa"/>
            <w:vAlign w:val="center"/>
            <w:textDirection w:val="lrTb"/>
            <w:noWrap/>
          </w:tcPr>
          <w:p>
            <w:pPr>
              <w:pBdr/>
              <w:spacing/>
              <w:ind/>
              <w:jc w:val="both"/>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65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93.873.480</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90.608.490</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95.157.000</w:t>
            </w:r>
            <w:r>
              <w:rPr>
                <w:b/>
                <w:bCs/>
                <w:color w:val="000000"/>
                <w:sz w:val="22"/>
                <w:szCs w:val="22"/>
              </w:rPr>
            </w:r>
            <w:r>
              <w:rPr>
                <w:b/>
                <w:bCs/>
                <w:color w:val="000000"/>
                <w:sz w:val="22"/>
                <w:szCs w:val="22"/>
              </w:rPr>
            </w:r>
          </w:p>
        </w:tc>
      </w:tr>
      <w:tr>
        <w:trPr>
          <w:gridAfter w:val="2"/>
          <w:trHeight w:val="20"/>
        </w:trPr>
        <w:tc>
          <w:tcPr>
            <w:shd w:val="clear" w:color="000000" w:fill="ffffff"/>
            <w:tcBorders/>
            <w:tcW w:w="558"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93.212.990</w:t>
            </w:r>
            <w:r>
              <w:rPr>
                <w:b/>
                <w:bCs/>
                <w:color w:val="000000"/>
                <w:sz w:val="22"/>
                <w:szCs w:val="22"/>
              </w:rPr>
            </w:r>
            <w:r>
              <w:rPr>
                <w:b/>
                <w:bCs/>
                <w:color w:val="000000"/>
                <w:sz w:val="22"/>
                <w:szCs w:val="22"/>
              </w:rPr>
            </w:r>
          </w:p>
        </w:tc>
      </w:tr>
      <w:tr>
        <w:trPr>
          <w:trHeight w:val="20"/>
        </w:trPr>
        <w:tc>
          <w:tcPr>
            <w:shd w:val="clear" w:color="000000" w:fill="ffffff"/>
            <w:tcBorders/>
            <w:tcW w:w="558"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0.71%</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-2.79%</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2.09%</w:t>
            </w:r>
            <w:r>
              <w:rPr>
                <w:color w:val="000000"/>
                <w:sz w:val="22"/>
                <w:szCs w:val="22"/>
              </w:rPr>
            </w:r>
            <w:r>
              <w:rPr>
                <w:color w:val="000000"/>
                <w:sz w:val="22"/>
                <w:szCs w:val="22"/>
              </w:rPr>
            </w:r>
          </w:p>
        </w:tc>
      </w:tr>
      <w:tr>
        <w:trPr>
          <w:trHeight w:val="20"/>
        </w:trPr>
        <w:tc>
          <w:tcPr>
            <w:shd w:val="clear" w:color="000000" w:fill="ffffff"/>
            <w:tcBorders/>
            <w:tcW w:w="558"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562" w:type="dxa"/>
            <w:vAlign w:val="center"/>
            <w:textDirection w:val="lrTb"/>
            <w:noWrap w:val="false"/>
          </w:tcPr>
          <w:p>
            <w:pPr>
              <w:pBdr/>
              <w:spacing/>
              <w:ind/>
              <w:jc w:val="both"/>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558"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18.343.094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4.768.868</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7.857.000</w:t>
            </w:r>
            <w:r>
              <w:rPr>
                <w:b/>
                <w:bCs/>
                <w:color w:val="000000"/>
                <w:sz w:val="22"/>
                <w:szCs w:val="22"/>
              </w:rPr>
            </w:r>
            <w:r>
              <w:rPr>
                <w:b/>
                <w:bCs/>
                <w:color w:val="000000"/>
                <w:sz w:val="22"/>
                <w:szCs w:val="22"/>
              </w:rPr>
            </w:r>
          </w:p>
        </w:tc>
      </w:tr>
      <w:tr>
        <w:trPr>
          <w:trHeight w:val="20"/>
        </w:trPr>
        <w:tc>
          <w:tcPr>
            <w:shd w:val="clear" w:color="000000" w:fill="ffffff"/>
            <w:tcBorders/>
            <w:tcW w:w="558"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558"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r>
      <w:tr>
        <w:trPr>
          <w:trHeight w:val="20"/>
        </w:trPr>
        <w:tc>
          <w:tcPr>
            <w:shd w:val="clear" w:color="000000" w:fill="ffffff"/>
            <w:tcBorders/>
            <w:tcW w:w="558"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14.027.072</w:t>
            </w:r>
            <w:r>
              <w:rPr>
                <w:sz w:val="22"/>
                <w:szCs w:val="22"/>
              </w:rPr>
            </w:r>
            <w:r>
              <w:rPr>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4.768.868</w:t>
            </w:r>
            <w:r>
              <w:rPr>
                <w:sz w:val="22"/>
                <w:szCs w:val="22"/>
              </w:rPr>
            </w:r>
            <w:r>
              <w:rPr>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7.857.000</w:t>
            </w:r>
            <w:r>
              <w:rPr>
                <w:sz w:val="22"/>
                <w:szCs w:val="22"/>
              </w:rPr>
            </w:r>
            <w:r>
              <w:rPr>
                <w:sz w:val="22"/>
                <w:szCs w:val="22"/>
              </w:rPr>
            </w:r>
          </w:p>
        </w:tc>
      </w:tr>
    </w:tbl>
    <w:p>
      <w:pPr>
        <w:pBdr/>
        <w:spacing w:after="120" w:before="120" w:line="276" w:lineRule="auto"/>
        <w:ind/>
        <w:jc w:val="both"/>
        <w:rPr>
          <w:b/>
          <w:bCs/>
          <w:i/>
          <w:iCs/>
          <w:u w:val="single"/>
        </w:rPr>
      </w:pPr>
      <w:r>
        <w:rPr>
          <w:i/>
          <w:iCs/>
          <w:u w:val="single"/>
        </w:rPr>
        <w:t xml:space="preserve"> </w:t>
      </w:r>
      <w:r>
        <w:rPr>
          <w:b/>
          <w:bCs/>
          <w:i/>
          <w:iCs/>
        </w:rPr>
      </w:r>
      <w:r>
        <w:rPr>
          <w:b/>
          <w:bCs/>
          <w:i/>
          <w:iCs/>
          <w:u w:val="single"/>
        </w:rPr>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highlight w:val="none"/>
        </w:rPr>
      </w:r>
      <w:r>
        <w:rPr>
          <w:b/>
          <w:bCs/>
          <w:i/>
          <w:iCs/>
          <w:u w:val="single"/>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-2.79</w:t>
      </w:r>
      <w:r>
        <w:t xml:space="preserve">% </w:t>
      </w:r>
      <w:r>
        <w:t xml:space="preserve">đến</w:t>
      </w:r>
      <w:r>
        <w:t xml:space="preserve"> </w:t>
      </w:r>
      <w:r>
        <w:t xml:space="preserve"> </w:t>
      </w:r>
      <w:r>
        <w:t xml:space="preserve">2.09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4982" w:type="pct"/>
        <w:tblBorders/>
        <w:tblLayout w:type="fixed"/>
        <w:tblLook w:val="04A0" w:firstRow="1" w:lastRow="0" w:firstColumn="1" w:lastColumn="0" w:noHBand="0" w:noVBand="1"/>
      </w:tblPr>
      <w:tblGrid>
        <w:gridCol w:w="648"/>
        <w:gridCol w:w="1890"/>
        <w:gridCol w:w="1908"/>
        <w:gridCol w:w="2358"/>
        <w:gridCol w:w="3060"/>
      </w:tblGrid>
      <w:tr>
        <w:trPr>
          <w:trHeight w:val="0"/>
        </w:trPr>
        <w:tc>
          <w:tcPr>
            <w:tcBorders>
              <w:top w:val="single" w:color="auto"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908" w:type="dxa"/>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358" w:type="dxa"/>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pPr>
              <w:pBdr/>
              <w:spacing/>
              <w:ind/>
              <w:jc w:val="center"/>
              <w:rPr>
                <w:color w:val="000000"/>
              </w:rPr>
            </w:pPr>
            <w:r>
              <w:rPr>
                <w:color w:val="000000"/>
              </w:rPr>
              <w:t xml:space="preserve">93.873.480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58" w:type="dxa"/>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color w:val="000000"/>
              </w:rPr>
            </w:pPr>
            <w:r>
              <w:rPr>
                <w:color w:val="000000"/>
              </w:rPr>
              <w:t xml:space="preserve">31.297.418</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pPr>
              <w:pBdr/>
              <w:spacing/>
              <w:ind/>
              <w:jc w:val="center"/>
              <w:rPr>
                <w:color w:val="000000"/>
              </w:rPr>
            </w:pPr>
            <w:r>
              <w:rPr>
                <w:color w:val="000000"/>
              </w:rPr>
              <w:t xml:space="preserve">90.608.490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58"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color w:val="000000"/>
              </w:rPr>
            </w:pPr>
            <w:r>
              <w:rPr>
                <w:color w:val="000000"/>
              </w:rPr>
              <w:t xml:space="preserve">30.199.810</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pPr>
              <w:pBdr/>
              <w:spacing/>
              <w:ind/>
              <w:jc w:val="center"/>
              <w:rPr>
                <w:color w:val="000000"/>
              </w:rPr>
            </w:pPr>
            <w:r>
              <w:rPr>
                <w:color w:val="000000"/>
              </w:rPr>
              <w:t xml:space="preserve">95.157.000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58"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color w:val="000000"/>
              </w:rPr>
            </w:pPr>
            <w:r>
              <w:rPr>
                <w:color w:val="000000"/>
              </w:rPr>
              <w:t xml:space="preserve">31.715.828</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804"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b/>
                <w:bCs/>
                <w:color w:val="000000"/>
              </w:rPr>
            </w:pPr>
            <w:r>
              <w:rPr>
                <w:b/>
                <w:bCs/>
                <w:color w:val="000000" w:themeColor="text1"/>
                <w:lang w:val="vi-VN"/>
              </w:rPr>
              <w:t xml:space="preserve">93.213.056</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804" w:type="dxa"/>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b/>
                <w:bCs/>
                <w:color w:val="000000"/>
              </w:rPr>
            </w:pPr>
            <w:r>
              <w:rPr>
                <w:b/>
                <w:bCs/>
                <w:color w:val="000000" w:themeColor="text1"/>
                <w:lang w:val="vi-VN"/>
              </w:rPr>
              <w:t xml:space="preserve">93.000.000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93.000.000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18"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58"/>
        <w:gridCol w:w="2538"/>
        <w:gridCol w:w="1873"/>
        <w:gridCol w:w="2683"/>
        <w:gridCol w:w="2284"/>
      </w:tblGrid>
      <w:tr>
        <w:trPr>
          <w:trHeight w:val="20"/>
        </w:trPr>
        <w:tc>
          <w:tcPr>
            <w:shd w:val="clear" w:color="000000" w:fill="ffffff"/>
            <w:tcBorders/>
            <w:tcW w:w="55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3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73"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83"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8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094"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số 807 - Tầng 08 tại tờ bản đồ số: 00 có địa chỉ: Nhà 25T1 - Lô đất N05 - Khu đô thị Đông Nam đường Trần Duy Hưng, phường Trung Hoà, quận Cầu Giấy, thành phố Hà Nội (nay là phường Thanh Xuân, thành phố Hà </w:t>
            </w:r>
            <w:r>
              <w:rPr>
                <w:bCs/>
                <w:color w:val="000000" w:themeColor="text1"/>
                <w:lang w:val="pt-BR"/>
              </w:rPr>
              <w:t xml:space="preserve">Nội) theo Giấy chứng nhận Quyền sử dụng đất, quyền sở hữu nhà ở và tài sản khác gắn liền với đất số: BU 411139, số vào sổ cấp GCN: CH 1129/QĐ - UBND/2014/5701 do UBND quận Cầu Giấy cấp ngày 15/04/2014; Chủ tài sản là ông Đỗ Trọng Quỳnh và bà Nguyễn Thị Hoa</w:t>
            </w:r>
            <w:r>
              <w:rPr>
                <w:bCs/>
                <w:spacing w:val="2"/>
              </w:rPr>
              <w:t xml:space="preserve">.</w:t>
            </w:r>
            <w:r>
              <w:rPr>
                <w:b/>
                <w:bCs/>
                <w:spacing w:val="2"/>
                <w:lang w:val="vi-VN"/>
              </w:rPr>
            </w:r>
            <w:r>
              <w:rPr>
                <w:b/>
                <w:bCs/>
                <w:spacing w:val="2"/>
                <w:lang w:val="vi-VN"/>
              </w:rPr>
            </w:r>
          </w:p>
        </w:tc>
        <w:tc>
          <w:tcPr>
            <w:shd w:val="clear" w:color="000000" w:fill="ffffff"/>
            <w:tcBorders/>
            <w:tcW w:w="228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538" w:type="dxa"/>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1873" w:type="dxa"/>
            <w:vAlign w:val="center"/>
            <w:textDirection w:val="lrTb"/>
            <w:noWrap/>
          </w:tcPr>
          <w:p>
            <w:pPr>
              <w:pBdr/>
              <w:spacing w:after="40" w:before="40" w:line="288" w:lineRule="auto"/>
              <w:ind/>
              <w:jc w:val="center"/>
              <w:rPr>
                <w:color w:val="000000"/>
              </w:rPr>
            </w:pPr>
            <w:r>
              <w:rPr>
                <w:color w:val="000000" w:themeColor="text1"/>
              </w:rPr>
              <w:t xml:space="preserve">162</w:t>
            </w:r>
            <w:r>
              <w:rPr>
                <w:color w:val="000000"/>
              </w:rPr>
            </w:r>
            <w:r>
              <w:rPr>
                <w:color w:val="000000"/>
              </w:rPr>
            </w:r>
          </w:p>
        </w:tc>
        <w:tc>
          <w:tcPr>
            <w:shd w:val="clear" w:color="000000" w:fill="ffffff"/>
            <w:tcBorders/>
            <w:tcW w:w="2683" w:type="dxa"/>
            <w:vAlign w:val="center"/>
            <w:textDirection w:val="lrTb"/>
            <w:noWrap w:val="false"/>
          </w:tcPr>
          <w:p>
            <w:pPr>
              <w:pBdr/>
              <w:spacing w:after="40" w:before="40" w:line="288" w:lineRule="auto"/>
              <w:ind/>
              <w:jc w:val="center"/>
              <w:rPr/>
            </w:pPr>
            <w:r>
              <w:rPr>
                <w:color w:val="000000" w:themeColor="text1"/>
              </w:rPr>
              <w:t xml:space="preserve">93.000.000</w:t>
            </w:r>
            <w:r/>
          </w:p>
        </w:tc>
        <w:tc>
          <w:tcPr>
            <w:shd w:val="clear" w:color="000000" w:fill="ffffff"/>
            <w:tcBorders/>
            <w:tcW w:w="2284" w:type="dxa"/>
            <w:vAlign w:val="center"/>
            <w:textDirection w:val="lrTb"/>
            <w:noWrap w:val="false"/>
          </w:tcPr>
          <w:p>
            <w:pPr>
              <w:pBdr/>
              <w:spacing w:after="40" w:before="40" w:line="288" w:lineRule="auto"/>
              <w:ind/>
              <w:jc w:val="right"/>
              <w:rPr/>
            </w:pPr>
            <w:r>
              <w:rPr>
                <w:color w:val="000000" w:themeColor="text1"/>
              </w:rPr>
              <w:t xml:space="preserve">15.066.000.000</w:t>
            </w:r>
            <w:r/>
          </w:p>
        </w:tc>
      </w:tr>
      <w:tr>
        <w:trPr>
          <w:trHeight w:val="20"/>
        </w:trPr>
        <w:tc>
          <w:tcPr>
            <w:gridSpan w:val="4"/>
            <w:tcBorders/>
            <w:tcW w:w="765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84" w:type="dxa"/>
            <w:vAlign w:val="center"/>
            <w:textDirection w:val="lrTb"/>
            <w:noWrap/>
          </w:tcPr>
          <w:p>
            <w:pPr>
              <w:pBdr/>
              <w:spacing w:after="40" w:before="40" w:line="288" w:lineRule="auto"/>
              <w:ind/>
              <w:jc w:val="right"/>
              <w:rPr>
                <w:b/>
                <w:bCs/>
                <w:color w:val="000000"/>
              </w:rPr>
            </w:pPr>
            <w:r>
              <w:rPr>
                <w:b/>
                <w:bCs/>
              </w:rPr>
              <w:t xml:space="preserve">15.066.000.000</w:t>
            </w:r>
            <w:r>
              <w:rPr>
                <w:b/>
                <w:bCs/>
                <w:color w:val="000000"/>
              </w:rPr>
            </w:r>
            <w:r>
              <w:rPr>
                <w:b/>
                <w:bCs/>
                <w:color w:val="000000"/>
              </w:rPr>
            </w:r>
          </w:p>
        </w:tc>
      </w:tr>
      <w:tr>
        <w:trPr>
          <w:trHeight w:val="20"/>
        </w:trPr>
        <w:tc>
          <w:tcPr>
            <w:gridSpan w:val="5"/>
            <w:tcBorders/>
            <w:tcW w:w="9936"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lăm tỷ không trăm sáu mươi sáu triệu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highlight w:val="none"/>
          <w:lang w:val="pt-BR"/>
        </w:rPr>
      </w:r>
      <w:r>
        <w:rPr>
          <w:b/>
          <w:bCs/>
          <w:highlight w:val="none"/>
          <w:lang w:val="pt-BR"/>
        </w:rPr>
      </w:r>
      <w:r>
        <w:rPr>
          <w:b/>
          <w:bCs/>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highlight w:val="none"/>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275/2026/0363VFI-CT.17.A</w:t>
      </w:r>
      <w:r>
        <w:rPr>
          <w:color w:val="ff0000"/>
          <w:lang w:val="vi-VN"/>
        </w:rPr>
        <w:t xml:space="preserve"> </w:t>
      </w:r>
      <w:r>
        <w:rPr>
          <w:color w:val="000000" w:themeColor="text1"/>
        </w:rPr>
        <w:t xml:space="preserve">ngày 6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5009" w:type="pct"/>
        <w:tblBorders/>
        <w:tblLayout w:type="fixed"/>
        <w:tblLook w:val="01E0" w:firstRow="1" w:lastRow="1" w:firstColumn="1" w:lastColumn="1" w:noHBand="0" w:noVBand="0"/>
      </w:tblPr>
      <w:tblGrid>
        <w:gridCol w:w="4698"/>
        <w:gridCol w:w="5220"/>
      </w:tblGrid>
      <w:tr>
        <w:trPr>
          <w:trHeight w:val="20"/>
        </w:trPr>
        <w:tc>
          <w:tcPr>
            <w:tcBorders/>
            <w:tcW w:w="469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20"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98"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22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98"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22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bCs/>
          <w:sz w:val="2"/>
          <w:szCs w:val="2"/>
          <w:u w:val="single"/>
          <w:lang w:val="vi-VN"/>
        </w:rPr>
      </w:pPr>
      <w:r>
        <w:rPr>
          <w:b/>
          <w:sz w:val="2"/>
          <w:szCs w:val="2"/>
          <w:u w:val="single"/>
          <w:lang w:val="vi-VN"/>
        </w:rPr>
      </w:r>
      <w:r>
        <w:rPr>
          <w:b/>
          <w:bCs/>
          <w:sz w:val="2"/>
          <w:szCs w:val="2"/>
          <w:u w:val="single"/>
          <w:lang w:val="vi-VN"/>
        </w:rPr>
      </w:r>
      <w:r>
        <w:rPr>
          <w:b/>
          <w:bCs/>
          <w:sz w:val="2"/>
          <w:szCs w:val="2"/>
          <w:u w:val="single"/>
          <w:lang w:val="vi-VN"/>
        </w:rPr>
      </w:r>
    </w:p>
    <w:p>
      <w:pPr>
        <w:pBdr/>
        <w:spacing w:after="200" w:line="276" w:lineRule="auto"/>
        <w:ind/>
        <w:jc w:val="center"/>
        <w:rPr>
          <w:b/>
          <w:bCs/>
          <w:u w:val="single"/>
          <w:lang w:val="vi-VN"/>
        </w:rPr>
      </w:pPr>
      <w:r>
        <w:rPr>
          <w:b/>
          <w:u w:val="single"/>
          <w:lang w:val="vi-VN"/>
        </w:rPr>
      </w:r>
      <w:r>
        <w:rPr>
          <w:b/>
          <w:u w:val="single"/>
          <w:lang w:val="vi-VN"/>
        </w:rPr>
      </w:r>
      <w:r>
        <w:rPr>
          <w:b/>
          <w:bCs/>
          <w:u w:val="single"/>
          <w:lang w:val="vi-VN"/>
        </w:rPr>
      </w:r>
    </w:p>
    <w:tbl>
      <w:tblPr>
        <w:tblW w:w="5009" w:type="pct"/>
        <w:tblBorders/>
        <w:tblLayout w:type="fixed"/>
        <w:tblLook w:val="01E0" w:firstRow="1" w:lastRow="1" w:firstColumn="1" w:lastColumn="1" w:noHBand="0" w:noVBand="0"/>
      </w:tblPr>
      <w:tblGrid>
        <w:gridCol w:w="4861"/>
        <w:gridCol w:w="5058"/>
      </w:tblGrid>
      <w:tr>
        <w:trPr>
          <w:trHeight w:val="20"/>
        </w:trPr>
        <w:tc>
          <w:tcPr>
            <w:tcBorders/>
            <w:tcW w:w="4861"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5058"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4861"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058"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861"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5058"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275/2026/0363/VFI-BC.17.A</w:t>
      </w:r>
      <w:r>
        <w:rPr>
          <w:i/>
          <w:lang w:val="pt-BR"/>
        </w:rPr>
        <w:t xml:space="preserve"> ngày </w:t>
      </w:r>
      <w:r>
        <w:rPr>
          <w:i/>
          <w:lang w:val="pt-BR"/>
        </w:rPr>
        <w:t xml:space="preserve">6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14252" cy="348672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452166" name=""/>
                              <pic:cNvPicPr>
                                <a:picLocks noChangeAspect="1"/>
                              </pic:cNvPicPr>
                              <pic:nvPr/>
                            </pic:nvPicPr>
                            <pic:blipFill rotWithShape="1">
                              <a:blip r:embed="rId18"/>
                              <a:srcRect l="0" t="13692" r="0" b="8298"/>
                              <a:stretch/>
                            </pic:blipFill>
                            <pic:spPr bwMode="auto">
                              <a:xfrm flipH="0" flipV="0">
                                <a:off x="0" y="0"/>
                                <a:ext cx="2214251" cy="34867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4.35pt;height:274.55pt;mso-wrap-distance-left:0.00pt;mso-wrap-distance-top:0.00pt;mso-wrap-distance-right:0.00pt;mso-wrap-distance-bottom:0.00pt;z-index:1;" stroked="false">
                      <v:imagedata r:id="rId18" o:title="" croptop="8973f" cropleft="0f" cropbottom="5438f" cropright="0f"/>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36870" cy="311582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22205" name=""/>
                              <pic:cNvPicPr>
                                <a:picLocks noChangeAspect="1"/>
                              </pic:cNvPicPr>
                              <pic:nvPr/>
                            </pic:nvPicPr>
                            <pic:blipFill rotWithShape="1">
                              <a:blip r:embed="rId19"/>
                              <a:stretch/>
                            </pic:blipFill>
                            <pic:spPr bwMode="auto">
                              <a:xfrm flipH="0" flipV="0">
                                <a:off x="0" y="0"/>
                                <a:ext cx="2336870" cy="31158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4.01pt;height:245.3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52764" cy="183957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031880" name=""/>
                              <pic:cNvPicPr>
                                <a:picLocks noChangeAspect="1"/>
                              </pic:cNvPicPr>
                              <pic:nvPr/>
                            </pic:nvPicPr>
                            <pic:blipFill rotWithShape="1">
                              <a:blip r:embed="rId20"/>
                              <a:stretch/>
                            </pic:blipFill>
                            <pic:spPr bwMode="auto">
                              <a:xfrm flipH="0" flipV="0">
                                <a:off x="0" y="0"/>
                                <a:ext cx="2452763" cy="18395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3.13pt;height:144.8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39088" cy="182931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49355" name=""/>
                              <pic:cNvPicPr>
                                <a:picLocks noChangeAspect="1"/>
                              </pic:cNvPicPr>
                              <pic:nvPr/>
                            </pic:nvPicPr>
                            <pic:blipFill rotWithShape="1">
                              <a:blip r:embed="rId21"/>
                              <a:stretch/>
                            </pic:blipFill>
                            <pic:spPr bwMode="auto">
                              <a:xfrm flipH="0" flipV="0">
                                <a:off x="0" y="0"/>
                                <a:ext cx="2439087" cy="18293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2.05pt;height:144.0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27255" cy="189544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45380" name=""/>
                              <pic:cNvPicPr>
                                <a:picLocks noChangeAspect="1"/>
                              </pic:cNvPicPr>
                              <pic:nvPr/>
                            </pic:nvPicPr>
                            <pic:blipFill rotWithShape="1">
                              <a:blip r:embed="rId22"/>
                              <a:stretch/>
                            </pic:blipFill>
                            <pic:spPr bwMode="auto">
                              <a:xfrm flipH="0" flipV="0">
                                <a:off x="0" y="0"/>
                                <a:ext cx="2527254" cy="18954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9.00pt;height:149.2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59962" cy="191997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681352" name=""/>
                              <pic:cNvPicPr>
                                <a:picLocks noChangeAspect="1"/>
                              </pic:cNvPicPr>
                              <pic:nvPr/>
                            </pic:nvPicPr>
                            <pic:blipFill rotWithShape="1">
                              <a:blip r:embed="rId23"/>
                              <a:stretch/>
                            </pic:blipFill>
                            <pic:spPr bwMode="auto">
                              <a:xfrm flipH="0" flipV="0">
                                <a:off x="0" y="0"/>
                                <a:ext cx="2559961" cy="19199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1.57pt;height:151.1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5962990" cy="913393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182716" name=""/>
                        <pic:cNvPicPr>
                          <a:picLocks noChangeAspect="1"/>
                        </pic:cNvPicPr>
                        <pic:nvPr/>
                      </pic:nvPicPr>
                      <pic:blipFill rotWithShape="1">
                        <a:blip r:embed="rId24"/>
                        <a:stretch/>
                      </pic:blipFill>
                      <pic:spPr bwMode="auto">
                        <a:xfrm flipH="0" flipV="0">
                          <a:off x="0" y="0"/>
                          <a:ext cx="5962989" cy="91339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69.53pt;height:719.21pt;mso-wrap-distance-left:0.00pt;mso-wrap-distance-top:0.00pt;mso-wrap-distance-right:0.00pt;mso-wrap-distance-bottom:0.00pt;z-index:1;" stroked="false">
                <v:imagedata r:id="rId24" o:title=""/>
                <o:lock v:ext="edit" rotation="t"/>
              </v:shape>
            </w:pict>
          </mc:Fallback>
        </mc:AlternateContent>
      </w:r>
      <w:r>
        <w:rPr>
          <w:bCs/>
          <w:i/>
          <w:lang w:val="pt-BR"/>
        </w:rPr>
      </w:r>
      <w:r>
        <w:rPr>
          <w:b/>
          <w:bCs/>
          <w:highlight w:val="none"/>
        </w:rPr>
      </w:r>
    </w:p>
    <w:p>
      <w:pPr>
        <w:pBdr/>
        <w:spacing w:after="200" w:line="276" w:lineRule="auto"/>
        <w:ind/>
        <w:jc w:val="center"/>
        <w:rPr>
          <w:bCs/>
          <w:i/>
          <w:lang w:val="pt-BR"/>
        </w:rPr>
      </w:pPr>
      <w:r>
        <w:rPr>
          <w:bCs/>
          <w:i/>
          <w:lang w:val="pt-BR"/>
        </w:rPr>
      </w:r>
      <w:r>
        <w:rPr>
          <w:bCs/>
          <w:i/>
          <w:lang w:val="pt-BR"/>
        </w:rPr>
      </w:r>
      <w:r>
        <w:rPr>
          <w:bCs/>
          <w:i/>
          <w:lang w:val="pt-BR"/>
        </w:rPr>
      </w:r>
    </w:p>
    <w:p>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5962990" cy="917203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059561" name=""/>
                        <pic:cNvPicPr>
                          <a:picLocks noChangeAspect="1"/>
                        </pic:cNvPicPr>
                        <pic:nvPr/>
                      </pic:nvPicPr>
                      <pic:blipFill rotWithShape="1">
                        <a:blip r:embed="rId25"/>
                        <a:stretch/>
                      </pic:blipFill>
                      <pic:spPr bwMode="auto">
                        <a:xfrm flipH="0" flipV="0">
                          <a:off x="0" y="0"/>
                          <a:ext cx="5962989" cy="91720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69.53pt;height:722.21pt;mso-wrap-distance-left:0.00pt;mso-wrap-distance-top:0.00pt;mso-wrap-distance-right:0.00pt;mso-wrap-distance-bottom:0.00pt;z-index:1;" stroked="false">
                <v:imagedata r:id="rId25" o:title=""/>
                <o:lock v:ext="edit" rotation="t"/>
              </v:shape>
            </w:pict>
          </mc:Fallback>
        </mc:AlternateContent>
      </w:r>
      <w:r>
        <w:rPr>
          <w:b/>
          <w:highlight w:val="none"/>
          <w:lang w:val="pt-BR"/>
        </w:rPr>
      </w:r>
      <w:r>
        <w:rPr>
          <w:bCs/>
          <w:i/>
          <w:lang w:val="pt-BR"/>
        </w:rPr>
      </w:r>
    </w:p>
    <w:p>
      <w:pPr>
        <w:pBdr/>
        <w:spacing w:after="200" w:line="276" w:lineRule="auto"/>
        <w:ind/>
        <w:jc w:val="center"/>
        <w:rPr>
          <w:b/>
          <w:bCs/>
          <w:highlight w:val="none"/>
        </w:rPr>
      </w:pPr>
      <w:r>
        <w:rPr>
          <w:b/>
          <w:highlight w:val="none"/>
        </w:rPr>
      </w:r>
      <w:r>
        <w:rPr>
          <w:b/>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275/2026/0363/VFI-BC.17.A</w:t>
      </w:r>
      <w:r>
        <w:rPr>
          <w:i/>
          <w:lang w:val="pt-BR"/>
        </w:rPr>
        <w:t xml:space="preserve"> </w:t>
      </w:r>
      <w:r>
        <w:rPr>
          <w:i/>
          <w:lang w:val="pt-BR"/>
        </w:rPr>
        <w:t xml:space="preserve">6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0966796078</w:t>
            </w:r>
            <w:r>
              <w:rPr>
                <w:sz w:val="22"/>
                <w:szCs w:val="22"/>
              </w:rPr>
              <w:t xml:space="preserve"> </w:t>
            </w:r>
            <w:r>
              <w:rPr>
                <w:sz w:val="22"/>
                <w:szCs w:val="22"/>
              </w:rPr>
              <w:br/>
              <w:t xml:space="preserve">(Nga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19.530.000.000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hộ chung cư (181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b w:val="0"/>
                <w:bCs w:val="0"/>
                <w:sz w:val="22"/>
                <w:szCs w:val="22"/>
              </w:rPr>
            </w:pPr>
            <w:r>
              <w:rPr>
                <w:b w:val="0"/>
                <w:bCs w:val="0"/>
                <w:sz w:val="22"/>
                <w:szCs w:val="22"/>
              </w:rPr>
            </w:r>
            <w:r>
              <w:rPr>
                <w:b w:val="0"/>
                <w:bCs w:val="0"/>
                <w:color w:val="000000"/>
                <w:sz w:val="22"/>
                <w:szCs w:val="22"/>
              </w:rPr>
              <w:t xml:space="preserve">Căn hộ chung cư  tại Nhà 25T1</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 căn hộ</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 tầng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Tầng trung (18 - 20)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Hướng ban 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Đông Nam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468417" cy="3189880"/>
                      <wp:effectExtent l="0" t="0" r="0" b="0"/>
                      <wp:docPr id="14" name=""/>
                      <wp:cNvGraphicFramePr/>
                      <a:graphic xmlns:a="http://schemas.openxmlformats.org/drawingml/2006/main">
                        <a:graphicData uri="http://schemas.openxmlformats.org/drawingml/2006/picture">
                          <pic:pic xmlns:pic="http://schemas.openxmlformats.org/drawingml/2006/picture">
                            <pic:nvPicPr>
                              <pic:cNvPr id="222173460" name="" descr=""/>
                              <pic:cNvPicPr/>
                              <pic:nvPr/>
                            </pic:nvPicPr>
                            <pic:blipFill rotWithShape="1">
                              <a:blip r:embed="rId26"/>
                              <a:stretch/>
                            </pic:blipFill>
                            <pic:spPr bwMode="auto">
                              <a:xfrm flipH="0" flipV="0">
                                <a:off x="0" y="0"/>
                                <a:ext cx="5468416" cy="318988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30.58pt;height:251.17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68400" cy="3568571"/>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1768400" cy="35685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39.24pt;height:280.99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83034" cy="3568571"/>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1683033" cy="35685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32.52pt;height:280.99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21373" cy="3568571"/>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1721373" cy="35685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35.54pt;height:280.99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3.3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center"/>
        <w:rPr>
          <w:i/>
          <w:lang w:val="pt-BR"/>
        </w:rPr>
      </w:pPr>
      <w:r>
        <w:rPr>
          <w:i/>
          <w:lang w:val="pt-BR"/>
        </w:rPr>
      </w:r>
      <w:r>
        <w:rPr>
          <w:i/>
          <w:lang w:val="pt-BR"/>
        </w:rPr>
      </w:r>
      <w:r>
        <w:rPr>
          <w:i/>
          <w:lang w:val="pt-BR"/>
        </w:rPr>
      </w:r>
    </w:p>
    <w:tbl>
      <w:tblPr>
        <w:tblInd w:w="108" w:type="dxa"/>
        <w:tblW w:w="9468" w:type="dxa"/>
        <w:tblBorders/>
        <w:tblLayout w:type="fixed"/>
        <w:tblLook w:val="04A0" w:firstRow="1" w:lastRow="0" w:firstColumn="1" w:lastColumn="0" w:noHBand="0" w:noVBand="1"/>
      </w:tblPr>
      <w:tblGrid>
        <w:gridCol w:w="9468"/>
      </w:tblGrid>
      <w:tr>
        <w:trPr>
          <w:trHeight w:val="298"/>
        </w:trPr>
        <w:tc>
          <w:tcPr>
            <w:tcBorders/>
            <w:tcW w:w="9468"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9468"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0965066754</w:t>
            </w:r>
            <w:r>
              <w:rPr>
                <w:sz w:val="22"/>
                <w:szCs w:val="22"/>
              </w:rPr>
              <w:t xml:space="preserve"> </w:t>
            </w:r>
            <w:r>
              <w:rPr>
                <w:sz w:val="22"/>
                <w:szCs w:val="22"/>
              </w:rPr>
              <w:br/>
              <w:t xml:space="preserve">(Thuỳ</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15.165.000.000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hộ chung cư (159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b w:val="0"/>
                <w:bCs w:val="0"/>
                <w:sz w:val="22"/>
                <w:szCs w:val="22"/>
              </w:rPr>
            </w:pPr>
            <w:r>
              <w:rPr>
                <w:b w:val="0"/>
                <w:bCs w:val="0"/>
                <w:sz w:val="22"/>
                <w:szCs w:val="22"/>
              </w:rPr>
            </w:r>
            <w:r>
              <w:rPr>
                <w:b w:val="0"/>
                <w:bCs w:val="0"/>
                <w:color w:val="000000"/>
                <w:sz w:val="22"/>
                <w:szCs w:val="22"/>
              </w:rPr>
              <w:t xml:space="preserve">Căn hộ chung cư  tại Nhà 25T1</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 căn hộ</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159</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 tầng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thường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Hướng ban 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 (10 - 20)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43851" cy="3400703"/>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5243850" cy="34007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12.90pt;height:267.77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2414" cy="3774535"/>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1782413" cy="37745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0.35pt;height:297.21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23748" cy="3774535"/>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1623747" cy="37745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27.85pt;height:297.21pt;mso-wrap-distance-left:0.00pt;mso-wrap-distance-top:0.00pt;mso-wrap-distance-right:0.00pt;mso-wrap-distance-bottom:0.00pt;z-index:1;" stroked="false">
                      <v:imagedata r:id="rId33"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919810" cy="3774535"/>
                      <wp:effectExtent l="0" t="0" r="0" b="0"/>
                      <wp:docPr id="22" name=""/>
                      <wp:cNvGraphicFramePr/>
                      <a:graphic xmlns:a="http://schemas.openxmlformats.org/drawingml/2006/main">
                        <a:graphicData uri="http://schemas.openxmlformats.org/drawingml/2006/picture">
                          <pic:pic xmlns:pic="http://schemas.openxmlformats.org/drawingml/2006/picture">
                            <pic:nvPicPr>
                              <pic:cNvPr id="1917523884" name="" descr=""/>
                              <pic:cNvPicPr/>
                              <pic:nvPr/>
                            </pic:nvPicPr>
                            <pic:blipFill rotWithShape="1">
                              <a:blip r:embed="rId34"/>
                              <a:stretch/>
                            </pic:blipFill>
                            <pic:spPr bwMode="auto">
                              <a:xfrm flipH="0" flipV="0">
                                <a:off x="0" y="0"/>
                                <a:ext cx="1919809" cy="37745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51.17pt;height:297.21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33.3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776"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0961846766</w:t>
            </w:r>
            <w:r>
              <w:rPr>
                <w:sz w:val="22"/>
                <w:szCs w:val="22"/>
              </w:rPr>
              <w:t xml:space="preserve"> </w:t>
            </w:r>
            <w:r>
              <w:rPr>
                <w:sz w:val="22"/>
                <w:szCs w:val="22"/>
              </w:rPr>
              <w:br/>
              <w:t xml:space="preserve">(Hoàng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15.714.000.000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14.142.600.000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hộ chung cư (162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b w:val="0"/>
                <w:bCs w:val="0"/>
                <w:sz w:val="22"/>
                <w:szCs w:val="22"/>
              </w:rPr>
            </w:pPr>
            <w:r>
              <w:rPr>
                <w:b w:val="0"/>
                <w:bCs w:val="0"/>
                <w:sz w:val="22"/>
                <w:szCs w:val="22"/>
              </w:rPr>
            </w:r>
            <w:r>
              <w:rPr>
                <w:b w:val="0"/>
                <w:bCs w:val="0"/>
                <w:color w:val="000000"/>
                <w:sz w:val="22"/>
                <w:szCs w:val="22"/>
              </w:rPr>
              <w:t xml:space="preserve">Căn hộ chung cư  tại Nhà 25T1</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 căn hộ</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thường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 tầng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thấp (5 - 8)</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Hướng ban 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Đông Nam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17590" cy="3657878"/>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5317590" cy="36578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18.71pt;height:288.02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48511" cy="3810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2248511" cy="380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77.05pt;height:30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99481" cy="3810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1786495469" name="" descr=""/>
                              <pic:cNvPicPr/>
                              <pic:nvPr/>
                            </pic:nvPicPr>
                            <pic:blipFill rotWithShape="1">
                              <a:blip r:embed="rId38"/>
                              <a:stretch/>
                            </pic:blipFill>
                            <pic:spPr bwMode="auto">
                              <a:xfrm flipH="0" flipV="0">
                                <a:off x="0" y="0"/>
                                <a:ext cx="2099481" cy="380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65.31pt;height:30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2952338"/>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2381249" cy="295233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87.50pt;height:232.47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2923763"/>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flipH="0" flipV="0">
                                <a:off x="0" y="0"/>
                                <a:ext cx="2381249" cy="292376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87.50pt;height:230.22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776"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864" w:right="476" w:bottom="495"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273</cp:revision>
  <dcterms:created xsi:type="dcterms:W3CDTF">2025-09-15T09:58:00Z</dcterms:created>
  <dcterms:modified xsi:type="dcterms:W3CDTF">2026-03-21T02:11:38Z</dcterms:modified>
</cp:coreProperties>
</file>