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rPr>
      </w:pPr>
      <w:r>
        <w:rPr>
          <w:b/>
          <w:sz w:val="28"/>
        </w:rPr>
      </w:r>
      <w:r>
        <w:rPr>
          <w:b/>
          <w:sz w:val="28"/>
        </w:rPr>
      </w:r>
      <w:r>
        <w:rPr>
          <w:b/>
          <w:bCs/>
          <w:sz w:val="28"/>
          <w:szCs w:val="28"/>
        </w:rPr>
      </w:r>
    </w:p>
    <w:p>
      <w:pPr>
        <w:pBdr/>
        <w:spacing/>
        <w:ind w:right="-1"/>
        <w:jc w:val="center"/>
        <w:rPr>
          <w:b/>
          <w:bCs/>
          <w:sz w:val="28"/>
          <w:szCs w:val="28"/>
        </w:rPr>
      </w:pPr>
      <w:r>
        <w:rPr>
          <w:b/>
          <w:sz w:val="28"/>
        </w:rPr>
      </w:r>
      <w:r>
        <w:rPr>
          <w:b/>
          <w:sz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-14180</wp:posOffset>
                </wp:positionH>
                <wp:positionV relativeFrom="paragraph">
                  <wp:posOffset>116554</wp:posOffset>
                </wp:positionV>
                <wp:extent cx="5775614" cy="333883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75613" cy="333883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275/2026/0580/VFI-CT.21.A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KHƯƠNG ANH TUÂN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Sàn thương mại dịch vụ số H2-TM4, Khu thương mại dịch vụ tòa Hope Residences, Khu nhà ở xã hội tại ô đất có ký hiệu B8.NXH (Hope Residences), phường Phúc Đồng, quận Long Biên, Thành phố Hà Nội </w:t>
                            </w:r>
                            <w:r>
                              <w:rPr>
                                <w:bCs/>
                                <w:i/>
                                <w:iCs/>
                              </w:rPr>
                              <w:t xml:space="preserve">(Nay là phường Phúc Lợi, Thành phố Hà Nội)</w:t>
                            </w:r>
                            <w:r>
                              <w:rPr>
                                <w:bCs/>
                                <w:i w:val="0"/>
                                <w:iCs w:val="0"/>
                              </w:rPr>
                              <w:t xml:space="preserve"> theo Giấy chứng nhận </w:t>
                            </w:r>
                            <w:r>
                              <w:rPr>
                                <w:bCs/>
                                <w:i w:val="0"/>
                                <w:iCs w:val="0"/>
                              </w:rPr>
                              <w:t xml:space="preserve">Quyền sử dụng đất, quyền sở hữu nhà ở và tài sản khác gắn liền với đất số: DP 566492 và Giấy chứng nhận Quyền sử dụn</w:t>
                            </w:r>
                            <w:r>
                              <w:rPr>
                                <w:bCs/>
                                <w:i w:val="0"/>
                                <w:iCs w:val="0"/>
                              </w:rPr>
                              <w:t xml:space="preserve">g</w:t>
                            </w:r>
                            <w:r>
                              <w:rPr>
                                <w:bCs/>
                                <w:i w:val="0"/>
                                <w:iCs w:val="0"/>
                              </w:rPr>
                              <w:t xml:space="preserve"> đất, quyền sở hữu nhà ở và tài sản khác gắn liền với đất số DP 566491</w:t>
                            </w:r>
                            <w:r>
                              <w:rPr>
                                <w:bCs/>
                                <w:i w:val="0"/>
                                <w:iCs w:val="0"/>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12pt;mso-position-horizontal:absolute;mso-position-vertical-relative:text;margin-top:9.18pt;mso-position-vertical:absolute;width:454.77pt;height:262.9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275/2026/0580/VFI-CT.21.A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KHƯƠNG ANH TUÂN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Sàn thương mại dịch vụ số H2-TM4, Khu thương mại dịch vụ tòa Hope Residences, Khu nhà ở xã hội tại ô đất có ký hiệu B8.NXH (Hope Residences), phường Phúc Đồng, quận Long Biên, Thành phố Hà Nội </w:t>
                      </w:r>
                      <w:r>
                        <w:rPr>
                          <w:bCs/>
                          <w:i/>
                          <w:iCs/>
                        </w:rPr>
                        <w:t xml:space="preserve">(Nay là phường Phúc Lợi, Thành phố Hà Nội)</w:t>
                      </w:r>
                      <w:r>
                        <w:rPr>
                          <w:bCs/>
                          <w:i w:val="0"/>
                          <w:iCs w:val="0"/>
                        </w:rPr>
                        <w:t xml:space="preserve"> theo Giấy chứng nhận </w:t>
                      </w:r>
                      <w:r>
                        <w:rPr>
                          <w:bCs/>
                          <w:i w:val="0"/>
                          <w:iCs w:val="0"/>
                        </w:rPr>
                        <w:t xml:space="preserve">Quyền sử dụng đất, quyền sở hữu nhà ở và tài sản khác gắn liền với đất số: DP 566492 và Giấy chứng nhận Quyền sử dụn</w:t>
                      </w:r>
                      <w:r>
                        <w:rPr>
                          <w:bCs/>
                          <w:i w:val="0"/>
                          <w:iCs w:val="0"/>
                        </w:rPr>
                        <w:t xml:space="preserve">g</w:t>
                      </w:r>
                      <w:r>
                        <w:rPr>
                          <w:bCs/>
                          <w:i w:val="0"/>
                          <w:iCs w:val="0"/>
                        </w:rPr>
                        <w:t xml:space="preserve"> đất, quyền sở hữu nhà ở và tài sản khác gắn liền với đất số DP 566491</w:t>
                      </w:r>
                      <w:r>
                        <w:rPr>
                          <w:bCs/>
                          <w:i w:val="0"/>
                          <w:iCs w:val="0"/>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20-25</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58" w:type="dxa"/>
        <w:tblBorders/>
        <w:tblLayout w:type="fixed"/>
        <w:tblLook w:val="04A0" w:firstRow="1" w:lastRow="0" w:firstColumn="1" w:lastColumn="0" w:noHBand="0" w:noVBand="1"/>
      </w:tblPr>
      <w:tblGrid>
        <w:gridCol w:w="312"/>
        <w:gridCol w:w="1276"/>
        <w:gridCol w:w="8504"/>
        <w:gridCol w:w="16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6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64"/>
        </w:trPr>
        <w:tc>
          <w:tcPr>
            <w:gridSpan w:val="2"/>
            <w:shd w:val="clear" w:color="auto" w:fill="auto"/>
            <w:tcBorders/>
            <w:tcMar>
              <w:left w:w="108" w:type="dxa"/>
              <w:top w:w="0" w:type="dxa"/>
              <w:right w:w="108" w:type="dxa"/>
              <w:bottom w:w="0" w:type="dxa"/>
            </w:tcMar>
            <w:tcW w:w="978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275/2026/0580/VFI-CT.21.A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15 tháng 4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KHƯƠNG ANH TUÂN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275/2026/0580/VFI-HĐTĐ.21.A</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color w:val="000000" w:themeColor="text1"/>
          <w:spacing w:val="-4"/>
        </w:rPr>
        <w:t xml:space="preserve">Ông Khương Anh Tuân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275/2026/0580/VFI-BC.21.A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KHƯƠNG ANH TUÂN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010080000050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Cs/>
          <w:i w:val="0"/>
          <w:iCs w:val="0"/>
        </w:rPr>
        <w:t xml:space="preserve">Sàn thương mại dịch vụ số H2-TM4, Khu thương mại dịch vụ tòa Hope Residences, Khu nhà ở xã hội tại ô đất có ký hiệu B8.NXH (Hope Residences), phường Phúc Đồng, quận Long Biên, Thành phố Hà Nội </w:t>
      </w:r>
      <w:r>
        <w:rPr>
          <w:bCs/>
          <w:i/>
          <w:iCs/>
        </w:rPr>
        <w:t xml:space="preserve">(Nay là phường Phúc Lợi, Thành phố Hà Nội)</w:t>
      </w:r>
      <w:r>
        <w:rPr>
          <w:bCs/>
          <w:i w:val="0"/>
          <w:iCs w:val="0"/>
        </w:rPr>
        <w:t xml:space="preserve"> theo Giấy chứng nhận </w:t>
      </w:r>
      <w:r>
        <w:rPr>
          <w:bCs/>
          <w:i w:val="0"/>
          <w:iCs w:val="0"/>
        </w:rPr>
        <w:t xml:space="preserve">Quyền sử dụng đất, quyền sở hữu nhà ở và tài sản khác gắn liền với đất số: DP 566492 và Giấy chứng nhận Quyền sử dụn</w:t>
      </w:r>
      <w:r>
        <w:rPr>
          <w:bCs/>
          <w:i w:val="0"/>
          <w:iCs w:val="0"/>
        </w:rPr>
        <w:t xml:space="preserve">g</w:t>
      </w:r>
      <w:r>
        <w:rPr>
          <w:bCs/>
          <w:i w:val="0"/>
          <w:iCs w:val="0"/>
        </w:rPr>
        <w:t xml:space="preserve"> đất, quyền sở hữu nhà ở và tài sản khác gắn liền với đất số DP 566491</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Sàn thương mại dịch vụ số H2-TM4, Khu thương mại dịch vụ tòa Hope Residences, Khu nhà ở xã hội tại ô đất có ký hiệu B8.NXH (Hope Residences), phường Phúc Đồng, quận Long Biên, Thành phố Hà Nội </w:t>
            </w:r>
            <w:r>
              <w:rPr>
                <w:rFonts w:ascii="Times New Roman" w:hAnsi="Times New Roman" w:eastAsia="Times New Roman" w:cs="Times New Roman"/>
                <w:b/>
                <w:i/>
                <w:iCs/>
                <w:color w:val="000000"/>
                <w:sz w:val="24"/>
              </w:rPr>
              <w:t xml:space="preserve">(Nay là phường Phúc Lợi, Thành phố Hà Nội)</w:t>
            </w:r>
            <w:r>
              <w:rPr>
                <w:rFonts w:ascii="Times New Roman" w:hAnsi="Times New Roman" w:eastAsia="Times New Roman" w:cs="Times New Roman"/>
                <w:b/>
                <w:color w:val="000000"/>
                <w:sz w:val="24"/>
              </w:rPr>
              <w:t xml:space="preserve"> theo Giấy chứng nhận</w:t>
            </w:r>
            <w:r>
              <w:rPr>
                <w:rFonts w:ascii="Times New Roman" w:hAnsi="Times New Roman" w:eastAsia="Times New Roman" w:cs="Times New Roman"/>
                <w:b/>
                <w:color w:val="000000"/>
                <w:sz w:val="24"/>
              </w:rPr>
              <w:t xml:space="preserve"> Quyền sử dụng đất, quyền sở hữu nhà ở và tài sản khác gắn liền với đất số: DP 566492 và Giấy chứng nhận Quyền sử dụng đất, quyền sở hữu nhà ở và tài sản khác gắn liền với đất số DP 566491.</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Sàn thương mại dịch vụ số H2-TM4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146,1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70.000.000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10.227.000.000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10.227.000.000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Mười tỷ, hai trăm hai mươi bảy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0"/>
        <w:rPr>
          <w:rFonts w:eastAsia="Calibri"/>
          <w:b/>
          <w:bCs/>
          <w:spacing w:val="-4"/>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rPr>
          <w:rFonts w:eastAsia="Calibri"/>
          <w:b/>
          <w:bCs/>
          <w:spacing w:val="-4"/>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44"/>
        <w:gridCol w:w="1572"/>
        <w:gridCol w:w="7992"/>
        <w:gridCol w:w="142"/>
      </w:tblGrid>
      <w:tr>
        <w:trPr>
          <w:trHeight w:val="1559"/>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3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9564"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275/2026/0580/VFI-BC.21.A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15 tháng 4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275/2026/0580/VFI-CT.21.A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KHƯƠNG ANH TUÂN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010080000050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bCs/>
                <w:i w:val="0"/>
                <w:iCs w:val="0"/>
              </w:rPr>
              <w:t xml:space="preserve">Sàn thương mại dịch vụ số H2-TM4, Khu thương mại dịch vụ tòa Hope Residences, Khu nhà ở xã hội tại ô đất có ký hiệu B8.NXH (Hope Residences), phường Phúc Đồng, quận Long Biên, Thành phố Hà Nội </w:t>
            </w:r>
            <w:r>
              <w:rPr>
                <w:bCs/>
                <w:i/>
                <w:iCs/>
              </w:rPr>
              <w:t xml:space="preserve">(Nay là phường Phúc Lợi, Thành phố Hà Nội)</w:t>
            </w:r>
            <w:r>
              <w:rPr>
                <w:bCs/>
                <w:i w:val="0"/>
                <w:iCs w:val="0"/>
              </w:rPr>
              <w:t xml:space="preserve"> theo Giấy chứng nhận </w:t>
            </w:r>
            <w:r>
              <w:rPr>
                <w:bCs/>
                <w:i w:val="0"/>
                <w:iCs w:val="0"/>
              </w:rPr>
              <w:t xml:space="preserve">Quyền sử dụng đất, quyền sở hữu nhà ở và tài sản khác gắn liền với đất số: DP 566492 và Giấy chứng nhận Quyền sử dụn</w:t>
            </w:r>
            <w:r>
              <w:rPr>
                <w:bCs/>
                <w:i w:val="0"/>
                <w:iCs w:val="0"/>
              </w:rPr>
              <w:t xml:space="preserve">g</w:t>
            </w:r>
            <w:r>
              <w:rPr>
                <w:bCs/>
                <w:i w:val="0"/>
                <w:iCs w:val="0"/>
              </w:rPr>
              <w:t xml:space="preserve"> đất, quyền sở hữu nhà ở và tài sản khác gắn liền với đất số DP 566491</w:t>
            </w:r>
            <w:r>
              <w:rPr>
                <w:bCs/>
                <w:i w:val="0"/>
                <w:iCs w:val="0"/>
              </w:rPr>
              <w:t xml:space="preserve">.</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Phúc Lợi,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21.042337, 105.904310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DP 566492, số vào sổ cấp GCN: CN 02952 do Chi nhánh văn phòng Đăng ký Đất đai Hà Nội - Quận Long Biên cấp ngày 24/08/2024 cho Ông Khương Anh Tuân và Bà Nguyễn Thị Hư</w:t>
      </w:r>
      <w:r>
        <w:rPr>
          <w:rFonts w:ascii="Times New Roman" w:hAnsi="Times New Roman" w:eastAsia="Times New Roman" w:cs="Times New Roman"/>
          <w:color w:val="000000"/>
          <w:sz w:val="24"/>
        </w:rPr>
        <w:t xml:space="preserve">ơng.</w:t>
      </w:r>
      <w:r/>
    </w:p>
    <w:p>
      <w:pPr>
        <w:pStyle w:val="1027"/>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DP 566491, số vào sổ cấp GCN: CN 02952 do Chi nhánh văn phòng Đăng ký Đất đai Hà Nội - Quận Long Biên cấp ngày 24/08/2024 cho Ông Vũ Đức Dương và Bà Nguyễn Thị Lan</w:t>
      </w:r>
      <w:r>
        <w:rPr>
          <w:bCs/>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275/2026/0580/VFI-HĐTĐ.21.A</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color w:val="000000" w:themeColor="text1"/>
          <w:spacing w:val="-4"/>
        </w:rPr>
        <w:t xml:space="preserve">Ông Khương Anh Tuân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425" w:left="0"/>
        <w:jc w:val="both"/>
        <w:rPr/>
      </w:pPr>
      <w:r>
        <w:rPr>
          <w:i/>
          <w:iCs/>
          <w:lang w:val="pt-BR"/>
        </w:rPr>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3"/>
        <w:gridCol w:w="2362"/>
        <w:gridCol w:w="2268"/>
        <w:gridCol w:w="1984"/>
        <w:gridCol w:w="2268"/>
      </w:tblGrid>
      <w:tr>
        <w:trPr>
          <w:trHeight w:val="144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Sàn thương mại dịch vụ số H2-TM4, Khu thương mại dịch vụ tòa Hope Residences, Khu nhà ở xã hội tại ô đất có ký hiệu B8.NXH (Hope Residences), phường Phúc Đồng, quận Long Biên, Thành phố Hà Nội </w:t>
            </w:r>
            <w:r>
              <w:rPr>
                <w:rFonts w:ascii="Times New Roman" w:hAnsi="Times New Roman" w:eastAsia="Times New Roman" w:cs="Times New Roman"/>
                <w:b/>
                <w:i/>
                <w:color w:val="000000"/>
                <w:sz w:val="24"/>
              </w:rPr>
              <w:t xml:space="preserve">(Nay là phường Phúc Lợi, Thành phố Hà Nội) </w:t>
            </w:r>
            <w:r>
              <w:rPr>
                <w:rFonts w:ascii="Times New Roman" w:hAnsi="Times New Roman" w:eastAsia="Times New Roman" w:cs="Times New Roman"/>
                <w:b/>
                <w:color w:val="000000"/>
                <w:sz w:val="24"/>
              </w:rPr>
              <w:t xml:space="preserve">theo Giấy chứng nhận Quyền sử dụng đất, quyền sở hữu nhà ở và tài sản khác gắn liền với đất số: DP 566492 và Giấy chứng nhận Quyền sử dụng đất, quyền sở hữu nhà ở và tài sản khác gắn liền với đất số DP 566491.</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r>
      <w:tr>
        <w:trPr>
          <w:trHeight w:val="42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Khu nhà ở xã hội tại ô đất có ký hiệu B8.NXH (Hope Residences), phường Phúc Đồng, quận Long Biên, Thành phố Hà Nội </w:t>
            </w:r>
            <w:r>
              <w:rPr>
                <w:rFonts w:ascii="Times New Roman" w:hAnsi="Times New Roman" w:eastAsia="Times New Roman" w:cs="Times New Roman"/>
                <w:i/>
                <w:color w:val="000000"/>
                <w:sz w:val="24"/>
              </w:rPr>
              <w:t xml:space="preserve">(Nay là phường Phúc Lợi, Thành phố Hà Nội)</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7.621,0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Sử dụng chung</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Lâu dài</w:t>
            </w:r>
            <w:r/>
          </w:p>
        </w:tc>
      </w:tr>
      <w:tr>
        <w:trPr>
          <w:trHeight w:val="38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1347"/>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i/>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i/>
                <w:color w:val="000000"/>
                <w:sz w:val="24"/>
              </w:rPr>
              <w:t xml:space="preserve">Ghi chú:</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76"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 Số tờ, số thửa và sơ đồ sẽ được điều chỉnh khi có bản đồ địa chính chính quy.</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pPr>
              <w:pBdr/>
              <w:spacing w:after="0" w:before="0" w:line="276" w:lineRule="auto"/>
              <w:ind/>
              <w:jc w:val="both"/>
              <w:rPr/>
            </w:pPr>
            <w:r>
              <w:rPr>
                <w:rFonts w:ascii="Times New Roman" w:hAnsi="Times New Roman" w:eastAsia="Times New Roman" w:cs="Times New Roman"/>
                <w:i/>
                <w:color w:val="000000"/>
                <w:sz w:val="24"/>
              </w:rPr>
              <w:t xml:space="preserve">- Giấy chứng nhận này được cấp đổi từ Giấy chứng nhận quyền sử dụng đất, quyền sở hữu nhà ở và tài sản khác gắn liền với đất số DI 538664 do Sở Tài nguyên và Môi trường thành p</w:t>
            </w:r>
            <w:r>
              <w:rPr>
                <w:rFonts w:ascii="Times New Roman" w:hAnsi="Times New Roman" w:eastAsia="Times New Roman" w:cs="Times New Roman"/>
                <w:i/>
                <w:color w:val="000000"/>
                <w:sz w:val="24"/>
              </w:rPr>
              <w:t xml:space="preserve">hố Hà Nội cấp ngày 18/4/2023 do nhận chuyển nhượng.</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Thông tin tài sản</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Vị trí</w:t>
            </w:r>
            <w:r/>
          </w:p>
        </w:tc>
      </w:tr>
      <w:tr>
        <w:trPr>
          <w:trHeight w:val="187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Đường nội khu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Tài sản là sàn thương mại dịch vụ số H2-TM4, Tòa Hope Residences; cách cầu vượt Vĩnh Tuy – QL5 khoảng 300m</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Vị trí trên bản đồ vệ tinh: (21.042337, 105.904310)</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mc:AlternateContent>
                <mc:Choice Requires="wpg">
                  <w:drawing>
                    <wp:inline xmlns:wp="http://schemas.openxmlformats.org/drawingml/2006/wordprocessingDrawing" distT="0" distB="0" distL="0" distR="0">
                      <wp:extent cx="6048375" cy="347579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91747" name=""/>
                              <pic:cNvPicPr>
                                <a:picLocks noChangeAspect="1"/>
                              </pic:cNvPicPr>
                              <pic:nvPr/>
                            </pic:nvPicPr>
                            <pic:blipFill rotWithShape="1">
                              <a:blip r:embed="rId17"/>
                              <a:stretch/>
                            </pic:blipFill>
                            <pic:spPr bwMode="auto">
                              <a:xfrm>
                                <a:off x="0" y="0"/>
                                <a:ext cx="6048374" cy="3475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73.68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Thông tin sàn thương mại</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Tên công trình: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Khu thương mại dịch vụ toà Hope Residences</w:t>
            </w:r>
            <w:r/>
          </w:p>
        </w:tc>
      </w:tr>
      <w:tr>
        <w:trPr>
          <w:trHeight w:val="6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Hạng mục công trình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Sàn thương mại dịch vụ số H2-TM4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Diện tích sàn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146,1</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thức sở hữu:</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Sở hữu chung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Cấp công trình: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Cấp I</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Vị trí tầng: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Tầng 1+2/21 tầng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7,55m</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Số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 mặt tiền</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20"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62"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Phù hợp để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center"/>
            <w:textDirection w:val="lrTb"/>
            <w:noWrap w:val="false"/>
          </w:tcPr>
          <w:p>
            <w:pPr>
              <w:pBdr/>
              <w:spacing w:after="0" w:before="0" w:line="276" w:lineRule="auto"/>
              <w:ind/>
              <w:rPr/>
            </w:pPr>
            <w:r>
              <w:rPr>
                <w:rFonts w:ascii="Times New Roman" w:hAnsi="Times New Roman" w:eastAsia="Times New Roman" w:cs="Times New Roman"/>
                <w:b/>
                <w:color w:val="000000"/>
                <w:sz w:val="24"/>
              </w:rPr>
              <w:t xml:space="preserve">Tài sản gắn liền với đất</w:t>
            </w:r>
            <w:r/>
          </w:p>
        </w:tc>
      </w:tr>
      <w:tr>
        <w:trPr>
          <w:trHeight w:val="539"/>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43"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881" w:type="dxa"/>
            <w:vAlign w:val="top"/>
            <w:textDirection w:val="lrTb"/>
            <w:noWrap w:val="false"/>
          </w:tcPr>
          <w:p>
            <w:pPr>
              <w:pBdr/>
              <w:spacing w:after="0" w:before="0" w:line="276" w:lineRule="auto"/>
              <w:ind/>
              <w:jc w:val="both"/>
              <w:rPr/>
            </w:pPr>
            <w:r>
              <w:rPr>
                <w:rFonts w:ascii="Times New Roman" w:hAnsi="Times New Roman" w:eastAsia="Times New Roman" w:cs="Times New Roman"/>
                <w:color w:val="000000"/>
                <w:sz w:val="24"/>
              </w:rPr>
              <w:t xml:space="preserve">Tại thời điểm khảo sát, sàn thương mại dịch vụ đã được hoàn thiện đầy đủ. Hiện đang cho khách thuê làm salon tóc.</w:t>
            </w:r>
            <w:r/>
          </w:p>
        </w:tc>
      </w:tr>
    </w:tbl>
    <w:p>
      <w:pPr>
        <w:pBdr/>
        <w:spacing w:line="235" w:lineRule="auto"/>
        <w:ind w:left="0"/>
        <w:jc w:val="both"/>
        <w:rPr>
          <w:u w:val="single"/>
        </w:rPr>
      </w:pPr>
      <w:r>
        <w:rPr>
          <w:u w:val="single"/>
        </w:rPr>
      </w:r>
      <w:r>
        <w:rPr>
          <w:u w:val="single"/>
        </w:rPr>
      </w:r>
      <w:r>
        <w:rPr>
          <w:u w:val="single"/>
        </w:rPr>
      </w:r>
    </w:p>
    <w:p>
      <w:pPr>
        <w:pBdr/>
        <w:spacing w:line="288"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732"/>
        <w:gridCol w:w="1701"/>
        <w:gridCol w:w="2197"/>
        <w:gridCol w:w="2197"/>
        <w:gridCol w:w="1344"/>
        <w:gridCol w:w="134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44"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344"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pPr>
            <w:r>
              <w:t xml:space="preserve">Khu nhà ở xã hội tại ô đất có ký hiệu B8.NXH (Hope Residences), phường Phúc Đồng, quận Long Biên, Thành phố Hà Nội</w:t>
            </w:r>
            <w:r/>
          </w:p>
        </w:tc>
        <w:tc>
          <w:tcPr>
            <w:tcBorders/>
            <w:tcW w:w="2197" w:type="dxa"/>
            <w:vAlign w:val="center"/>
            <w:textDirection w:val="lrTb"/>
            <w:noWrap w:val="false"/>
          </w:tcPr>
          <w:p>
            <w:pPr>
              <w:pBdr/>
              <w:spacing/>
              <w:ind/>
              <w:jc w:val="center"/>
              <w:rPr/>
            </w:pPr>
            <w:r>
              <w:t xml:space="preserve">Khu nhà ở xã hội tại ô đất có ký hiệu B8.NXH (Hope Residences), phường Phúc Lợi, Thành phố Hà Nội </w:t>
            </w:r>
            <w:r>
              <w:t xml:space="preserve">✔</w:t>
            </w:r>
            <w:r/>
          </w:p>
        </w:tc>
        <w:tc>
          <w:tcPr>
            <w:tcBorders/>
            <w:tcW w:w="1344" w:type="dxa"/>
            <w:vAlign w:val="center"/>
            <w:textDirection w:val="lrTb"/>
            <w:noWrap w:val="false"/>
          </w:tcPr>
          <w:p>
            <w:pPr>
              <w:pBdr/>
              <w:spacing/>
              <w:ind/>
              <w:jc w:val="center"/>
              <w:rPr/>
            </w:pPr>
            <w:r>
              <w:t xml:space="preserve">Có</w:t>
            </w:r>
            <w:r/>
          </w:p>
        </w:tc>
        <w:tc>
          <w:tcPr>
            <w:tcBorders/>
            <w:tcW w:w="1344" w:type="dxa"/>
            <w:vAlign w:val="center"/>
            <w:textDirection w:val="lrTb"/>
            <w:noWrap w:val="false"/>
          </w:tcPr>
          <w:p>
            <w:pPr>
              <w:pBdr/>
              <w:spacing/>
              <w:ind/>
              <w:jc w:val="center"/>
              <w:rPr/>
            </w:pPr>
            <w:r>
              <w:t xml:space="preserve">Thay đổi địa giới hành chính do sáp nhập</w:t>
            </w:r>
            <w:r/>
          </w:p>
        </w:tc>
      </w:tr>
      <w:tr>
        <w:trPr>
          <w:jc w:val="center"/>
        </w:trPr>
        <w:tc>
          <w:tcPr>
            <w:tcBorders/>
            <w:tcW w:w="732" w:type="dxa"/>
            <w:vAlign w:val="center"/>
            <w:textDirection w:val="lrTb"/>
            <w:noWrap w:val="false"/>
          </w:tcPr>
          <w:p>
            <w:pPr>
              <w:pBdr/>
              <w:spacing/>
              <w:ind/>
              <w:jc w:val="center"/>
              <w:rPr>
                <w:highlight w:val="yellow"/>
              </w:rPr>
            </w:pPr>
            <w:r>
              <w:rPr>
                <w:highlight w:val="none"/>
              </w:rPr>
              <w:t xml:space="preserve">2</w:t>
            </w:r>
            <w:r>
              <w:rPr>
                <w:highlight w:val="yellow"/>
              </w:rPr>
            </w:r>
            <w:r>
              <w:rPr>
                <w:highlight w:val="yellow"/>
              </w:rPr>
            </w:r>
          </w:p>
        </w:tc>
        <w:tc>
          <w:tcPr>
            <w:tcBorders/>
            <w:tcW w:w="1701"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197"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highlight w:val="yellow"/>
              </w:rPr>
            </w:pPr>
            <w:r>
              <w:rPr>
                <w:highlight w:val="none"/>
              </w:rPr>
              <w:t xml:space="preserve">3</w:t>
            </w:r>
            <w:r>
              <w:rPr>
                <w:highlight w:val="yellow"/>
              </w:rPr>
            </w:r>
            <w:r>
              <w:rPr>
                <w:highlight w:val="yellow"/>
              </w:rPr>
            </w:r>
          </w:p>
        </w:tc>
        <w:tc>
          <w:tcPr>
            <w:tcBorders/>
            <w:tcW w:w="1701"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 tại đô thị</w:t>
            </w:r>
            <w:r/>
          </w:p>
        </w:tc>
        <w:tc>
          <w:tcPr>
            <w:tcBorders/>
            <w:tcW w:w="2197" w:type="dxa"/>
            <w:vAlign w:val="center"/>
            <w:textDirection w:val="lrTb"/>
            <w:noWrap w:val="false"/>
          </w:tcPr>
          <w:p>
            <w:pPr>
              <w:pBdr/>
              <w:spacing/>
              <w:ind/>
              <w:jc w:val="center"/>
              <w:rPr/>
            </w:pPr>
            <w:r>
              <w:t xml:space="preserve">Đất ở tại đô thị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highlight w:val="yellow"/>
              </w:rPr>
            </w:pPr>
            <w:r>
              <w:rPr>
                <w:highlight w:val="none"/>
              </w:rPr>
              <w:t xml:space="preserve">4</w:t>
            </w:r>
            <w:r>
              <w:rPr>
                <w:highlight w:val="yellow"/>
              </w:rPr>
            </w:r>
            <w:r>
              <w:rPr>
                <w:highlight w:val="yellow"/>
              </w:rPr>
            </w:r>
          </w:p>
        </w:tc>
        <w:tc>
          <w:tcPr>
            <w:tcBorders/>
            <w:tcW w:w="1701" w:type="dxa"/>
            <w:vAlign w:val="center"/>
            <w:textDirection w:val="lrTb"/>
            <w:noWrap w:val="false"/>
          </w:tcPr>
          <w:p>
            <w:pPr>
              <w:pBdr/>
              <w:spacing/>
              <w:ind/>
              <w:jc w:val="center"/>
              <w:rPr/>
            </w:pPr>
            <w:r>
              <w:t xml:space="preserve">Thời hạn sử dụng</w:t>
            </w:r>
            <w:r/>
          </w:p>
        </w:tc>
        <w:tc>
          <w:tcPr>
            <w:tcBorders/>
            <w:tcW w:w="2197" w:type="dxa"/>
            <w:vAlign w:val="center"/>
            <w:textDirection w:val="lrTb"/>
            <w:noWrap w:val="false"/>
          </w:tcPr>
          <w:p>
            <w:pPr>
              <w:pBdr/>
              <w:spacing/>
              <w:ind/>
              <w:jc w:val="center"/>
              <w:rPr/>
            </w:pPr>
            <w:r>
              <w:t xml:space="preserve">Lâu dài</w:t>
            </w:r>
            <w:r/>
          </w:p>
        </w:tc>
        <w:tc>
          <w:tcPr>
            <w:tcBorders/>
            <w:tcW w:w="2197" w:type="dxa"/>
            <w:vAlign w:val="center"/>
            <w:textDirection w:val="lrTb"/>
            <w:noWrap w:val="false"/>
          </w:tcPr>
          <w:p>
            <w:pPr>
              <w:pBdr/>
              <w:spacing/>
              <w:ind/>
              <w:jc w:val="center"/>
              <w:rPr/>
            </w:pPr>
            <w:r>
              <w:t xml:space="preserve">Lâu dài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highlight w:val="yellow"/>
              </w:rPr>
            </w:pPr>
            <w:r>
              <w:rPr>
                <w:highlight w:val="none"/>
              </w:rPr>
              <w:t xml:space="preserve">5</w:t>
            </w:r>
            <w:r>
              <w:rPr>
                <w:highlight w:val="yellow"/>
              </w:rPr>
            </w:r>
            <w:r>
              <w:rPr>
                <w:highlight w:val="yellow"/>
              </w:rPr>
            </w:r>
          </w:p>
        </w:tc>
        <w:tc>
          <w:tcPr>
            <w:tcBorders/>
            <w:tcW w:w="1701" w:type="dxa"/>
            <w:vAlign w:val="center"/>
            <w:textDirection w:val="lrTb"/>
            <w:noWrap w:val="false"/>
          </w:tcPr>
          <w:p>
            <w:pPr>
              <w:pBdr/>
              <w:spacing/>
              <w:ind/>
              <w:jc w:val="center"/>
              <w:rPr/>
            </w:pPr>
            <w:r>
              <w:t xml:space="preserve">Diện tích</w:t>
            </w:r>
            <w:r/>
          </w:p>
        </w:tc>
        <w:tc>
          <w:tcPr>
            <w:tcBorders/>
            <w:tcW w:w="2197" w:type="dxa"/>
            <w:vAlign w:val="center"/>
            <w:textDirection w:val="lrTb"/>
            <w:noWrap w:val="false"/>
          </w:tcPr>
          <w:p>
            <w:pPr>
              <w:pBdr/>
              <w:spacing/>
              <w:ind/>
              <w:jc w:val="center"/>
              <w:rPr/>
            </w:pPr>
            <w:r>
              <w:t xml:space="preserve">146,1</w:t>
            </w:r>
            <w:r/>
          </w:p>
        </w:tc>
        <w:tc>
          <w:tcPr>
            <w:tcBorders/>
            <w:tcW w:w="2197" w:type="dxa"/>
            <w:vAlign w:val="center"/>
            <w:textDirection w:val="lrTb"/>
            <w:noWrap w:val="false"/>
          </w:tcPr>
          <w:p>
            <w:pPr>
              <w:pBdr/>
              <w:spacing/>
              <w:ind/>
              <w:jc w:val="center"/>
              <w:rPr/>
            </w:pPr>
            <w:r>
              <w:t xml:space="preserve">146,1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highlight w:val="yellow"/>
              </w:rPr>
            </w:pPr>
            <w:r>
              <w:rPr>
                <w:highlight w:val="none"/>
              </w:rPr>
              <w:t xml:space="preserve">6</w:t>
            </w:r>
            <w:r>
              <w:rPr>
                <w:highlight w:val="yellow"/>
              </w:rPr>
            </w:r>
            <w:r>
              <w:rPr>
                <w:highlight w:val="yellow"/>
              </w:rPr>
            </w:r>
          </w:p>
        </w:tc>
        <w:tc>
          <w:tcPr>
            <w:tcBorders/>
            <w:tcW w:w="1701" w:type="dxa"/>
            <w:vAlign w:val="center"/>
            <w:textDirection w:val="lrTb"/>
            <w:noWrap w:val="false"/>
          </w:tcPr>
          <w:p>
            <w:pPr>
              <w:pBdr/>
              <w:spacing/>
              <w:ind/>
              <w:jc w:val="center"/>
              <w:rPr/>
            </w:pPr>
            <w:r>
              <w:t xml:space="preserve">Mặt tiếp giáp</w:t>
            </w:r>
            <w:r/>
          </w:p>
        </w:tc>
        <w:tc>
          <w:tcPr>
            <w:tcBorders/>
            <w:tcW w:w="2197" w:type="dxa"/>
            <w:vAlign w:val="center"/>
            <w:textDirection w:val="lrTb"/>
            <w:noWrap w:val="false"/>
          </w:tcPr>
          <w:p>
            <w:pPr>
              <w:pBdr/>
              <w:spacing/>
              <w:ind/>
              <w:jc w:val="center"/>
              <w:rPr/>
            </w:pPr>
            <w:r>
              <w:t xml:space="preserve">01 mặt tiền</w:t>
            </w:r>
            <w:r/>
          </w:p>
        </w:tc>
        <w:tc>
          <w:tcPr>
            <w:tcBorders/>
            <w:tcW w:w="2197" w:type="dxa"/>
            <w:vAlign w:val="center"/>
            <w:textDirection w:val="lrTb"/>
            <w:noWrap w:val="false"/>
          </w:tcPr>
          <w:p>
            <w:pPr>
              <w:pBdr/>
              <w:spacing/>
              <w:ind/>
              <w:jc w:val="center"/>
              <w:rPr/>
            </w:pPr>
            <w:r>
              <w:t xml:space="preserve">01 mặt tiền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highlight w:val="yellow"/>
              </w:rPr>
            </w:pPr>
            <w:r>
              <w:rPr>
                <w:highlight w:val="none"/>
              </w:rPr>
              <w:t xml:space="preserve">7</w:t>
            </w:r>
            <w:r>
              <w:rPr>
                <w:highlight w:val="yellow"/>
              </w:rPr>
            </w:r>
            <w:r>
              <w:rPr>
                <w:highlight w:val="yellow"/>
              </w:rPr>
            </w:r>
          </w:p>
        </w:tc>
        <w:tc>
          <w:tcPr>
            <w:tcBorders/>
            <w:tcW w:w="1701" w:type="dxa"/>
            <w:vAlign w:val="center"/>
            <w:textDirection w:val="lrTb"/>
            <w:noWrap w:val="false"/>
          </w:tcPr>
          <w:p>
            <w:pPr>
              <w:pBdr/>
              <w:spacing/>
              <w:ind/>
              <w:jc w:val="center"/>
              <w:rPr/>
            </w:pPr>
            <w:r>
              <w:t xml:space="preserve">Hình dạng thửa đất</w:t>
            </w:r>
            <w:r/>
          </w:p>
        </w:tc>
        <w:tc>
          <w:tcPr>
            <w:tcBorders/>
            <w:tcW w:w="2197" w:type="dxa"/>
            <w:vAlign w:val="center"/>
            <w:textDirection w:val="lrTb"/>
            <w:noWrap w:val="false"/>
          </w:tcPr>
          <w:p>
            <w:pPr>
              <w:pBdr/>
              <w:spacing/>
              <w:ind/>
              <w:jc w:val="center"/>
              <w:rPr/>
            </w:pPr>
            <w:r>
              <w:t xml:space="preserve">Hình chữ nhật</w:t>
            </w:r>
            <w:r/>
          </w:p>
        </w:tc>
        <w:tc>
          <w:tcPr>
            <w:tcBorders/>
            <w:tcW w:w="2197" w:type="dxa"/>
            <w:vAlign w:val="center"/>
            <w:textDirection w:val="lrTb"/>
            <w:noWrap w:val="false"/>
          </w:tcPr>
          <w:p>
            <w:pPr>
              <w:pBdr/>
              <w:spacing/>
              <w:ind/>
              <w:jc w:val="center"/>
              <w:rPr/>
            </w:pPr>
            <w:r>
              <w:t xml:space="preserve">Hình chữ nhật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highlight w:val="yellow"/>
              </w:rPr>
            </w:pPr>
            <w:r>
              <w:rPr>
                <w:highlight w:val="none"/>
              </w:rPr>
              <w:t xml:space="preserve">8</w:t>
            </w:r>
            <w:r>
              <w:rPr>
                <w:highlight w:val="yellow"/>
              </w:rPr>
            </w:r>
            <w:r>
              <w:rPr>
                <w:highlight w:val="yellow"/>
              </w:rPr>
            </w:r>
          </w:p>
        </w:tc>
        <w:tc>
          <w:tcPr>
            <w:tcBorders/>
            <w:tcW w:w="1701" w:type="dxa"/>
            <w:vAlign w:val="center"/>
            <w:textDirection w:val="lrTb"/>
            <w:noWrap w:val="false"/>
          </w:tcPr>
          <w:p>
            <w:pPr>
              <w:pBdr/>
              <w:spacing/>
              <w:ind/>
              <w:jc w:val="center"/>
              <w:rPr/>
            </w:pPr>
            <w:r>
              <w:t xml:space="preserve">Hướng</w:t>
            </w:r>
            <w:r/>
          </w:p>
        </w:tc>
        <w:tc>
          <w:tcPr>
            <w:tcBorders/>
            <w:tcW w:w="2197" w:type="dxa"/>
            <w:vAlign w:val="center"/>
            <w:textDirection w:val="lrTb"/>
            <w:noWrap w:val="false"/>
          </w:tcPr>
          <w:p>
            <w:pPr>
              <w:pBdr/>
              <w:spacing/>
              <w:ind/>
              <w:jc w:val="center"/>
              <w:rPr/>
            </w:pPr>
            <w:r>
              <w:t xml:space="preserve">Đông Nam</w:t>
            </w:r>
            <w:r/>
          </w:p>
        </w:tc>
        <w:tc>
          <w:tcPr>
            <w:tcBorders/>
            <w:tcW w:w="2197" w:type="dxa"/>
            <w:vAlign w:val="center"/>
            <w:textDirection w:val="lrTb"/>
            <w:noWrap w:val="false"/>
          </w:tcPr>
          <w:p>
            <w:pPr>
              <w:pBdr/>
              <w:spacing/>
              <w:ind/>
              <w:jc w:val="center"/>
              <w:rPr/>
            </w:pPr>
            <w:r>
              <w:t xml:space="preserve">Đông Nam ✔</w:t>
            </w:r>
            <w:r/>
          </w:p>
        </w:tc>
        <w:tc>
          <w:tcPr>
            <w:tcBorders/>
            <w:tcW w:w="1344" w:type="dxa"/>
            <w:vAlign w:val="center"/>
            <w:textDirection w:val="lrTb"/>
            <w:noWrap w:val="false"/>
          </w:tcPr>
          <w:p>
            <w:pPr>
              <w:pBdr/>
              <w:spacing/>
              <w:ind/>
              <w:jc w:val="center"/>
              <w:rPr/>
            </w:pPr>
            <w:r>
              <w:t xml:space="preserve">Không</w:t>
            </w:r>
            <w:r/>
          </w:p>
        </w:tc>
        <w:tc>
          <w:tcPr>
            <w:tcBorders/>
            <w:tcW w:w="1344" w:type="dxa"/>
            <w:vAlign w:val="center"/>
            <w:textDirection w:val="lrTb"/>
            <w:noWrap w:val="false"/>
          </w:tcPr>
          <w:p>
            <w:pPr>
              <w:pBdr/>
              <w:spacing/>
              <w:ind/>
              <w:jc w:val="center"/>
              <w:rPr/>
            </w:pPr>
            <w: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sở hữu sàn thương mại</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5"/>
        <w:gridCol w:w="1823"/>
        <w:gridCol w:w="1772"/>
        <w:gridCol w:w="1772"/>
        <w:gridCol w:w="1772"/>
        <w:gridCol w:w="1772"/>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2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823"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484"/>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nhà ở xã hội tại ô đất có ký hiệu B8.NXH (Hope Residences), phường Phúc Đồng, quận Long Biên, Thành phố Hà Nội (Nay là phường Phúc Lợi, Thành phố Hà Nội)</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nhà ở xã hội tại ô đất có ký hiệu B8.NXH (Hope Residences), phường Phúc Đồng, quận Long Biên, Thành phố Hà Nội (Nay là phường Phúc Lợi, Thành phố Hà Nội)</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nhà ở xã hội tại ô đất có ký hiệu B8.NXH (Hope Residences), phường Phúc Đồng, quận Long Biên, Thành phố Hà Nội (Nay là phường Phúc Lợi, Thành phố Hà Nội)</w:t>
            </w:r>
            <w:r/>
          </w:p>
        </w:tc>
        <w:tc>
          <w:tcPr>
            <w:tcBorders>
              <w:bottom w:val="single" w:color="000000" w:sz="6" w:space="0"/>
              <w:right w:val="single" w:color="000000" w:sz="6"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nhà ở xã hội tại ô đất có ký hiệu B8.NXH (Hope Residences), phường Phúc Đồng, quận Long Biên, Thành phố Hà Nội (Nay là phường Phúc Lợi, Thành phố Hà Nội)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0911339191</w:t>
              <w:br/>
              <w:t xml:space="preserve">(Sale Chí Thiện)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0911339191</w:t>
              <w:br/>
              <w:t xml:space="preserve">(Sale Chí Thiện)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0906679555</w:t>
              <w:br/>
              <w:t xml:space="preserve">(Sale Đỗ Nghiệp)</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Đã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dịch vụ</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dịch vụ</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dịch vụ</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dịch vụ</w:t>
            </w:r>
            <w:r/>
          </w:p>
        </w:tc>
      </w:tr>
      <w:tr>
        <w:trPr>
          <w:trHeight w:val="1104"/>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dịch vụ số H2-TM4, Toà Hope Residences</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tại Khu thương mại dịch vụ tòa Hope Residences</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dịch vụ H1, Khu thương mại dịch vụ tòa Hope Residences</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Sàn thương mại dịch vụ H1, Khu thương mại dịch vụ tòa Hope Residences</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Giao thông, cảnh quan</w:t>
            </w:r>
            <w:r>
              <w:rPr>
                <w:color w:val="000000" w:themeColor="text1"/>
              </w:rPr>
            </w:r>
            <w:r>
              <w:rPr>
                <w:color w:val="000000" w:themeColor="text1"/>
              </w:rP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nội khu bên trong lát gạch. Nhìn ra công viên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nội khu bên trong lát gạch. Nhìn ra công viên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nội khu bên trong lát gạch. Nhìn ra công viên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giao thông bên ngoài nhựa + vỉa hè. Nhìn ra nghĩa trang Mai Phúc</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146,1</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113,9</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7,55m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 tầng: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1+2/21 tầng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1+2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1+2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1+2</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kinh doanh</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9.112.000.000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11.000.000.000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7.927.440.000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9.570.000.000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5.800.000.000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7.927.440.000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9.570.000.000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68.235.294</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68.357.143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6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686"/>
        <w:gridCol w:w="850"/>
        <w:gridCol w:w="1595"/>
        <w:gridCol w:w="1595"/>
        <w:gridCol w:w="1595"/>
        <w:gridCol w:w="1595"/>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7.927.440.000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9.570.000.000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68.235.294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68.357.143</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68.235.294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68.357.143 </w:t>
            </w:r>
            <w:r/>
          </w:p>
        </w:tc>
      </w:tr>
      <w:tr>
        <w:trPr>
          <w:trHeight w:val="110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Sàn thương mại dịch vụ số H2-TM4, Toà Hope Residences</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Sàn thương mại tại Khu thương mại dịch vụ tòa Hope Residences</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Sàn thương mại dịch vụ H1, Khu thương mại dịch vụ tòa Hope Residences</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Sàn thương mại dịch vụ H1, Khu thương mại dịch vụ tòa Hope Residences</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68.235.294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68.357.143 </w:t>
            </w:r>
            <w:r/>
          </w:p>
        </w:tc>
      </w:tr>
      <w:tr>
        <w:trPr>
          <w:trHeight w:val="1104"/>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b/>
                <w:bCs/>
                <w:color w:val="000000" w:themeColor="text1"/>
              </w:rPr>
            </w:pPr>
            <w:r>
              <w:rPr>
                <w:rFonts w:ascii="Times New Roman" w:hAnsi="Times New Roman" w:eastAsia="Times New Roman" w:cs="Times New Roman"/>
                <w:b/>
                <w:bCs/>
                <w:color w:val="000000" w:themeColor="text1"/>
                <w:sz w:val="22"/>
              </w:rPr>
              <w:t xml:space="preserve">Giao thông, cảnh quan</w:t>
            </w:r>
            <w:r>
              <w:rPr>
                <w:b/>
                <w:bCs/>
                <w:color w:val="000000" w:themeColor="text1"/>
              </w:rPr>
            </w:r>
            <w:r>
              <w:rPr>
                <w:b/>
                <w:bCs/>
                <w:color w:val="000000" w:themeColor="text1"/>
              </w:rP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nội khu bên trong lát gạch. Nhìn ra công viên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nội khu bên trong lát gạch. Nhìn ra công viên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nội khu bên trong lát gạch. Nhìn ra công viên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giao thông bên ngoài nhựa + vỉa hè. Nhìn ra nghĩa trang Mai Phúc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6.835.714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68.235.294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75.192.857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146,1</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113,9</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-6.823.529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61.411.765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66.120.000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75.192.857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7,55m</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8.188.235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-3.417.857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71.775.000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71.775.000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69.600.000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71.775.000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478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70.325.000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-1,03%</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-1,03%</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2,06%</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15.011.765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6.960.000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10.067.143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 - 12%</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1.364.706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3.355.714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-1,03</w:t>
      </w:r>
      <w:r>
        <w:t xml:space="preserve">% đến</w:t>
      </w:r>
      <w:r>
        <w:t xml:space="preserve"> </w:t>
      </w:r>
      <w:r>
        <w:t xml:space="preserve">2,06%,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36"/>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69.600.000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24.360.000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69.600.000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24.360.000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71.775.000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21.532.500</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70.252.500</w:t>
            </w:r>
            <w:r/>
          </w:p>
        </w:tc>
      </w:tr>
      <w:tr>
        <w:trPr>
          <w:trHeight w:val="312"/>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70.000.000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2126"/>
      </w:tblGrid>
      <w:tr>
        <w:trPr>
          <w:trHeight w:val="729"/>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9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Sàn thương mại dịch vụ số H2-TM4, Khu thương mại dịch vụ tòa Hope Residences, Khu nhà ở xã hội tại ô đất có ký hiệu B8.NXH (Hope Residences), phường Phúc Đồng, quận Long Biên, Thành phố Hà Nội </w:t>
            </w:r>
            <w:r>
              <w:rPr>
                <w:rFonts w:ascii="Times New Roman" w:hAnsi="Times New Roman" w:eastAsia="Times New Roman" w:cs="Times New Roman"/>
                <w:b/>
                <w:i/>
                <w:iCs/>
                <w:color w:val="000000"/>
                <w:sz w:val="24"/>
              </w:rPr>
              <w:t xml:space="preserve">(Nay là phường Phúc Lợi, Thành phố Hà Nội)</w:t>
            </w:r>
            <w:r>
              <w:rPr>
                <w:rFonts w:ascii="Times New Roman" w:hAnsi="Times New Roman" w:eastAsia="Times New Roman" w:cs="Times New Roman"/>
                <w:b/>
                <w:color w:val="000000"/>
                <w:sz w:val="24"/>
              </w:rPr>
              <w:t xml:space="preserve"> theo Giấy chứng nhận</w:t>
            </w:r>
            <w:r>
              <w:rPr>
                <w:rFonts w:ascii="Times New Roman" w:hAnsi="Times New Roman" w:eastAsia="Times New Roman" w:cs="Times New Roman"/>
                <w:b/>
                <w:color w:val="000000"/>
                <w:sz w:val="24"/>
              </w:rPr>
              <w:t xml:space="preserve"> Quyền sử dụng đất, quyền sở hữu nhà ở và tài sản khác gắn liền với đất số: DP 566492 và Giấy chứng nhận Quyền sử dụng đất, quyền sở hữu nhà ở và tài sản khác gắn liền với đất số DP 566491.</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Sàn thương mại dịch vụ số H2-TM4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146,1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70.000.000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10.227.000.000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10.227.000.000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Mười tỷ, hai trăm hai mươi bảy triệu đồng chẵn./.)</w:t>
            </w: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w:t>
      </w:r>
      <w:r>
        <w:rPr>
          <w:bCs/>
          <w:lang w:val="pt-BR"/>
        </w:rPr>
        <w:t xml:space="preserve">+ Pháp lý + BBKS</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275/2026/0580/VFI-CT.21.A</w:t>
      </w:r>
      <w:r>
        <w:rPr>
          <w:color w:val="ff0000"/>
          <w:lang w:val="vi-VN"/>
        </w:rPr>
        <w:t xml:space="preserve"> </w:t>
      </w:r>
      <w:r>
        <w:rPr>
          <w:color w:val="000000" w:themeColor="text1"/>
        </w:rPr>
        <w:t xml:space="preserve">ngày 15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275/2026/0580/VFI-BC.21.A</w:t>
      </w:r>
      <w:r>
        <w:rPr>
          <w:i/>
          <w:lang w:val="pt-BR"/>
        </w:rPr>
        <w:t xml:space="preserve"> ngày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972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8859" name=""/>
                              <pic:cNvPicPr>
                                <a:picLocks noChangeAspect="1"/>
                              </pic:cNvPicPr>
                              <pic:nvPr/>
                            </pic:nvPicPr>
                            <pic:blipFill rotWithShape="1">
                              <a:blip r:embed="rId18"/>
                              <a:stretch/>
                            </pic:blipFill>
                            <pic:spPr bwMode="auto">
                              <a:xfrm rot="0" flipH="0" flipV="0">
                                <a:off x="0" y="0"/>
                                <a:ext cx="9972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8.52pt;height:170.08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902762" name=""/>
                              <pic:cNvPicPr>
                                <a:picLocks noChangeAspect="1"/>
                              </pic:cNvPicPr>
                              <pic:nvPr/>
                            </pic:nvPicPr>
                            <pic:blipFill rotWithShape="1">
                              <a:blip r:embed="rId19"/>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67788" name=""/>
                              <pic:cNvPicPr>
                                <a:picLocks noChangeAspect="1"/>
                              </pic:cNvPicPr>
                              <pic:nvPr/>
                            </pic:nvPicPr>
                            <pic:blipFill rotWithShape="1">
                              <a:blip r:embed="rId20"/>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57619" name=""/>
                              <pic:cNvPicPr>
                                <a:picLocks noChangeAspect="1"/>
                              </pic:cNvPicPr>
                              <pic:nvPr/>
                            </pic:nvPicPr>
                            <pic:blipFill rotWithShape="1">
                              <a:blip r:embed="rId2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59752"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9341"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275/2026/0580/VFI-BC.21.A</w:t>
      </w:r>
      <w:r>
        <w:rPr>
          <w:i/>
          <w:lang w:val="pt-BR"/>
        </w:rPr>
        <w:t xml:space="preserve"> ngày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mc:AlternateContent>
          <mc:Choice Requires="wpg">
            <w:drawing>
              <wp:inline xmlns:wp="http://schemas.openxmlformats.org/drawingml/2006/wordprocessingDrawing" distT="0" distB="0" distL="0" distR="0">
                <wp:extent cx="5912423" cy="669318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92165" name=""/>
                        <pic:cNvPicPr>
                          <a:picLocks noChangeAspect="1"/>
                        </pic:cNvPicPr>
                        <pic:nvPr/>
                      </pic:nvPicPr>
                      <pic:blipFill rotWithShape="1">
                        <a:blip r:embed="rId24"/>
                        <a:stretch/>
                      </pic:blipFill>
                      <pic:spPr bwMode="auto">
                        <a:xfrm flipH="0" flipV="0">
                          <a:off x="0" y="0"/>
                          <a:ext cx="5912422" cy="6693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5.55pt;height:527.02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76863" cy="117779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018185" name=""/>
                              <pic:cNvPicPr>
                                <a:picLocks noChangeAspect="1"/>
                              </pic:cNvPicPr>
                              <pic:nvPr/>
                            </pic:nvPicPr>
                            <pic:blipFill rotWithShape="1">
                              <a:blip r:embed="rId25"/>
                              <a:stretch/>
                            </pic:blipFill>
                            <pic:spPr bwMode="auto">
                              <a:xfrm flipH="0" flipV="0">
                                <a:off x="0" y="0"/>
                                <a:ext cx="1676863" cy="11777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2.04pt;height:92.74pt;mso-wrap-distance-left:0.00pt;mso-wrap-distance-top:0.00pt;mso-wrap-distance-right:0.00pt;mso-wrap-distance-bottom:0.00pt;z-index:1;" stroked="false">
                      <v:imagedata r:id="rId25"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836856" cy="739818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41073" name=""/>
                        <pic:cNvPicPr>
                          <a:picLocks noChangeAspect="1"/>
                        </pic:cNvPicPr>
                        <pic:nvPr/>
                      </pic:nvPicPr>
                      <pic:blipFill rotWithShape="1">
                        <a:blip r:embed="rId26"/>
                        <a:stretch/>
                      </pic:blipFill>
                      <pic:spPr bwMode="auto">
                        <a:xfrm flipH="0" flipV="0">
                          <a:off x="0" y="0"/>
                          <a:ext cx="5836856" cy="73981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9.59pt;height:582.53pt;mso-wrap-distance-left:0.00pt;mso-wrap-distance-top:0.00pt;mso-wrap-distance-right:0.00pt;mso-wrap-distance-bottom:0.00pt;z-index:1;" stroked="false">
                <v:imagedata r:id="rId26"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666992" cy="117086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78746" name=""/>
                              <pic:cNvPicPr>
                                <a:picLocks noChangeAspect="1"/>
                              </pic:cNvPicPr>
                              <pic:nvPr/>
                            </pic:nvPicPr>
                            <pic:blipFill rotWithShape="1">
                              <a:blip r:embed="rId27"/>
                              <a:stretch/>
                            </pic:blipFill>
                            <pic:spPr bwMode="auto">
                              <a:xfrm rot="0" flipH="0" flipV="0">
                                <a:off x="0" y="0"/>
                                <a:ext cx="1666991" cy="11708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1.26pt;height:92.19pt;mso-wrap-distance-left:0.00pt;mso-wrap-distance-top:0.00pt;mso-wrap-distance-right:0.00pt;mso-wrap-distance-bottom:0.00pt;rotation:0;z-index:1;" stroked="false">
                      <v:imagedata r:id="rId27"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712015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3615" name=""/>
                        <pic:cNvPicPr>
                          <a:picLocks noChangeAspect="1"/>
                        </pic:cNvPicPr>
                        <pic:nvPr/>
                      </pic:nvPicPr>
                      <pic:blipFill rotWithShape="1">
                        <a:blip r:embed="rId28"/>
                        <a:stretch/>
                      </pic:blipFill>
                      <pic:spPr bwMode="auto">
                        <a:xfrm>
                          <a:off x="0" y="0"/>
                          <a:ext cx="6048374" cy="71201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560.64pt;mso-wrap-distance-left:0.00pt;mso-wrap-distance-top:0.00pt;mso-wrap-distance-right:0.00pt;mso-wrap-distance-bottom:0.00pt;z-index:1;" stroked="false">
                <v:imagedata r:id="rId28" o:title=""/>
                <o:lock v:ext="edit" rotation="t"/>
              </v:shape>
            </w:pict>
          </mc:Fallback>
        </mc:AlternateContent>
      </w:r>
      <w:r>
        <w:rPr>
          <w:iCs/>
          <w:lang w:val="pt-BR"/>
        </w:rPr>
      </w:r>
      <w:r/>
      <w:r>
        <w:rPr>
          <w:iCs/>
          <w:highlight w:val="none"/>
          <w:lang w:val="pt-BR"/>
        </w:rPr>
      </w:r>
      <w:r>
        <w:rPr>
          <w:iCs/>
          <w:highlight w:val="none"/>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666992" cy="117086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59760" name=""/>
                              <pic:cNvPicPr>
                                <a:picLocks noChangeAspect="1"/>
                              </pic:cNvPicPr>
                              <pic:nvPr/>
                            </pic:nvPicPr>
                            <pic:blipFill rotWithShape="1">
                              <a:blip r:embed="rId27"/>
                              <a:stretch/>
                            </pic:blipFill>
                            <pic:spPr bwMode="auto">
                              <a:xfrm flipH="0" flipV="0">
                                <a:off x="0" y="0"/>
                                <a:ext cx="1666991" cy="11708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1.26pt;height:92.19pt;mso-wrap-distance-left:0.00pt;mso-wrap-distance-top:0.00pt;mso-wrap-distance-right:0.00pt;mso-wrap-distance-bottom:0.00pt;z-index:1;" stroked="false">
                      <v:imagedata r:id="rId27"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30735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57987" name=""/>
                        <pic:cNvPicPr>
                          <a:picLocks noChangeAspect="1"/>
                        </pic:cNvPicPr>
                        <pic:nvPr/>
                      </pic:nvPicPr>
                      <pic:blipFill rotWithShape="1">
                        <a:blip r:embed="rId29"/>
                        <a:stretch/>
                      </pic:blipFill>
                      <pic:spPr bwMode="auto">
                        <a:xfrm>
                          <a:off x="0" y="0"/>
                          <a:ext cx="6048374" cy="4307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39.16pt;mso-wrap-distance-left:0.00pt;mso-wrap-distance-top:0.00pt;mso-wrap-distance-right:0.00pt;mso-wrap-distance-bottom:0.00pt;z-index:1;" stroked="false">
                <v:imagedata r:id="rId29"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17482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24866" name=""/>
                        <pic:cNvPicPr>
                          <a:picLocks noChangeAspect="1"/>
                        </pic:cNvPicPr>
                        <pic:nvPr/>
                      </pic:nvPicPr>
                      <pic:blipFill rotWithShape="1">
                        <a:blip r:embed="rId30"/>
                        <a:stretch/>
                      </pic:blipFill>
                      <pic:spPr bwMode="auto">
                        <a:xfrm>
                          <a:off x="0" y="0"/>
                          <a:ext cx="6048374" cy="4174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8.73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16277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98337" name=""/>
                        <pic:cNvPicPr>
                          <a:picLocks noChangeAspect="1"/>
                        </pic:cNvPicPr>
                        <pic:nvPr/>
                      </pic:nvPicPr>
                      <pic:blipFill rotWithShape="1">
                        <a:blip r:embed="rId31"/>
                        <a:stretch/>
                      </pic:blipFill>
                      <pic:spPr bwMode="auto">
                        <a:xfrm>
                          <a:off x="0" y="0"/>
                          <a:ext cx="6048374" cy="4162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27.78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30735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78346" name=""/>
                        <pic:cNvPicPr>
                          <a:picLocks noChangeAspect="1"/>
                        </pic:cNvPicPr>
                        <pic:nvPr/>
                      </pic:nvPicPr>
                      <pic:blipFill rotWithShape="1">
                        <a:blip r:embed="rId32"/>
                        <a:stretch/>
                      </pic:blipFill>
                      <pic:spPr bwMode="auto">
                        <a:xfrm>
                          <a:off x="0" y="0"/>
                          <a:ext cx="6048374" cy="4307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39.16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04644"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3B4BE5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283</cp:revision>
  <dcterms:created xsi:type="dcterms:W3CDTF">2025-09-15T09:58:00Z</dcterms:created>
  <dcterms:modified xsi:type="dcterms:W3CDTF">2026-04-16T07:31:23Z</dcterms:modified>
</cp:coreProperties>
</file>