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540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540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275/2026/0317/VFI-CT.39.A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NGÂN HÀNG NÔNG NGHIỆP VÀ PHÁT TRIỂN NÔNG THÔN VIỆT NAM (AGRIBANK) - CHI NHÁNH HÀ TÂY I – PHÒNG GIAO DỊCH VĂN MIẾU</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526, tờ bản đồ số 26 có địa chỉ: Thôn Đồi Vua, xã Đoài Phương, th</w:t>
                            </w:r>
                            <w:r>
                              <w:rPr>
                                <w:color w:val="000000"/>
                              </w:rPr>
                              <w:t xml:space="preserve">ành phố Hà Nội theo Giấy chứng nhận quyền sử dụng đất quyền sở hữu tài sản gắn liền với đất số: AA 04406491, số vào sổ cấp GCN: CN 5968 do Chi nhánh văn phòng đăng kí đất đai Hà Nội thị xã Sơn Tây cấp ngày 09/02/2026; Chủ sử dụng đất là Bà Hoàng Thị Tú Anh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9.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275/2026/0317/VFI-CT.39.A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NGÂN HÀNG NÔNG NGHIỆP VÀ PHÁT TRIỂN NÔNG THÔN VIỆT NAM (AGRIBANK) - CHI NHÁNH HÀ TÂY I – PHÒNG GIAO DỊCH VĂN MIẾU</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526, tờ bản đồ số 26 có địa chỉ: Thôn Đồi Vua, xã Đoài Phương, th</w:t>
                      </w:r>
                      <w:r>
                        <w:rPr>
                          <w:color w:val="000000"/>
                        </w:rPr>
                        <w:t xml:space="preserve">ành phố Hà Nội theo Giấy chứng nhận quyền sử dụng đất quyền sở hữu tài sản gắn liền với đất số: AA 04406491, số vào sổ cấp GCN: CN 5968 do Chi nhánh văn phòng đăng kí đất đai Hà Nội thị xã Sơn Tây cấp ngày 09/02/2026; Chủ sử dụng đất là Bà Hoàng Thị Tú Anh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874"/>
        <w:gridCol w:w="12684"/>
      </w:tblGrid>
      <w:tr>
        <w:trPr>
          <w:trHeight w:val="1152"/>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6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w:t>
            </w:r>
            <w:r>
              <w:rPr>
                <w:rStyle w:val="1022"/>
                <w:rFonts w:ascii="Times New Roman" w:hAnsi="Times New Roman"/>
                <w:color w:val="000000" w:themeColor="text1"/>
                <w:lang w:val="pt-BR"/>
              </w:rPr>
              <w:t xml:space="preserve">: </w:t>
            </w:r>
            <w:r>
              <w:rPr>
                <w:rStyle w:val="1022"/>
                <w:rFonts w:ascii="Times New Roman" w:hAnsi="Times New Roman"/>
                <w:color w:val="000000" w:themeColor="text1"/>
                <w:lang w:val="pt-BR"/>
              </w:rPr>
              <w:t xml:space="preserve">275/2026/0317/VFI-CT.39.A                                </w:t>
            </w:r>
            <w:r>
              <w:rPr>
                <w:color w:val="000000" w:themeColor="text1"/>
                <w:sz w:val="24"/>
                <w:szCs w:val="24"/>
              </w:rPr>
            </w:r>
            <w:r>
              <w:rPr>
                <w:color w:val="000000" w:themeColor="text1"/>
                <w:sz w:val="24"/>
                <w:szCs w:val="24"/>
              </w:rPr>
            </w:r>
            <w:r>
              <w:rPr>
                <w:rStyle w:val="1022"/>
                <w:rFonts w:ascii="Times New Roman" w:hAnsi="Times New Roman"/>
                <w:i/>
                <w:color w:val="auto"/>
              </w:rPr>
              <w:t xml:space="preserve">TP. </w:t>
            </w:r>
            <w:r>
              <w:rPr>
                <w:rStyle w:val="1022"/>
                <w:rFonts w:ascii="Times New Roman" w:hAnsi="Times New Roman"/>
                <w:i/>
                <w:color w:val="auto"/>
              </w:rPr>
              <w:t xml:space="preserve">Hà</w:t>
            </w:r>
            <w:r>
              <w:rPr>
                <w:rStyle w:val="1022"/>
                <w:rFonts w:ascii="Times New Roman" w:hAnsi="Times New Roman"/>
                <w:i/>
                <w:color w:val="auto"/>
              </w:rPr>
              <w:t xml:space="preserve"> </w:t>
            </w:r>
            <w:r>
              <w:rPr>
                <w:rStyle w:val="1022"/>
                <w:rFonts w:ascii="Times New Roman" w:hAnsi="Times New Roman"/>
                <w:i/>
                <w:color w:val="auto"/>
              </w:rPr>
              <w:t xml:space="preserve">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11 tháng 2 năm 2026</w:t>
            </w:r>
            <w:r>
              <w:rPr>
                <w:color w:val="000000" w:themeColor="text1"/>
                <w:sz w:val="24"/>
                <w:szCs w:val="24"/>
                <w:lang w:val="vi-VN"/>
              </w:rPr>
            </w:r>
            <w:r>
              <w:rPr>
                <w:color w:val="000000" w:themeColor="text1"/>
                <w:sz w:val="24"/>
                <w:szCs w:val="24"/>
                <w:lang w:val="vi-VN"/>
              </w:rPr>
            </w:r>
            <w:r>
              <w:rPr>
                <w:color w:val="000000" w:themeColor="text1"/>
                <w:sz w:val="24"/>
                <w:szCs w:val="24"/>
              </w:rPr>
            </w:r>
          </w:p>
        </w:tc>
      </w:tr>
    </w:tbl>
    <w:p>
      <w:pPr>
        <w:pStyle w:val="1023"/>
        <w:pBdr/>
        <w:spacing w:after="120" w:before="200" w:line="288" w:lineRule="auto"/>
        <w:ind/>
        <w:jc w:val="center"/>
        <w:rPr>
          <w:rStyle w:val="1022"/>
          <w:rFonts w:ascii="Times New Roman" w:hAnsi="Times New Roman"/>
          <w:b/>
          <w:bCs/>
          <w:color w:val="auto"/>
          <w:sz w:val="30"/>
          <w:szCs w:val="30"/>
          <w:lang w:val="vi-VN"/>
        </w:rPr>
      </w:pPr>
      <w:r>
        <w:rPr>
          <w:rStyle w:val="1022"/>
          <w:rFonts w:ascii="Times New Roman" w:hAnsi="Times New Roman"/>
          <w:b/>
          <w:bCs/>
          <w:color w:val="auto"/>
          <w:sz w:val="30"/>
          <w:szCs w:val="30"/>
          <w:lang w:val="vi-VN"/>
        </w:rPr>
        <w:t xml:space="preserve">CHỨNG THƯ THẨM ĐỊNH GIÁ</w:t>
      </w:r>
      <w:r>
        <w:rPr>
          <w:rStyle w:val="1022"/>
          <w:rFonts w:ascii="Times New Roman" w:hAnsi="Times New Roman"/>
          <w:b/>
          <w:bCs/>
          <w:color w:val="auto"/>
          <w:sz w:val="30"/>
          <w:szCs w:val="30"/>
          <w:lang w:val="vi-VN"/>
        </w:rPr>
      </w:r>
      <w:r>
        <w:rPr>
          <w:rStyle w:val="1022"/>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NGÂN HÀNG NÔNG NGHIỆP VÀ PHÁT TRIỂN NÔNG THÔN VIỆT NAM (AGRIBANK) - CHI NHÁNH HÀ TÂY I – PHÒNG GIAO DỊCH VĂN MIẾU</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275/2026/0317/VFI-HĐTĐ.39.A</w:t>
      </w:r>
      <w:r>
        <w:rPr>
          <w:spacing w:val="-4"/>
          <w:lang w:val="vi-VN"/>
        </w:rPr>
        <w:t xml:space="preserve"> ký ngày </w:t>
      </w:r>
      <w:r>
        <w:rPr>
          <w:color w:val="000000" w:themeColor="text1"/>
          <w:spacing w:val="-4"/>
        </w:rPr>
        <w:t xml:space="preserve">11 tháng 2 năm 2026</w:t>
      </w:r>
      <w:r>
        <w:rPr>
          <w:spacing w:val="-4"/>
          <w:lang w:val="vi-VN"/>
        </w:rPr>
        <w:t xml:space="preserve"> </w:t>
      </w:r>
      <w:r>
        <w:rPr>
          <w:spacing w:val="-4"/>
          <w:lang w:val="vi-VN"/>
        </w:rPr>
        <w:t xml:space="preserve">giữa </w:t>
      </w:r>
      <w:r>
        <w:rPr>
          <w:color w:val="000000" w:themeColor="text1"/>
          <w:spacing w:val="-4"/>
        </w:rPr>
        <w:t xml:space="preserve">Ngân hàng Nông nghiệp và phát triển nông thôn Việt Nam (agribank) - Chi nhánh Hà Tây I - Phòng giao dịch Văn Miếu</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275/2026/0317/VFI-BC.39.A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11 tháng 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0" w:firstLine="0" w:left="0"/>
              <w:rPr/>
            </w:pPr>
            <w:r>
              <w:rPr>
                <w:rFonts w:ascii="Times New Roman" w:hAnsi="Times New Roman" w:eastAsia="Times New Roman" w:cs="Times New Roman"/>
                <w:b/>
                <w:color w:val="000000"/>
                <w:spacing w:val="-8"/>
                <w:sz w:val="24"/>
              </w:rPr>
              <w:t xml:space="preserve">NGÂN HÀNG NÔNG NGHIỆP VÀ PHÁT TRIỂN NÔNG THÔN VIỆT NAM (AGRIBANK) - CHI NHÁNH HÀ TÂY I – PHÒNG GIAO DỊCH VĂN MIẾU</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0" w:firstLine="0" w:left="0"/>
              <w:jc w:val="both"/>
              <w:rPr/>
            </w:pPr>
            <w:r>
              <w:rPr>
                <w:rFonts w:ascii="Times New Roman" w:hAnsi="Times New Roman" w:eastAsia="Times New Roman" w:cs="Times New Roman"/>
                <w:color w:val="000000"/>
                <w:sz w:val="24"/>
              </w:rPr>
              <w:t xml:space="preserve">Mã số thuế</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color w:val="000000"/>
                <w:sz w:val="24"/>
              </w:rPr>
              <w:t xml:space="preserve">0100686174 081</w:t>
            </w:r>
            <w:r/>
          </w:p>
        </w:tc>
      </w:tr>
      <w:tr>
        <w:trPr>
          <w:trHeight w:val="20"/>
        </w:trPr>
        <w:tc>
          <w:tcPr>
            <w:shd w:val="clear" w:color="ffffff" w:fill="ffffff"/>
            <w:tcBorders/>
            <w:tcW w:w="1109"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both"/>
              <w:rPr/>
            </w:pPr>
            <w:r>
              <w:rPr>
                <w:rFonts w:ascii="Times New Roman" w:hAnsi="Times New Roman" w:eastAsia="Times New Roman" w:cs="Times New Roman"/>
                <w:color w:val="000000"/>
                <w:sz w:val="24"/>
              </w:rPr>
              <w:t xml:space="preserve">Đia chỉ</w:t>
            </w:r>
            <w:r/>
          </w:p>
        </w:tc>
        <w:tc>
          <w:tcPr>
            <w:shd w:val="clear" w:color="ffffff" w:fill="ffffff"/>
            <w:tcBorders/>
            <w:tcW w:w="248" w:type="pct"/>
            <w:vAlign w:val="center"/>
            <w:vMerge w:val="restart"/>
            <w:textDirection w:val="lrTb"/>
            <w:noWrap w:val="false"/>
          </w:tcPr>
          <w:p>
            <w:pPr>
              <w:pBdr/>
              <w:spacing w:after="40" w:before="40" w:line="276" w:lineRule="auto"/>
              <w:ind/>
              <w:jc w:val="center"/>
              <w:rPr>
                <w:bCs/>
                <w:color w:val="000000"/>
                <w:lang w:val="pt-BR"/>
              </w:rPr>
            </w:pPr>
            <w:r>
              <w:rPr>
                <w:bCs/>
                <w:color w:val="000000"/>
                <w:lang w:val="pt-BR"/>
              </w:rPr>
            </w:r>
            <w:r>
              <w:rPr>
                <w:bCs/>
                <w:color w:val="000000"/>
                <w:lang w:val="pt-BR"/>
              </w:rPr>
            </w:r>
            <w:r>
              <w:rPr>
                <w:bCs/>
                <w:color w:val="000000"/>
                <w:lang w:val="pt-BR"/>
              </w:rPr>
            </w:r>
          </w:p>
        </w:tc>
        <w:tc>
          <w:tcPr>
            <w:tcBorders/>
            <w:tcW w:w="3643"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color w:val="000000"/>
                <w:sz w:val="24"/>
              </w:rPr>
              <w:t xml:space="preserve">Số 53 đường Phú Thịnh, phường Sơn Tây, Hà Nội</w:t>
            </w:r>
            <w:r/>
          </w:p>
        </w:tc>
      </w:tr>
      <w:tr>
        <w:trPr>
          <w:trHeight w:val="20"/>
        </w:trPr>
        <w:tc>
          <w:tcPr>
            <w:shd w:val="clear" w:color="ffffff" w:fill="ffffff"/>
            <w:tcBorders/>
            <w:tcW w:w="1109"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both"/>
              <w:rPr/>
            </w:pPr>
            <w:r>
              <w:rPr>
                <w:rFonts w:ascii="Times New Roman" w:hAnsi="Times New Roman" w:eastAsia="Times New Roman" w:cs="Times New Roman"/>
                <w:color w:val="000000"/>
                <w:sz w:val="24"/>
              </w:rPr>
              <w:t xml:space="preserve">Đại diện</w:t>
            </w:r>
            <w:r/>
          </w:p>
        </w:tc>
        <w:tc>
          <w:tcPr>
            <w:shd w:val="clear" w:color="ffffff" w:fill="ffffff"/>
            <w:tcBorders/>
            <w:tcW w:w="248" w:type="pct"/>
            <w:vAlign w:val="center"/>
            <w:vMerge w:val="restart"/>
            <w:textDirection w:val="lrTb"/>
            <w:noWrap w:val="false"/>
          </w:tcPr>
          <w:p>
            <w:pPr>
              <w:pBdr/>
              <w:spacing w:after="40" w:before="40" w:line="276" w:lineRule="auto"/>
              <w:ind/>
              <w:jc w:val="center"/>
              <w:rPr>
                <w:bCs/>
                <w:color w:val="000000"/>
                <w:lang w:val="pt-BR"/>
              </w:rPr>
            </w:pPr>
            <w:r>
              <w:rPr>
                <w:bCs/>
                <w:color w:val="000000"/>
                <w:lang w:val="pt-BR"/>
              </w:rPr>
            </w:r>
            <w:r>
              <w:rPr>
                <w:bCs/>
                <w:color w:val="000000"/>
                <w:lang w:val="pt-BR"/>
              </w:rPr>
            </w:r>
            <w:r>
              <w:rPr>
                <w:bCs/>
                <w:color w:val="000000"/>
                <w:lang w:val="pt-BR"/>
              </w:rPr>
            </w:r>
          </w:p>
        </w:tc>
        <w:tc>
          <w:tcPr>
            <w:tcBorders/>
            <w:tcW w:w="3643"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b/>
                <w:color w:val="000000"/>
                <w:sz w:val="24"/>
              </w:rPr>
              <w:t xml:space="preserve">Bà Nguyễn Thị Thu Sinh</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both"/>
              <w:rPr/>
            </w:pPr>
            <w:r>
              <w:rPr>
                <w:rFonts w:ascii="Times New Roman" w:hAnsi="Times New Roman" w:eastAsia="Times New Roman" w:cs="Times New Roman"/>
                <w:color w:val="000000"/>
                <w:sz w:val="24"/>
              </w:rPr>
              <w:t xml:space="preserve">Chức vụ</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b/>
                <w:color w:val="000000"/>
                <w:sz w:val="24"/>
              </w:rPr>
              <w:t xml:space="preserve">Giám đốc</w:t>
            </w:r>
            <w:r/>
          </w:p>
        </w:tc>
      </w:tr>
      <w:tr>
        <w:trPr>
          <w:trHeight w:val="20"/>
        </w:trPr>
        <w:tc>
          <w:tcPr>
            <w:shd w:val="clear" w:color="auto" w:fill="auto"/>
            <w:tcBorders/>
            <w:tcW w:w="1109" w:type="pct"/>
            <w:vAlign w:val="center"/>
            <w:textDirection w:val="lrTb"/>
            <w:noWrap w:val="false"/>
          </w:tcPr>
          <w:p>
            <w:pPr>
              <w:pBdr/>
              <w:tabs>
                <w:tab w:val="center" w:leader="none" w:pos="948"/>
              </w:tabs>
              <w:spacing w:after="40" w:before="40" w:line="276" w:lineRule="auto"/>
              <w:ind/>
              <w:jc w:val="both"/>
              <w:rPr>
                <w:bCs/>
                <w:color w:val="000000" w:themeColor="text1"/>
                <w:lang w:val="pt-BR"/>
              </w:rPr>
            </w:pPr>
            <w:r>
              <w:rPr>
                <w:bCs/>
                <w:color w:val="000000" w:themeColor="text1"/>
                <w:lang w:val="pt-BR"/>
              </w:rPr>
            </w:r>
            <w:r>
              <w:rPr>
                <w:bCs/>
                <w:color w:val="000000" w:themeColor="text1"/>
                <w:lang w:val="pt-BR"/>
              </w:rPr>
              <w:tab/>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color w:val="000000"/>
                <w:sz w:val="24"/>
              </w:rPr>
              <w:t xml:space="preserve">(Theo Văn bản ủy quyền số 2664/QĐ-NHNo-PC ngày 01/12/2022 của Tổng giám đốc Agribank về việc “Ủy quyền thực hiện nhiệm vụ, quyền hạn của người đại diện theo pháp luật”)</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526, tờ bản đồ số 26 có địa chỉ: Thôn Đồi Vua, xã Đoài Phương, th</w:t>
      </w:r>
      <w:r>
        <w:rPr>
          <w:color w:val="000000" w:themeColor="text1"/>
        </w:rPr>
        <w:t xml:space="preserve">ành phố Hà Nội theo Giấy chứng nhận quyền sử dụng đất quyền sở hữu tài sản gắn liền với đất số: AA 04406491, số vào sổ cấp GCN: CN 5968 do Chi nhánh văn phòng đăng kí đất đai Hà Nội thị xã Sơn Tây cấp ngày 09/02/2026; Chủ sử dụng đất là Bà Hoàng Thị Tú Anh</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95"/>
        <w:gridCol w:w="3543"/>
        <w:gridCol w:w="1559"/>
        <w:gridCol w:w="2126"/>
        <w:gridCol w:w="1702"/>
      </w:tblGrid>
      <w:tr>
        <w:trPr>
          <w:trHeight w:val="20"/>
        </w:trPr>
        <w:tc>
          <w:tcPr>
            <w:shd w:val="clear" w:color="000000" w:fill="ffffff"/>
            <w:tcBorders/>
            <w:tcW w:w="59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543"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559"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126"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702"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9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7228"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526, tờ bản đồ số 26 có địa chỉ: Thôn Đồi Vua, xã Đoài Phương, th</w:t>
            </w:r>
            <w:r>
              <w:rPr>
                <w:color w:val="000000"/>
              </w:rPr>
              <w:t xml:space="preserve">ành phố Hà Nội theo Giấy chứng nhận quyền sử dụng đất quyền sở hữu tài sản gắn liền với đất số: AA 04406491, số vào sổ cấp GCN: CN 5968 do Chi nhánh văn phòng đăng kí đất đai Hà Nội thị xã Sơn Tây cấp ngày 09/02/2026; Chủ sử dụng đất là Bà Hoàng Thị Tú Anh</w:t>
            </w:r>
            <w:r>
              <w:rPr>
                <w:b/>
                <w:bCs/>
              </w:rPr>
              <w:t xml:space="preserve">.</w:t>
            </w:r>
            <w:r>
              <w:rPr>
                <w:b/>
                <w:bCs/>
              </w:rPr>
            </w:r>
            <w:r>
              <w:rPr>
                <w:b/>
                <w:bCs/>
              </w:rPr>
            </w:r>
          </w:p>
        </w:tc>
        <w:tc>
          <w:tcPr>
            <w:shd w:val="clear" w:color="000000" w:fill="ffffff"/>
            <w:tcBorders/>
            <w:tcW w:w="1702"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983"/>
        </w:trPr>
        <w:tc>
          <w:tcPr>
            <w:shd w:val="clear" w:color="000000" w:fill="ffffff"/>
            <w:tcBorders/>
            <w:tcW w:w="595" w:type="dxa"/>
            <w:vAlign w:val="center"/>
            <w:textDirection w:val="lrTb"/>
            <w:noWrap w:val="false"/>
          </w:tcPr>
          <w:p>
            <w:pPr>
              <w:pBdr/>
              <w:spacing w:after="40" w:before="40" w:line="288" w:lineRule="auto"/>
              <w:ind/>
              <w:jc w:val="center"/>
              <w:rPr/>
            </w:pPr>
            <w:r>
              <w:rPr>
                <w:b/>
                <w:bCs/>
              </w:rPr>
            </w:r>
            <w:r/>
          </w:p>
        </w:tc>
        <w:tc>
          <w:tcPr>
            <w:shd w:val="clear" w:color="000000" w:fill="ffffff"/>
            <w:tcBorders/>
            <w:tcW w:w="3543" w:type="dxa"/>
            <w:vAlign w:val="center"/>
            <w:textDirection w:val="lrTb"/>
            <w:noWrap w:val="false"/>
          </w:tcPr>
          <w:p>
            <w:pPr>
              <w:pBdr/>
              <w:spacing w:after="40" w:before="40" w:line="288" w:lineRule="auto"/>
              <w:ind/>
              <w:rPr>
                <w:b/>
                <w:bCs/>
              </w:rPr>
            </w:pPr>
            <w:r>
              <w:rPr>
                <w:b/>
                <w:bCs/>
              </w:rPr>
              <w:t xml:space="preserve">Quyền sử dụng đất (đất ở tại nông thôn: 100m2; đất trồng cây lâu năm: 116,9m2)</w:t>
            </w:r>
            <w:r>
              <w:rPr>
                <w:b/>
                <w:bCs/>
              </w:rPr>
            </w:r>
            <w:r>
              <w:rPr>
                <w:b/>
                <w:bCs/>
              </w:rPr>
            </w:r>
          </w:p>
        </w:tc>
        <w:tc>
          <w:tcPr>
            <w:tcBorders/>
            <w:tcW w:w="1559" w:type="dxa"/>
            <w:vAlign w:val="center"/>
            <w:textDirection w:val="lrTb"/>
            <w:noWrap/>
          </w:tcPr>
          <w:p>
            <w:pPr>
              <w:pBdr/>
              <w:spacing w:after="40" w:before="40" w:line="288" w:lineRule="auto"/>
              <w:ind/>
              <w:jc w:val="center"/>
              <w:rPr>
                <w:color w:val="000000"/>
              </w:rPr>
            </w:pPr>
            <w:r>
              <w:rPr>
                <w:color w:val="000000" w:themeColor="text1"/>
              </w:rPr>
              <w:t xml:space="preserve">216,9</w:t>
            </w:r>
            <w:r>
              <w:rPr>
                <w:color w:val="000000"/>
              </w:rPr>
            </w:r>
            <w:r>
              <w:rPr>
                <w:color w:val="000000"/>
              </w:rPr>
            </w:r>
          </w:p>
        </w:tc>
        <w:tc>
          <w:tcPr>
            <w:shd w:val="clear" w:color="000000" w:fill="ffffff"/>
            <w:tcBorders/>
            <w:tcW w:w="2126" w:type="dxa"/>
            <w:vAlign w:val="center"/>
            <w:textDirection w:val="lrTb"/>
            <w:noWrap w:val="false"/>
          </w:tcPr>
          <w:p>
            <w:pPr>
              <w:pBdr/>
              <w:spacing w:after="40" w:before="40" w:line="288" w:lineRule="auto"/>
              <w:ind/>
              <w:jc w:val="center"/>
              <w:rPr/>
            </w:pPr>
            <w:r>
              <w:rPr>
                <w:color w:val="000000" w:themeColor="text1"/>
              </w:rPr>
              <w:t xml:space="preserve">10.000.000</w:t>
            </w:r>
            <w:r/>
          </w:p>
        </w:tc>
        <w:tc>
          <w:tcPr>
            <w:shd w:val="clear" w:color="000000" w:fill="ffffff"/>
            <w:tcBorders/>
            <w:tcW w:w="1702" w:type="dxa"/>
            <w:vAlign w:val="center"/>
            <w:textDirection w:val="lrTb"/>
            <w:noWrap w:val="false"/>
          </w:tcPr>
          <w:p>
            <w:pPr>
              <w:pBdr/>
              <w:spacing w:after="40" w:before="40" w:line="288" w:lineRule="auto"/>
              <w:ind/>
              <w:jc w:val="center"/>
              <w:rPr>
                <w:color w:val="000000" w:themeColor="text1"/>
                <w14:ligatures w14:val="none"/>
              </w:rPr>
            </w:pPr>
            <w:r>
              <w:rPr>
                <w:color w:val="000000" w:themeColor="text1"/>
              </w:rPr>
              <w:t xml:space="preserve">2.169.000.000</w:t>
            </w:r>
            <w:r>
              <w:rPr>
                <w:color w:val="000000" w:themeColor="text1"/>
              </w:rPr>
            </w:r>
            <w:r>
              <w:rPr>
                <w:color w:val="000000" w:themeColor="text1"/>
                <w14:ligatures w14:val="none"/>
              </w:rPr>
            </w:r>
          </w:p>
        </w:tc>
      </w:tr>
      <w:tr>
        <w:trPr>
          <w:trHeight w:val="20"/>
        </w:trPr>
        <w:tc>
          <w:tcPr>
            <w:gridSpan w:val="4"/>
            <w:tcBorders/>
            <w:tcW w:w="7823"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702" w:type="dxa"/>
            <w:vAlign w:val="center"/>
            <w:textDirection w:val="lrTb"/>
            <w:noWrap/>
          </w:tcPr>
          <w:p>
            <w:pPr>
              <w:pBdr/>
              <w:spacing w:after="40" w:before="40" w:line="288" w:lineRule="auto"/>
              <w:ind/>
              <w:jc w:val="center"/>
              <w:rPr>
                <w:color w:val="000000" w:themeColor="text1"/>
                <w14:ligatures w14:val="none"/>
              </w:rPr>
            </w:pPr>
            <w:r>
              <w:rPr>
                <w:color w:val="000000" w:themeColor="text1"/>
              </w:rPr>
              <w:t xml:space="preserve">2.169.000.000</w:t>
            </w:r>
            <w:r>
              <w:rPr>
                <w:color w:val="000000" w:themeColor="text1"/>
              </w:rPr>
            </w:r>
            <w:r>
              <w:rPr>
                <w:color w:val="000000" w:themeColor="text1"/>
                <w14:ligatures w14:val="none"/>
              </w:rPr>
            </w:r>
          </w:p>
        </w:tc>
      </w:tr>
      <w:tr>
        <w:trPr>
          <w:trHeight w:val="20"/>
        </w:trPr>
        <w:tc>
          <w:tcPr>
            <w:gridSpan w:val="5"/>
            <w:tcBorders/>
            <w:tcW w:w="9525"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Hai tỷ một trăm sáu mươi chín triệu đồng chẵn ./.)</w:t>
            </w:r>
            <w:r/>
          </w:p>
        </w:tc>
      </w:tr>
    </w:tbl>
    <w:p>
      <w:pPr>
        <w:pBdr/>
        <w:spacing w:after="120" w:before="120" w:line="312" w:lineRule="auto"/>
        <w:ind/>
        <w:jc w:val="both"/>
        <w:rPr>
          <w:b/>
          <w:bCs/>
        </w:rPr>
      </w:pPr>
      <w:r>
        <w:rPr>
          <w:b/>
          <w:bCs/>
          <w:highlight w:val="none"/>
          <w:lang w:val="vi-VN"/>
        </w:rPr>
      </w:r>
      <w:r>
        <w:rPr>
          <w:b/>
          <w:bCs/>
          <w:highlight w:val="none"/>
          <w:lang w:val="vi-VN"/>
        </w:rPr>
      </w:r>
      <w:r>
        <w:rPr>
          <w:b/>
          <w:bCs/>
        </w:rPr>
      </w:r>
    </w:p>
    <w:p>
      <w:pPr>
        <w:pBdr/>
        <w:spacing w:after="120" w:before="120" w:line="312" w:lineRule="auto"/>
        <w:ind/>
        <w:jc w:val="both"/>
        <w:rPr>
          <w:b/>
          <w:bCs/>
          <w:highlight w:val="none"/>
          <w:lang w:val="vi-VN"/>
        </w:rPr>
      </w:pPr>
      <w:r>
        <w:rPr>
          <w:b/>
          <w:bCs/>
          <w:lang w:val="vi-VN"/>
        </w:rPr>
        <w:t xml:space="preserve">10. Thời hạn hiệu lực của kết quả thẩm định giá:</w:t>
      </w:r>
      <w:r>
        <w:rPr>
          <w:b/>
          <w:bCs/>
        </w:rPr>
      </w:r>
      <w:r>
        <w:rPr>
          <w:b/>
          <w:bCs/>
          <w:highlight w:val="none"/>
          <w:lang w:val="vi-VN"/>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4" w:type="dxa"/>
        <w:tblBorders/>
        <w:tblLayout w:type="fixed"/>
        <w:tblLook w:val="04A0" w:firstRow="1" w:lastRow="0" w:firstColumn="1" w:lastColumn="0" w:noHBand="0" w:noVBand="1"/>
      </w:tblPr>
      <w:tblGrid>
        <w:gridCol w:w="856"/>
        <w:gridCol w:w="1157"/>
        <w:gridCol w:w="12401"/>
      </w:tblGrid>
      <w:tr>
        <w:trPr>
          <w:trHeight w:val="1152"/>
        </w:trPr>
        <w:tc>
          <w:tcPr>
            <w:gridSpan w:val="2"/>
            <w:tcBorders/>
            <w:tcW w:w="2013"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40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w:t>
            </w:r>
            <w:r>
              <w:rPr>
                <w:rStyle w:val="1022"/>
                <w:rFonts w:ascii="Times New Roman" w:hAnsi="Times New Roman"/>
                <w:color w:val="000000" w:themeColor="text1"/>
                <w:lang w:val="pt-BR"/>
              </w:rPr>
              <w:t xml:space="preserve">: </w:t>
            </w:r>
            <w:r>
              <w:rPr>
                <w:rStyle w:val="1022"/>
                <w:rFonts w:ascii="Times New Roman" w:hAnsi="Times New Roman"/>
                <w:color w:val="000000" w:themeColor="text1"/>
                <w:lang w:val="pt-BR"/>
              </w:rPr>
              <w:t xml:space="preserve">275/2026/0317/VFI-BC.39.A                            </w:t>
            </w:r>
            <w:r>
              <w:rPr>
                <w:color w:val="000000" w:themeColor="text1"/>
                <w:sz w:val="24"/>
                <w:szCs w:val="24"/>
              </w:rPr>
            </w:r>
            <w:r>
              <w:rPr>
                <w:color w:val="000000" w:themeColor="text1"/>
                <w:sz w:val="24"/>
                <w:szCs w:val="24"/>
              </w:rPr>
            </w:r>
            <w:r>
              <w:rPr>
                <w:rStyle w:val="1022"/>
                <w:rFonts w:ascii="Times New Roman" w:hAnsi="Times New Roman"/>
                <w:i/>
                <w:color w:val="auto"/>
              </w:rPr>
              <w:t xml:space="preserve">TP. </w:t>
            </w:r>
            <w:r>
              <w:rPr>
                <w:rStyle w:val="1022"/>
                <w:rFonts w:ascii="Times New Roman" w:hAnsi="Times New Roman"/>
                <w:i/>
                <w:color w:val="auto"/>
              </w:rPr>
              <w:t xml:space="preserve">Hà</w:t>
            </w:r>
            <w:r>
              <w:rPr>
                <w:rStyle w:val="1022"/>
                <w:rFonts w:ascii="Times New Roman" w:hAnsi="Times New Roman"/>
                <w:i/>
                <w:color w:val="auto"/>
              </w:rPr>
              <w:t xml:space="preserve"> </w:t>
            </w:r>
            <w:r>
              <w:rPr>
                <w:rStyle w:val="1022"/>
                <w:rFonts w:ascii="Times New Roman" w:hAnsi="Times New Roman"/>
                <w:i/>
                <w:color w:val="auto"/>
              </w:rPr>
              <w:t xml:space="preserve">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11 tháng 2 năm 2026</w:t>
            </w:r>
            <w:r>
              <w:rPr>
                <w:color w:val="000000" w:themeColor="text1"/>
                <w:sz w:val="24"/>
                <w:szCs w:val="24"/>
                <w:lang w:val="vi-VN"/>
              </w:rPr>
            </w:r>
            <w:r>
              <w:rPr>
                <w:color w:val="000000" w:themeColor="text1"/>
                <w:sz w:val="24"/>
                <w:szCs w:val="24"/>
                <w:lang w:val="vi-VN"/>
              </w:rPr>
            </w:r>
            <w:r>
              <w:rPr>
                <w:color w:val="000000" w:themeColor="text1"/>
                <w:sz w:val="24"/>
                <w:szCs w:val="24"/>
              </w:rPr>
            </w:r>
          </w:p>
        </w:tc>
      </w:tr>
    </w:tbl>
    <w:p>
      <w:pPr>
        <w:pStyle w:val="1023"/>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275/2026/0317/VFI-CT.39.A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11 tháng 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pacing w:val="-8"/>
                <w:sz w:val="24"/>
              </w:rPr>
              <w:t xml:space="preserve">NGÂN HÀNG NÔNG NGHIỆP VÀ PHÁT TRIỂN NÔNG THÔN VIỆT NAM (AGRIBANK) - CHI NHÁNH HÀ TÂY I – PHÒNG GIAO DỊCH VĂN MIẾU</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Mã số thuế</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0100686174 081</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Đia chỉ</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spacing w:after="40" w:before="40" w:line="276" w:lineRule="auto"/>
              <w:ind/>
              <w:jc w:val="center"/>
              <w:rPr>
                <w:bCs/>
                <w:color w:val="000000"/>
                <w:lang w:val="pt-BR"/>
              </w:rPr>
            </w:pPr>
            <w:r>
              <w:rPr>
                <w:bCs/>
                <w:color w:val="000000"/>
                <w:lang w:val="pt-BR"/>
              </w:rPr>
            </w:r>
            <w:r>
              <w:rPr>
                <w:bCs/>
                <w:color w:val="000000"/>
                <w:lang w:val="pt-BR"/>
              </w:rPr>
            </w:r>
            <w:r>
              <w:rPr>
                <w:bCs/>
                <w:color w:val="000000"/>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Số 53 đường Phú Thịnh, phường Sơn Tây,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Đại diện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spacing w:after="40" w:before="40" w:line="276" w:lineRule="auto"/>
              <w:ind/>
              <w:jc w:val="center"/>
              <w:rPr>
                <w:bCs/>
                <w:color w:val="000000"/>
                <w:lang w:val="pt-BR"/>
              </w:rPr>
            </w:pPr>
            <w:r>
              <w:rPr>
                <w:bCs/>
                <w:color w:val="000000"/>
                <w:lang w:val="pt-BR"/>
              </w:rPr>
            </w:r>
            <w:r>
              <w:rPr>
                <w:bCs/>
                <w:color w:val="000000"/>
                <w:lang w:val="pt-BR"/>
              </w:rPr>
            </w:r>
            <w:r>
              <w:rPr>
                <w:bCs/>
                <w:color w:val="000000"/>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Bà Nguyễn Thị Thu Sinh</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Chức vụ</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Giám đốc</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pPr>
              <w:pBdr/>
              <w:tabs>
                <w:tab w:val="center" w:leader="none" w:pos="948"/>
              </w:tabs>
              <w:spacing w:after="40" w:before="40" w:line="276" w:lineRule="auto"/>
              <w:ind/>
              <w:jc w:val="both"/>
              <w:rPr>
                <w:bCs/>
                <w:color w:val="000000" w:themeColor="text1"/>
                <w:lang w:val="pt-BR"/>
              </w:rPr>
            </w:pPr>
            <w:r>
              <w:rPr>
                <w:bCs/>
                <w:color w:val="000000" w:themeColor="text1"/>
                <w:lang w:val="pt-BR"/>
              </w:rPr>
            </w:r>
            <w:r>
              <w:rPr>
                <w:bCs/>
                <w:color w:val="000000" w:themeColor="text1"/>
                <w:lang w:val="pt-BR"/>
              </w:rPr>
              <w:tab/>
            </w:r>
            <w:r>
              <w:rPr>
                <w:bCs/>
                <w:color w:val="000000" w:themeColor="text1"/>
                <w:lang w:val="pt-BR"/>
              </w:rPr>
            </w:r>
            <w:r>
              <w:rPr>
                <w:bCs/>
                <w:color w:val="000000" w:themeColor="text1"/>
                <w:lang w:val="pt-BR"/>
              </w:rPr>
            </w:r>
          </w:p>
        </w:tc>
        <w:tc>
          <w:tcPr>
            <w:tcBorders/>
            <w:tcW w:w="284" w:type="dxa"/>
            <w:vAlign w:val="center"/>
            <w:vMerge w:val="restart"/>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(Theo Văn bản ủy quyền số 2664/QĐ-NHNo-PC ngày 01/12/2022 của Tổng giám đốc Agribank về việc “Ủy quyền thực hiện nhiệm vụ, quyền hạn của người đại diện theo pháp luật”)</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526, tờ bản đồ số 26 có địa chỉ: Thôn Đồi Vua, xã Đoài Phương, th</w:t>
            </w:r>
            <w:r>
              <w:rPr>
                <w:bCs/>
                <w:color w:val="000000" w:themeColor="text1"/>
                <w:lang w:val="pt-BR"/>
              </w:rPr>
              <w:t xml:space="preserve">ành phố Hà Nội theo Giấy chứng nhận quyền sử dụng đất quyền sở hữu tài sản gắn liền với đất số: AA 04406491, số vào sổ cấp GCN: CN 5968 do Chi nhánh văn phòng đăng kí đất đai Hà Nội thị xã Sơn Tây cấp ngày 09/02/2026; Chủ sử dụng đất là Bà Hoàng Thị Tú Anh</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Đồi Vua, xã Đoài Phương,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21.091833333333, 105.50544444444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4"/>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4"/>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4"/>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4"/>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4"/>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4"/>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4"/>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04406491, số vào sổ cấp GCN: CN 5968 do Chi nhánh văn phòng đăng kí đất đai Hà Nội thị xã Sơn Tây cấp ngày 09/02/2026; Chủ sử dụng đất là Bà Hoàng Thị Tú Anh</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color w:val="000000" w:themeColor="text1"/>
          <w:spacing w:val="-4"/>
          <w:lang w:val="vi-VN"/>
        </w:rPr>
        <w:t xml:space="preserve">275/2026/0317/VFI-HĐTĐ.39.A</w:t>
      </w:r>
      <w:r>
        <w:rPr>
          <w:spacing w:val="-4"/>
          <w:lang w:val="vi-VN"/>
        </w:rPr>
        <w:t xml:space="preserve"> ký ngày </w:t>
      </w:r>
      <w:r>
        <w:rPr>
          <w:color w:val="000000" w:themeColor="text1"/>
          <w:spacing w:val="-4"/>
        </w:rPr>
        <w:t xml:space="preserve">11 tháng 2 năm 2026</w:t>
      </w:r>
      <w:r>
        <w:rPr>
          <w:spacing w:val="-4"/>
          <w:lang w:val="vi-VN"/>
        </w:rPr>
        <w:t xml:space="preserve"> </w:t>
      </w:r>
      <w:r>
        <w:rPr>
          <w:spacing w:val="-4"/>
          <w:lang w:val="vi-VN"/>
        </w:rPr>
        <w:t xml:space="preserve">giữa </w:t>
      </w:r>
      <w:r>
        <w:rPr>
          <w:color w:val="000000" w:themeColor="text1"/>
          <w:spacing w:val="-4"/>
        </w:rPr>
        <w:t xml:space="preserve">Ngân hàng Nông nghiệp và phát triển nông thôn Việt Nam (agribank) - Chi nhánh Hà Tây I - Phòng giao dịch Văn Miếu</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color w:val="000000" w:themeColor="text1"/>
          <w:lang w:val="pt-BR"/>
        </w:rPr>
        <w:t xml:space="preserve">.</w:t>
      </w:r>
      <w:r>
        <w:rPr>
          <w:b/>
          <w:lang w:val="pt-BR"/>
        </w:rPr>
      </w:r>
      <w:r>
        <w:rPr>
          <w:b/>
          <w:lang w:val="pt-BR"/>
        </w:rPr>
      </w:r>
    </w:p>
    <w:p>
      <w:pPr>
        <w:pStyle w:val="1024"/>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Bước sang năm 2026, thị trường bất động sản Hà Nội được kỳ vọng bước vào chu kỳ tăng trưởng mới với nền tảng hạ tầng, pháp lý và chính sách ngày càng </w:t>
      </w:r>
      <w:r>
        <w:rPr>
          <w:shd w:val="clear" w:color="auto" w:fill="ffffff"/>
        </w:rPr>
        <w:t xml:space="preserve">rõ nét. Thay vì những cơn “sốt nóng”, thị trường vận động theo hướng chọn lọc, phân hóa mạnh, lấy nhu cầu ở thực, chất lượng dự án và năng lực doanh nghiệp làm trụ cột phát triển bền vững. Trong bối cảnh kinh tế vĩ mô dần ổn định, khuôn khổ pháp lý được ho</w:t>
      </w:r>
      <w:r>
        <w:rPr>
          <w:shd w:val="clear" w:color="auto" w:fill="ffffff"/>
        </w:rPr>
        <w:t xml:space="preserve">àn thiện và đầu tư công tiếp tục giữ vai trò "đầu kéo", bất động sản Thủ đô bước vào một chu kỳ phát triển mới – thận trọng hơn, thực chất hơn và lấy hạ tầng làm động lực trung tâm. Thay vì những cơn "sốt nóng" ngắn hạn, thị trường năm 2026 được kỳ vọng tă</w:t>
      </w:r>
      <w:r>
        <w:rPr>
          <w:shd w:val="clear" w:color="auto" w:fill="ffffff"/>
        </w:rPr>
        <w:t xml:space="preserve">ng trưởng trên nền tảng bền vững, gắn chặt với quy hoạch đô thị, nhu cầu ở thực và năng lực triển khai của doanh nghiệp.</w:t>
        <w:br/>
        <w:t xml:space="preserve">Trong nhiều năm qua, hạ tầng giao thông luôn là yếu tố then chốt định hình không gian phát triển đô thị Hà Nội. Đến năm 2026, vai trò n</w:t>
      </w:r>
      <w:r>
        <w:rPr>
          <w:shd w:val="clear" w:color="auto" w:fill="ffffff"/>
        </w:rPr>
        <w:t xml:space="preserve">ày càng trở nên rõ rệt khi hàng loạt dự án trọng điểm được triển khai đồng bộ, tạo lực đẩy dài hạn cho thị trường bất động sản.</w:t>
        <w:br/>
        <w:t xml:space="preserve">Dự án đường Vành đai 4 – Vùng Thủ đô, với quy mô hơn 85.000 tỷ đồng, được coi là "đòn bẩy chiến lược" mở rộng không gian phát tr</w:t>
      </w:r>
      <w:r>
        <w:rPr>
          <w:shd w:val="clear" w:color="auto" w:fill="ffffff"/>
        </w:rPr>
        <w:t xml:space="preserve">iển về các hướng Bắc, Tây và Nam. Khi tuyến đường này từng bước thành hình, các khu vực vốn nằm ngoài trung tâm truyền thống sẽ có điều kiện kết nối thuận lợi hơn, qua đó gia tăng sức hấp dẫn với các dự án đô thị, khu nhà ở và dịch vụ.</w:t>
        <w:br/>
        <w:t xml:space="preserve">Cùng với đó, hệ thốn</w:t>
      </w:r>
      <w:r>
        <w:rPr>
          <w:shd w:val="clear" w:color="auto" w:fill="ffffff"/>
        </w:rPr>
        <w:t xml:space="preserve">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 hạ tầng giao thông</w:t>
      </w:r>
      <w:r>
        <w:rPr>
          <w:shd w:val="clear" w:color="auto" w:fill="ffffff"/>
        </w:rPr>
        <w:t xml:space="preserve">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 trưởng bất động sản</w:t>
      </w:r>
      <w:r>
        <w:rPr>
          <w:shd w:val="clear" w:color="auto" w:fill="ffffff"/>
        </w:rPr>
        <w:t xml:space="preserve"> dài hạn.</w:t>
        <w:b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Cao – Hòa Lạ</w:t>
      </w:r>
      <w:r>
        <w:rPr>
          <w:shd w:val="clear" w:color="auto" w:fill="ffffff"/>
        </w:rPr>
        <w:t xml:space="preserve">c), đang nổi lên như một cực phát triển mới. Ở phía Đông, hệ thống cầu vượt sông Hồng, cùng quy hoạch chỉnh trang đô thị ven sông, tiếp tục mở ra dư địa cho các dự án nhà ở và đô thị sinh thái.</w:t>
        <w:br/>
        <w:t xml:space="preserve">Nếu như giai đoạn trước, thị trường bất động sản Hà Nội từng c</w:t>
      </w:r>
      <w:r>
        <w:rPr>
          <w:shd w:val="clear" w:color="auto" w:fill="ffffff"/>
        </w:rPr>
        <w:t xml:space="preserve">hứng kiến những đợt tăng giá nhanh ở một số phân khúc, thì bước sang năm 2026, xu hướng chủ đạo là tăng trưởng có chọn lọc. Dòng tiền không còn chạy theo "sóng ngắn" mà ưu tiên những khu vực có quy hoạch rõ ràng, hạ tầng đồng bộ và nhu cầu ở thực ổn định.S</w:t>
      </w:r>
      <w:r>
        <w:rPr>
          <w:shd w:val="clear" w:color="auto" w:fill="ffffff"/>
        </w:rPr>
        <w:t xml:space="preserve">ố liệu từ các đơn vị nghiên cứu cho thấy, trong giai đoạn gần đây, giá bất động sản tại những khu vực bám trục hạ tầng lớn của Hà Nội vẫn duy trì mức tăng ổn định, trong khi thanh khoản dần cải thiện. Điều này phản ánh sự dịch chuyển của dòng tiền sang các</w:t>
      </w:r>
      <w:r>
        <w:rPr>
          <w:shd w:val="clear" w:color="auto" w:fill="ffffff"/>
        </w:rPr>
        <w:t xml:space="preserve"> phân khúc an toàn hơn, hạn chế rủi ro và có tiềm năng tăng trưởng dài hạn.</w:t>
        <w:br/>
        <w:t xml:space="preserve">(nguồn tham khảo: https://thanglong.chinhphu.vn/buc-tranh-thi-truong-bat-dong-san-ha-noi-nam-2026-ha-tang-dan-dat-thi-truong-buoc-vao-chu-ky-tang-truong-moi-103260101181315972.htm)</w:t>
      </w:r>
      <w:r>
        <w:rPr>
          <w:i/>
          <w:iCs/>
          <w:lang w:val="pt-BR"/>
        </w:rPr>
      </w:r>
      <w:r>
        <w:rPr>
          <w:i/>
          <w:iCs/>
          <w:lang w:val="pt-BR"/>
        </w:rPr>
      </w:r>
    </w:p>
    <w:p>
      <w:pPr>
        <w:pStyle w:val="102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526, tờ bản đồ số 26 có địa chỉ: Thôn Đồi Vua, xã Đoài Phương, th</w:t>
            </w:r>
            <w:r>
              <w:rPr>
                <w:b/>
                <w:bCs/>
                <w:color w:val="000000"/>
              </w:rPr>
              <w:t xml:space="preserve">ành phố Hà Nội theo Giấy chứng nhận quyền sử dụng đất quyền sở hữu tài sản gắn liền với đất số: AA 04406491, số vào sổ cấp GCN: CN 5968 do Chi nhánh văn phòng đăng kí đất đai Hà Nội thị xã Sơn Tây cấp ngày 09/02/2026; Chủ sử dụng đất là Bà Hoàng Thị Tú Anh</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526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26</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thôn Đồi Vua, xã Đoài Phương,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216,9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nông thôn: 100,0m2; Đất trồng cây lâu năm: 116,9m2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Đất ở tại nông thôn: Lâu dài; Đất trồng cây lâu năm: Đến 15/10/2043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QL21A khoảng 850m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t xml:space="preserve">Tây Nam</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21.091833333333</w:t>
            </w:r>
            <w:r>
              <w:rPr>
                <w:color w:val="000000"/>
              </w:rPr>
              <w:t xml:space="preserve">, </w:t>
            </w:r>
            <w:r>
              <w:rPr>
                <w:color w:val="000000"/>
              </w:rPr>
              <w:t xml:space="preserve">105.50544444444</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4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84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50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216,9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22,66</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Đất trống</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4"/>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4"/>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4"/>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4"/>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4"/>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4"/>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Bdr/>
        <w:spacing w:after="120" w:before="120" w:line="276" w:lineRule="auto"/>
        <w:ind w:firstLine="0" w:left="357"/>
        <w:jc w:val="both"/>
        <w:rPr>
          <w:spacing w:val="-4"/>
          <w:lang w:val="pt-BR"/>
        </w:rPr>
      </w:pPr>
      <w:r>
        <w:rPr>
          <w:spacing w:val="-4"/>
          <w:highlight w:val="none"/>
          <w:lang w:val="pt-BR" w:bidi="pt-BR"/>
        </w:rPr>
      </w:r>
      <w:r>
        <w:rPr>
          <w:spacing w:val="-4"/>
          <w:highlight w:val="none"/>
          <w:lang w:val="pt-BR"/>
        </w:rPr>
      </w:r>
      <w:r>
        <w:rPr>
          <w:spacing w:val="-4"/>
          <w:lang w:val="pt-BR"/>
        </w:rPr>
      </w:r>
    </w:p>
    <w:p>
      <w:pPr>
        <w:pStyle w:val="102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4"/>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4"/>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4"/>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37"/>
        <w:gridCol w:w="1810"/>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37" w:type="dxa"/>
            <w:vAlign w:val="center"/>
            <w:textDirection w:val="lrTb"/>
            <w:noWrap w:val="false"/>
          </w:tcPr>
          <w:p>
            <w:pPr>
              <w:pBdr/>
              <w:spacing w:after="6" w:afterAutospacing="0" w:before="6" w:beforeAutospacing="0"/>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10" w:type="dxa"/>
            <w:vAlign w:val="center"/>
            <w:textDirection w:val="lrTb"/>
            <w:noWrap w:val="false"/>
          </w:tcPr>
          <w:p>
            <w:pPr>
              <w:pBdr/>
              <w:spacing w:after="6" w:afterAutospacing="0" w:before="6" w:beforeAutospacing="0"/>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textDirection w:val="lrTb"/>
            <w:noWrap w:val="false"/>
          </w:tcPr>
          <w:p>
            <w:pPr>
              <w:pBdr/>
              <w:spacing w:after="6" w:afterAutospacing="0" w:before="6" w:beforeAutospacing="0"/>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textDirection w:val="lrTb"/>
            <w:noWrap w:val="false"/>
          </w:tcPr>
          <w:p>
            <w:pPr>
              <w:pBdr/>
              <w:spacing w:after="6" w:afterAutospacing="0" w:before="6" w:beforeAutospacing="0"/>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after="6" w:afterAutospacing="0" w:before="6" w:beforeAutospacing="0"/>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after="6" w:afterAutospacing="0" w:before="6" w:beforeAutospacing="0"/>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after="6" w:afterAutospacing="0" w:before="6" w:beforeAutospacing="0"/>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03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6" w:afterAutospacing="0" w:before="6" w:beforeAutospacing="0"/>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after="6" w:afterAutospacing="0" w:before="6" w:beforeAutospacing="0"/>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line="240" w:lineRule="auto"/>
              <w:ind/>
              <w:jc w:val="center"/>
              <w:rPr/>
            </w:pPr>
            <w:r>
              <w:rPr>
                <w:rFonts w:ascii="Times New Roman" w:hAnsi="Times New Roman" w:eastAsia="Times New Roman" w:cs="Times New Roman"/>
                <w:color w:val="000000"/>
                <w:sz w:val="24"/>
              </w:rPr>
              <w:t xml:space="preserve">Thôn Đồi Vua, xã Đoài Phương,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pPr>
            <w:r>
              <w:rPr>
                <w:rFonts w:ascii="Times New Roman" w:hAnsi="Times New Roman" w:eastAsia="Times New Roman" w:cs="Times New Roman"/>
                <w:color w:val="000000"/>
                <w:sz w:val="24"/>
              </w:rPr>
              <w:t xml:space="preserve">xã Đoài Phương,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pPr>
            <w:r>
              <w:rPr>
                <w:rFonts w:ascii="Times New Roman" w:hAnsi="Times New Roman" w:eastAsia="Times New Roman" w:cs="Times New Roman"/>
                <w:color w:val="000000"/>
                <w:sz w:val="24"/>
              </w:rPr>
              <w:t xml:space="preserve">xã Đoài Phương,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pPr>
            <w:r>
              <w:rPr>
                <w:rFonts w:ascii="Times New Roman" w:hAnsi="Times New Roman" w:eastAsia="Times New Roman" w:cs="Times New Roman"/>
                <w:color w:val="000000"/>
                <w:sz w:val="24"/>
              </w:rPr>
              <w:t xml:space="preserve">xã Đoài Phương, thành phố Hà Nội</w:t>
            </w:r>
            <w:r/>
          </w:p>
        </w:tc>
      </w:tr>
      <w:tr>
        <w:trPr>
          <w:trHeight w:val="121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6" w:afterAutospacing="0" w:before="6" w:beforeAutospacing="0"/>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after="6" w:afterAutospacing="0" w:before="6" w:beforeAutospacing="0"/>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sz w:val="22"/>
                <w:szCs w:val="22"/>
              </w:rPr>
            </w:pPr>
            <w:r>
              <w:rPr>
                <w:color w:val="000000" w:themeColor="text1"/>
                <w:sz w:val="22"/>
                <w:szCs w:val="22"/>
              </w:rPr>
              <w:t xml:space="preserve">https://www.facebook.com/share/p/1KzCafbdYN/</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6" w:afterAutospacing="0" w:before="6" w:beforeAutospacing="0"/>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after="6" w:afterAutospacing="0" w:before="6" w:beforeAutospacing="0"/>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sz w:val="22"/>
                <w:szCs w:val="22"/>
              </w:rPr>
            </w:pPr>
            <w:r>
              <w:rPr>
                <w:color w:val="000000" w:themeColor="text1"/>
                <w:sz w:val="22"/>
                <w:szCs w:val="22"/>
              </w:rPr>
              <w:t xml:space="preserve">0984725523</w:t>
            </w:r>
            <w:r>
              <w:rPr>
                <w:sz w:val="22"/>
                <w:szCs w:val="22"/>
              </w:rPr>
              <w:t xml:space="preserve"> </w:t>
            </w:r>
            <w:r>
              <w:rPr>
                <w:sz w:val="22"/>
                <w:szCs w:val="22"/>
              </w:rPr>
              <w:br/>
              <w:t xml:space="preserve">(</w:t>
            </w:r>
            <w:r>
              <w:rPr>
                <w:sz w:val="22"/>
                <w:szCs w:val="22"/>
              </w:rPr>
              <w:t xml:space="preserve">Lê Huyền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sz w:val="22"/>
                <w:szCs w:val="22"/>
              </w:rPr>
            </w:pPr>
            <w:r>
              <w:rPr>
                <w:color w:val="000000" w:themeColor="text1"/>
                <w:sz w:val="22"/>
                <w:szCs w:val="22"/>
              </w:rPr>
              <w:t xml:space="preserve">0385256568</w:t>
            </w:r>
            <w:r>
              <w:rPr>
                <w:sz w:val="22"/>
                <w:szCs w:val="22"/>
              </w:rPr>
              <w:br/>
            </w:r>
            <w:r>
              <w:rPr>
                <w:sz w:val="22"/>
                <w:szCs w:val="22"/>
              </w:rPr>
              <w:t xml:space="preserve">(</w:t>
            </w:r>
            <w:r>
              <w:rPr>
                <w:sz w:val="22"/>
                <w:szCs w:val="22"/>
              </w:rPr>
              <w:t xml:space="preserve">Nguyễn Thanh Hoa</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sz w:val="22"/>
                <w:szCs w:val="22"/>
              </w:rPr>
            </w:pPr>
            <w:r>
              <w:rPr>
                <w:color w:val="000000" w:themeColor="text1"/>
                <w:sz w:val="22"/>
                <w:szCs w:val="22"/>
              </w:rPr>
              <w:t xml:space="preserve">0912655866</w:t>
            </w:r>
            <w:r>
              <w:rPr>
                <w:sz w:val="22"/>
                <w:szCs w:val="22"/>
              </w:rPr>
              <w:br/>
            </w:r>
            <w:r>
              <w:rPr>
                <w:sz w:val="22"/>
                <w:szCs w:val="22"/>
              </w:rPr>
              <w:t xml:space="preserve">(</w:t>
            </w:r>
            <w:r>
              <w:rPr>
                <w:sz w:val="22"/>
                <w:szCs w:val="22"/>
              </w:rPr>
              <w:t xml:space="preserve">Đỗ cường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6" w:afterAutospacing="0" w:before="6" w:beforeAutospacing="0"/>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after="6" w:afterAutospacing="0" w:before="6" w:beforeAutospacing="0"/>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pPr>
            <w:r>
              <w:rPr>
                <w:color w:val="000000"/>
                <w:sz w:val="22"/>
                <w:szCs w:val="22"/>
              </w:rPr>
              <w:t xml:space="preserve">Đang giao dịch </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pPr>
            <w:r>
              <w:rPr>
                <w:color w:val="000000"/>
                <w:sz w:val="22"/>
                <w:szCs w:val="22"/>
              </w:rPr>
              <w:t xml:space="preserve">Đang giao dịch </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6" w:afterAutospacing="0" w:before="6" w:beforeAutospacing="0"/>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after="6" w:afterAutospacing="0" w:before="6" w:beforeAutospacing="0"/>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6" w:afterAutospacing="0" w:before="6" w:beforeAutospacing="0"/>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after="6" w:afterAutospacing="0" w:before="6" w:beforeAutospacing="0"/>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6" w:afterAutospacing="0" w:before="6" w:beforeAutospacing="0"/>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after="6" w:afterAutospacing="0" w:before="6" w:beforeAutospacing="0"/>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themeColor="text1"/>
                <w:sz w:val="22"/>
                <w:szCs w:val="22"/>
                <w14:ligatures w14:val="none"/>
              </w:rPr>
            </w:pPr>
            <w:r>
              <w:rPr>
                <w:color w:val="000000" w:themeColor="text1"/>
                <w:sz w:val="22"/>
                <w:szCs w:val="22"/>
                <w:lang w:val="undefined"/>
              </w:rPr>
              <w:t xml:space="preserve">Đất ở nông thôn (100 m²), Đất trồng cây lâu năm (116.9 m²)</w:t>
            </w:r>
            <w:r>
              <w:rPr>
                <w:color w:val="000000" w:themeColor="text1"/>
                <w:sz w:val="22"/>
                <w:szCs w:val="22"/>
                <w:lang w:val="undefined" w:bidi="undefined"/>
              </w:rPr>
            </w:r>
            <w:r>
              <w:rPr>
                <w:color w:val="000000" w:themeColor="text1"/>
                <w:sz w:val="22"/>
                <w:szCs w:val="22"/>
                <w:lang w:val="undefined"/>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themeColor="text1"/>
                <w:sz w:val="22"/>
                <w:szCs w:val="22"/>
                <w14:ligatures w14:val="none"/>
              </w:rPr>
            </w:pPr>
            <w:r>
              <w:rPr>
                <w:color w:val="000000" w:themeColor="text1"/>
                <w:sz w:val="22"/>
                <w:szCs w:val="22"/>
                <w:lang w:val="undefined" w:bidi="undefined"/>
              </w:rPr>
            </w:r>
            <w:r>
              <w:rPr>
                <w:color w:val="000000" w:themeColor="text1"/>
                <w:sz w:val="22"/>
                <w:szCs w:val="22"/>
                <w:lang w:val="undefined"/>
              </w:rPr>
              <w:t xml:space="preserve">Đất trồng cây lâu năm (379.8 m²), Đất ở tại nông thôn (70 m²)</w:t>
            </w:r>
            <w:r>
              <w:rPr>
                <w:color w:val="000000" w:themeColor="text1"/>
                <w:sz w:val="22"/>
                <w:szCs w:val="22"/>
                <w:lang w:val="undefined" w:bidi="undefined"/>
              </w:rPr>
            </w:r>
            <w:r>
              <w:rPr>
                <w:color w:val="000000" w:themeColor="text1"/>
                <w:sz w:val="22"/>
                <w:szCs w:val="22"/>
                <w:lang w:val="undefined"/>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themeColor="text1"/>
                <w:sz w:val="22"/>
                <w:szCs w:val="22"/>
                <w14:ligatures w14:val="none"/>
              </w:rPr>
            </w:pPr>
            <w:r>
              <w:rPr>
                <w:color w:val="000000" w:themeColor="text1"/>
                <w:sz w:val="22"/>
                <w:szCs w:val="22"/>
                <w:lang w:val="undefined" w:bidi="undefined"/>
              </w:rPr>
            </w:r>
            <w:r>
              <w:rPr>
                <w:color w:val="000000" w:themeColor="text1"/>
                <w:sz w:val="22"/>
                <w:szCs w:val="22"/>
                <w:lang w:val="undefined"/>
              </w:rPr>
              <w:t xml:space="preserve">Đất ở nông thôn (100 m²), Đất trồng cây lâu năm (191.5 m²)</w:t>
            </w:r>
            <w:r>
              <w:rPr>
                <w:color w:val="000000" w:themeColor="text1"/>
                <w:sz w:val="22"/>
                <w:szCs w:val="22"/>
                <w:lang w:val="undefined" w:bidi="undefined"/>
              </w:rPr>
            </w:r>
            <w:r>
              <w:rPr>
                <w:color w:val="000000" w:themeColor="text1"/>
                <w:sz w:val="22"/>
                <w:szCs w:val="22"/>
                <w:lang w:val="undefined"/>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themeColor="text1"/>
                <w:sz w:val="22"/>
                <w:szCs w:val="22"/>
                <w14:ligatures w14:val="none"/>
              </w:rPr>
            </w:pPr>
            <w:r>
              <w:rPr>
                <w:color w:val="000000" w:themeColor="text1"/>
                <w:sz w:val="22"/>
                <w:szCs w:val="22"/>
                <w:lang w:val="undefined" w:bidi="undefined"/>
              </w:rPr>
            </w:r>
            <w:r>
              <w:rPr>
                <w:color w:val="000000" w:themeColor="text1"/>
                <w:sz w:val="22"/>
                <w:szCs w:val="22"/>
                <w:lang w:val="undefined"/>
              </w:rPr>
              <w:t xml:space="preserve">Đất ở tại nông thôn(60 m²), Đất trồng cây lâu năm (56 m²)</w:t>
            </w:r>
            <w:r>
              <w:rPr>
                <w:color w:val="000000" w:themeColor="text1"/>
                <w:sz w:val="22"/>
                <w:szCs w:val="22"/>
                <w:lang w:val="undefined" w:bidi="undefined"/>
              </w:rPr>
            </w:r>
            <w:r>
              <w:rPr>
                <w:color w:val="000000" w:themeColor="text1"/>
                <w:sz w:val="22"/>
                <w:szCs w:val="22"/>
                <w:lang w:val="undefined"/>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6" w:afterAutospacing="0" w:before="6" w:beforeAutospacing="0"/>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after="6" w:afterAutospacing="0" w:before="6" w:beforeAutospacing="0"/>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Đất ở nông thôn (Lâu dài), Đất trồng cây lâu năm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 nông thôn (Lâu dài), Đất trồng cây lâu năm (có thời hạn)</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 nông thôn (Lâu dài), Đất trồng cây lâu năm (có thời hạn)</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 nông thôn (Lâu dài), Đất trồng cây lâu năm (có thời hạn)</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6" w:afterAutospacing="0" w:before="6" w:beforeAutospacing="0"/>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after="6" w:afterAutospacing="0" w:before="6" w:beforeAutospacing="0"/>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Tài sản tại:Xã Đoài Phương, Thành phố Hà Nội, Cách QL21A khoảng 850m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Đoài Phương</w:t>
            </w:r>
            <w:r>
              <w:rPr>
                <w:color w:val="000000" w:themeColor="text1"/>
                <w:sz w:val="22"/>
                <w:szCs w:val="22"/>
              </w:rPr>
              <w:t xml:space="preserve">, Thành phố Hà Nội, khoảng cách ra đường chính Cách QL21A khoảng 1,2km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Đoài Phương</w:t>
            </w:r>
            <w:r>
              <w:rPr>
                <w:color w:val="000000" w:themeColor="text1"/>
                <w:sz w:val="22"/>
                <w:szCs w:val="22"/>
              </w:rPr>
              <w:t xml:space="preserve">, Thành phố Hà Nội, khoảng cách ra đường chính Cách dt82 khoảng 190, cách QL 21 khoảng 1,5km,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Đoài Phương</w:t>
            </w:r>
            <w:r>
              <w:rPr>
                <w:color w:val="000000" w:themeColor="text1"/>
                <w:sz w:val="22"/>
                <w:szCs w:val="22"/>
              </w:rPr>
              <w:t xml:space="preserve">, Thành phố Hà Nội, khoảng cách ra đường chính cách DT82 khoảng 1,7km,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6" w:afterAutospacing="0" w:before="6" w:beforeAutospacing="0"/>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after="6" w:afterAutospacing="0" w:before="6" w:beforeAutospacing="0"/>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6" w:afterAutospacing="0" w:before="6" w:beforeAutospacing="0"/>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after="6" w:afterAutospacing="0" w:before="6" w:beforeAutospacing="0"/>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3,1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6" w:afterAutospacing="0" w:before="6" w:beforeAutospacing="0"/>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after="6" w:afterAutospacing="0" w:before="6" w:beforeAutospacing="0"/>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Hạ tầng khu dân cư thông thường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Hạ tầng khu dân cư thông thường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Hạ tầng khu dân cư thông thường</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6" w:afterAutospacing="0" w:before="6" w:beforeAutospacing="0"/>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after="6" w:afterAutospacing="0" w:before="6" w:beforeAutospacing="0"/>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6" w:afterAutospacing="0" w:before="6" w:beforeAutospacing="0"/>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after="6" w:afterAutospacing="0" w:before="6" w:beforeAutospacing="0"/>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216,9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449,8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291,5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116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6" w:afterAutospacing="0" w:before="6" w:beforeAutospacing="0"/>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after="6" w:afterAutospacing="0" w:before="6" w:beforeAutospacing="0"/>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17,07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23,28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5,63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6" w:afterAutospacing="0" w:before="6" w:beforeAutospacing="0"/>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after="6" w:afterAutospacing="0" w:before="6" w:beforeAutospacing="0"/>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22,66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26,35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12,52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20,6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6" w:afterAutospacing="0" w:before="6" w:beforeAutospacing="0"/>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after="6" w:afterAutospacing="0" w:before="6" w:beforeAutospacing="0"/>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6" w:afterAutospacing="0" w:before="6" w:beforeAutospacing="0"/>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after="6" w:afterAutospacing="0" w:before="6" w:beforeAutospacing="0"/>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6" w:afterAutospacing="0" w:before="6" w:beforeAutospacing="0"/>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after="6" w:afterAutospacing="0" w:before="6" w:beforeAutospacing="0"/>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3.598.400.000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3.500.000.000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1.750.000.000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6" w:afterAutospacing="0" w:before="6" w:beforeAutospacing="0"/>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after="6" w:afterAutospacing="0" w:before="6" w:beforeAutospacing="0"/>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3.058.640.000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2.975.000.000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1.487.500.000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6" w:afterAutospacing="0" w:before="6" w:beforeAutospacing="0"/>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after="6" w:afterAutospacing="0" w:before="6" w:beforeAutospacing="0"/>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rPr>
                <w:color w:val="000000"/>
                <w:sz w:val="22"/>
                <w:szCs w:val="22"/>
              </w:rPr>
            </w:r>
            <w:r/>
          </w:p>
        </w:tc>
      </w:tr>
      <w:tr>
        <w:trPr>
          <w:trHeight w:val="315"/>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6" w:afterAutospacing="0" w:before="6" w:beforeAutospacing="0"/>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after="6" w:afterAutospacing="0" w:before="6" w:beforeAutospacing="0"/>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6" w:afterAutospacing="0" w:before="6" w:beforeAutospacing="0"/>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after="6" w:afterAutospacing="0" w:before="6" w:beforeAutospacing="0"/>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6" w:afterAutospacing="0" w:before="6" w:beforeAutospacing="0"/>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after="6" w:afterAutospacing="0" w:before="6" w:beforeAutospacing="0"/>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3.058.640.000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2.975.000.000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1.487.500.000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6" w:afterAutospacing="0" w:before="6" w:beforeAutospacing="0"/>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after="6" w:afterAutospacing="0" w:before="6" w:beforeAutospacing="0"/>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6" w:afterAutospacing="0" w:before="6" w:beforeAutospacing="0"/>
              <w:ind/>
              <w:jc w:val="center"/>
              <w:rPr>
                <w:color w:val="000000"/>
                <w:sz w:val="22"/>
                <w:szCs w:val="22"/>
              </w:rPr>
            </w:pPr>
            <w:r>
              <w:rPr>
                <w:color w:val="000000" w:themeColor="text1"/>
                <w:sz w:val="22"/>
                <w:szCs w:val="22"/>
              </w:rPr>
              <w:t xml:space="preserve">6.800.000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6" w:afterAutospacing="0" w:before="6" w:beforeAutospacing="0"/>
              <w:ind/>
              <w:jc w:val="center"/>
              <w:rPr>
                <w:color w:val="000000"/>
                <w:sz w:val="22"/>
                <w:szCs w:val="22"/>
              </w:rPr>
            </w:pPr>
            <w:r>
              <w:rPr>
                <w:color w:val="000000" w:themeColor="text1"/>
                <w:sz w:val="22"/>
                <w:szCs w:val="22"/>
              </w:rPr>
              <w:t xml:space="preserve">10.205.832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6" w:afterAutospacing="0" w:before="6" w:beforeAutospacing="0"/>
              <w:ind/>
              <w:jc w:val="center"/>
              <w:rPr>
                <w:color w:val="000000"/>
                <w:sz w:val="22"/>
                <w:szCs w:val="22"/>
              </w:rPr>
            </w:pPr>
            <w:r>
              <w:rPr>
                <w:color w:val="000000" w:themeColor="text1"/>
                <w:sz w:val="22"/>
                <w:szCs w:val="22"/>
              </w:rPr>
              <w:t xml:space="preserve">12.823.276</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6" w:afterAutospacing="0" w:before="6" w:beforeAutospacing="0"/>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after="6" w:afterAutospacing="0" w:before="6" w:beforeAutospacing="0"/>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6" w:afterAutospacing="0" w:before="6" w:beforeAutospacing="0"/>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after="6" w:afterAutospacing="0" w:before="6" w:beforeAutospacing="0"/>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6" w:afterAutospacing="0" w:before="6" w:beforeAutospacing="0"/>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6" w:afterAutospacing="0" w:before="6" w:beforeAutospacing="0"/>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after="6" w:afterAutospacing="0" w:before="6" w:beforeAutospacing="0"/>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6" w:afterAutospacing="0" w:before="6" w:beforeAutospacing="0"/>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6" w:afterAutospacing="0" w:before="6" w:beforeAutospacing="0"/>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after="6" w:afterAutospacing="0" w:before="6" w:beforeAutospacing="0"/>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6" w:afterAutospacing="0" w:before="6" w:beforeAutospacing="0"/>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6" w:afterAutospacing="0" w:before="6" w:beforeAutospacing="0"/>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after="6" w:afterAutospacing="0" w:before="6" w:beforeAutospacing="0"/>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6" w:afterAutospacing="0" w:before="6" w:beforeAutospacing="0"/>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6" w:afterAutospacing="0" w:before="6" w:beforeAutospacing="0"/>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after="6" w:afterAutospacing="0" w:before="6" w:beforeAutospacing="0"/>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6" w:afterAutospacing="0" w:before="6" w:beforeAutospacing="0"/>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6" w:afterAutospacing="0" w:before="6" w:beforeAutospacing="0"/>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after="6" w:afterAutospacing="0" w:before="6" w:beforeAutospacing="0"/>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6" w:afterAutospacing="0" w:before="6" w:beforeAutospacing="0"/>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6" w:afterAutospacing="0" w:before="6" w:beforeAutospacing="0"/>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after="6" w:afterAutospacing="0" w:before="6" w:beforeAutospacing="0"/>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6" w:afterAutospacing="0" w:before="6" w:beforeAutospacing="0"/>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6" w:afterAutospacing="0" w:before="6" w:beforeAutospacing="0"/>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after="6" w:afterAutospacing="0" w:before="6" w:beforeAutospacing="0"/>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6" w:afterAutospacing="0" w:before="6" w:beforeAutospacing="0"/>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6" w:afterAutospacing="0" w:before="6" w:beforeAutospacing="0"/>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after="6" w:afterAutospacing="0" w:before="6" w:beforeAutospacing="0"/>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6" w:afterAutospacing="0" w:before="6" w:beforeAutospacing="0"/>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6" w:afterAutospacing="0" w:before="6" w:beforeAutospacing="0"/>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after="6" w:afterAutospacing="0" w:before="6" w:beforeAutospacing="0"/>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6" w:afterAutospacing="0" w:before="6" w:beforeAutospacing="0"/>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6" w:afterAutospacing="0" w:before="6" w:beforeAutospacing="0"/>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after="6" w:afterAutospacing="0" w:before="6" w:beforeAutospacing="0"/>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6" w:afterAutospacing="0" w:before="6" w:beforeAutospacing="0"/>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6" w:afterAutospacing="0" w:before="6" w:beforeAutospacing="0"/>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after="6" w:afterAutospacing="0" w:before="6" w:beforeAutospacing="0"/>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6" w:afterAutospacing="0" w:before="6" w:beforeAutospacing="0"/>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4"/>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3.058.640.000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2.975.000.000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1.487.500.000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6.800.000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10.205.832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12.823.276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10.205.832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12.823.276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6" w:afterAutospacing="0" w:before="6" w:beforeAutospacing="0"/>
              <w:ind/>
              <w:jc w:val="center"/>
              <w:rPr>
                <w:color w:val="000000" w:themeColor="text1"/>
                <w:sz w:val="22"/>
                <w:szCs w:val="22"/>
                <w14:ligatures w14:val="none"/>
              </w:rPr>
            </w:pPr>
            <w:r>
              <w:rPr>
                <w:color w:val="000000" w:themeColor="text1"/>
                <w:sz w:val="22"/>
                <w:szCs w:val="22"/>
              </w:rPr>
              <w:t xml:space="preserve">Đất ở nông thôn (100 m²), Đất trồng cây lâu năm (116.9 m²)</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after="6" w:afterAutospacing="0" w:before="6" w:beforeAutospacing="0"/>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Đất trồng cây lâu năm (379.8 m²), Đất ở tại nông thôn (70 m²)</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after="6" w:afterAutospacing="0" w:before="6" w:beforeAutospacing="0"/>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Đất ở nông thôn (100 m²), Đất trồng cây lâu năm (191.5 m²)</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after="6" w:afterAutospacing="0" w:before="6" w:beforeAutospacing="0"/>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Đất ở tại nông thôn(60 m²), Đất trồng cây lâu năm (56 m²)</w:t>
            </w:r>
            <w:r>
              <w:rPr>
                <w:color w:val="000000" w:themeColor="text1"/>
                <w:sz w:val="22"/>
                <w:szCs w:val="22"/>
                <w14:ligatures w14:val="none"/>
              </w:rPr>
            </w:r>
            <w:r>
              <w:rPr>
                <w:color w:val="000000" w:themeColor="text1"/>
                <w:sz w:val="22"/>
                <w:szCs w:val="22"/>
                <w14:ligatures w14: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10.205.832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12.823.276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Đất ở nông thôn (Lâu dài), Đất trồng cây lâu năm (có thời hạn)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 nông thôn (Lâu dài), Đất trồng cây lâu năm (có thời hạn)</w:t>
            </w: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 nông thôn (Lâu dài), Đất trồng cây lâu năm (có thời hạn)</w:t>
            </w: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 nông thôn (Lâu dài), Đất trồng cây lâu năm (có thời hạn)</w:t>
            </w: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10.205.832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12.823.276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Tài sản tại:Xã Đoài Phương, Thành phố Hà Nội, Cách QL21A khoảng 850m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Đoài Phương</w:t>
            </w:r>
            <w:r>
              <w:rPr>
                <w:color w:val="000000" w:themeColor="text1"/>
                <w:sz w:val="22"/>
                <w:szCs w:val="22"/>
              </w:rPr>
              <w:t xml:space="preserve">, Thành phố Hà Nội, khoảng cách ra đường chính Cách QL21A khoảng 1,2km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Đoài Phương</w:t>
            </w:r>
            <w:r>
              <w:rPr>
                <w:color w:val="000000" w:themeColor="text1"/>
                <w:sz w:val="22"/>
                <w:szCs w:val="22"/>
              </w:rPr>
              <w:t xml:space="preserve">, Thành phố Hà Nội, khoảng cách ra đường chính Cách dt82 khoảng 190, cách QL 21 khoảng 1,5km,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Đoài Phương</w:t>
            </w:r>
            <w:r>
              <w:rPr>
                <w:color w:val="000000" w:themeColor="text1"/>
                <w:sz w:val="22"/>
                <w:szCs w:val="22"/>
              </w:rPr>
              <w:t xml:space="preserve">, Thành phố Hà Nội, khoảng cách ra đường chính cách DT82 khoảng 1,7km, </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-1.020.583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9.185.249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12.823.276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9.185.249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12.823.276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306.175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9.491.424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12.823.276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216,9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449,8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291,5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510.292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-1.923.491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10.001.716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10.899.785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17,07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23,28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5,63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-1.020.583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641.164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8.981.133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11.540.949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22,66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26,35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12,52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8.981.133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11.540.949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8.981.133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11.540.949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510.292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9.491.425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11.540.949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lang w:val="undefined"/>
              </w:rPr>
              <w:t xml:space="preserve">Tỉ lệ đất ở/ Tổng diện tích: 46%</w:t>
            </w:r>
            <w:r>
              <w:rPr>
                <w:color w:val="000000" w:themeColor="text1"/>
                <w:sz w:val="22"/>
                <w:szCs w:val="22"/>
                <w:lang w:val="undefined"/>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lang w:val="undefined"/>
              </w:rPr>
              <w:t xml:space="preserve">Tỉ lệ đất ở/ Tổng diện tích: 18,5%</w:t>
            </w:r>
            <w:r>
              <w:rPr>
                <w:color w:val="000000" w:themeColor="text1"/>
                <w:sz w:val="22"/>
                <w:szCs w:val="22"/>
                <w:lang w:val="undefined"/>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lang w:val="undefined"/>
              </w:rPr>
              <w:t xml:space="preserve">tỉ lệ đất ở trên tổng diện tích là 34%</w:t>
            </w:r>
            <w:r>
              <w:rPr>
                <w:color w:val="000000" w:themeColor="text1"/>
                <w:sz w:val="22"/>
                <w:szCs w:val="22"/>
                <w:lang w:val="undefined"/>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lang w:val="undefined"/>
              </w:rPr>
              <w:t xml:space="preserve">Tỉ lệ đất ở trên tổng diện tích là 51,7%</w:t>
            </w:r>
            <w:r>
              <w:rPr>
                <w:color w:val="000000" w:themeColor="text1"/>
                <w:sz w:val="22"/>
                <w:szCs w:val="22"/>
                <w:lang w:val="undefined"/>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714.408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-384.698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10.205.833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11.156.251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9.180.000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10.205.833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11.156.251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10.180.695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-9,83%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9,58%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r>
              <w:rPr>
                <w:b/>
                <w:bCs/>
                <w:color w:val="000000"/>
                <w:sz w:val="22"/>
                <w:szCs w:val="22"/>
              </w:rPr>
            </w:r>
            <w:r>
              <w:rPr>
                <w:b/>
                <w:bCs/>
                <w:color w:val="000000"/>
                <w:sz w:val="22"/>
                <w:szCs w:val="22"/>
              </w:rPr>
            </w:r>
            <w:r>
              <w:rPr>
                <w:b/>
                <w:bCs/>
                <w:color w:val="000000"/>
                <w:sz w:val="22"/>
                <w:szCs w:val="22"/>
              </w:rPr>
            </w:r>
            <w:r>
              <w:rPr>
                <w:b/>
                <w:bCs/>
                <w:color w:val="000000"/>
                <w:sz w:val="22"/>
                <w:szCs w:val="22"/>
              </w:rPr>
            </w:r>
            <w:r>
              <w:rPr>
                <w:b/>
                <w:bCs/>
                <w:color w:val="000000"/>
                <w:sz w:val="22"/>
                <w:szCs w:val="22"/>
              </w:rPr>
            </w:r>
            <w:r>
              <w:rPr>
                <w:b/>
                <w:bCs/>
                <w:color w:val="000000"/>
                <w:sz w:val="22"/>
                <w:szCs w:val="22"/>
              </w:rPr>
            </w:r>
            <w:r>
              <w:rPr>
                <w:b/>
                <w:bCs/>
                <w:color w:val="000000"/>
                <w:sz w:val="22"/>
                <w:szCs w:val="22"/>
              </w:rPr>
            </w:r>
            <w:r>
              <w:rPr>
                <w:b/>
                <w:bCs/>
                <w:color w:val="000000"/>
                <w:sz w:val="22"/>
                <w:szCs w:val="22"/>
              </w:rPr>
            </w:r>
            <w:r>
              <w:rPr>
                <w:b/>
                <w:bCs/>
                <w:color w:val="000000"/>
                <w:sz w:val="22"/>
                <w:szCs w:val="22"/>
              </w:rPr>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3.060.000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4.082.333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2.949.353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2.380.000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1.667.025</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-9,83</w:t>
      </w:r>
      <w:r>
        <w:t xml:space="preserve">% </w:t>
      </w:r>
      <w:r>
        <w:t xml:space="preserve">đến</w:t>
      </w:r>
      <w:r>
        <w:t xml:space="preserve"> </w:t>
      </w:r>
      <w:r>
        <w:t xml:space="preserve"> </w:t>
      </w:r>
      <w:r>
        <w:t xml:space="preserve">9,58</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9.180.000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3.060.612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10.205.833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3.401.604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11.156.251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3.718.378</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10.180.594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10.000.000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10.000.000</w:t>
      </w:r>
      <w:r>
        <w:rPr>
          <w:b/>
          <w:bCs/>
          <w:color w:val="000000" w:themeColor="text1"/>
        </w:rPr>
        <w:t xml:space="preserve"> </w:t>
      </w:r>
      <w:r>
        <w:rPr>
          <w:b/>
          <w:bCs/>
        </w:rPr>
        <w:t xml:space="preserve">đồng</w:t>
      </w:r>
      <w:r>
        <w:rPr>
          <w:b/>
          <w:bCs/>
        </w:rPr>
        <w:t xml:space="preserve">/m².</w:t>
      </w:r>
      <w:r>
        <w:rPr>
          <w:b/>
          <w:bCs/>
        </w:rPr>
      </w:r>
      <w:r>
        <w:rPr>
          <w:b/>
          <w:bCs/>
        </w:rPr>
      </w:r>
      <w:r>
        <w:rPr>
          <w:b/>
          <w:lang w:val="pt-BR"/>
        </w:rPr>
      </w:r>
      <w:r>
        <w:rPr>
          <w:b/>
          <w:lang w:val="pt-BR"/>
        </w:rPr>
      </w:r>
      <w:r>
        <w:rPr>
          <w:b/>
          <w:lang w:val="pt-BR"/>
        </w:rPr>
      </w:r>
      <w:r>
        <w:rPr>
          <w:b/>
          <w:bCs/>
        </w:rPr>
      </w:r>
    </w:p>
    <w:p>
      <w:pPr>
        <w:pStyle w:val="1024"/>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95"/>
        <w:gridCol w:w="3543"/>
        <w:gridCol w:w="1559"/>
        <w:gridCol w:w="2126"/>
        <w:gridCol w:w="1702"/>
      </w:tblGrid>
      <w:tr>
        <w:trPr>
          <w:trHeight w:val="20"/>
        </w:trPr>
        <w:tc>
          <w:tcPr>
            <w:shd w:val="clear" w:color="000000" w:fill="ffffff"/>
            <w:tcBorders/>
            <w:tcW w:w="595" w:type="dxa"/>
            <w:vAlign w:val="center"/>
            <w:textDirection w:val="lrTb"/>
            <w:noWrap w:val="false"/>
          </w:tcPr>
          <w:p>
            <w:pPr>
              <w:pBdr/>
              <w:spacing w:after="6" w:afterAutospacing="0" w:before="6" w:beforeAutospacing="0" w:line="288" w:lineRule="auto"/>
              <w:ind/>
              <w:jc w:val="center"/>
              <w:rPr>
                <w:b/>
                <w:bCs/>
              </w:rPr>
            </w:pPr>
            <w:r>
              <w:rPr>
                <w:b/>
                <w:bCs/>
              </w:rPr>
              <w:t xml:space="preserve">TT</w:t>
            </w:r>
            <w:r>
              <w:rPr>
                <w:b/>
                <w:bCs/>
              </w:rPr>
            </w:r>
            <w:r>
              <w:rPr>
                <w:b/>
                <w:bCs/>
              </w:rPr>
            </w:r>
          </w:p>
        </w:tc>
        <w:tc>
          <w:tcPr>
            <w:shd w:val="clear" w:color="000000" w:fill="ffffff"/>
            <w:tcBorders/>
            <w:tcW w:w="3543" w:type="dxa"/>
            <w:vAlign w:val="center"/>
            <w:textDirection w:val="lrTb"/>
            <w:noWrap w:val="false"/>
          </w:tcPr>
          <w:p>
            <w:pPr>
              <w:pBdr/>
              <w:spacing w:after="6" w:afterAutospacing="0" w:before="6" w:beforeAutospacing="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559" w:type="dxa"/>
            <w:vAlign w:val="center"/>
            <w:textDirection w:val="lrTb"/>
            <w:noWrap w:val="false"/>
          </w:tcPr>
          <w:p>
            <w:pPr>
              <w:pBdr/>
              <w:spacing w:after="6" w:afterAutospacing="0" w:before="6" w:beforeAutospacing="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126" w:type="dxa"/>
            <w:vAlign w:val="center"/>
            <w:textDirection w:val="lrTb"/>
            <w:noWrap w:val="false"/>
          </w:tcPr>
          <w:p>
            <w:pPr>
              <w:pBdr/>
              <w:spacing w:after="6" w:afterAutospacing="0" w:before="6" w:beforeAutospacing="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702" w:type="dxa"/>
            <w:vAlign w:val="center"/>
            <w:textDirection w:val="lrTb"/>
            <w:noWrap w:val="false"/>
          </w:tcPr>
          <w:p>
            <w:pPr>
              <w:pBdr/>
              <w:spacing w:after="6" w:afterAutospacing="0" w:before="6" w:beforeAutospacing="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95" w:type="dxa"/>
            <w:vAlign w:val="center"/>
            <w:textDirection w:val="lrTb"/>
            <w:noWrap w:val="false"/>
          </w:tcPr>
          <w:p>
            <w:pPr>
              <w:pBdr/>
              <w:spacing w:after="6" w:afterAutospacing="0" w:before="6" w:beforeAutospacing="0" w:line="288" w:lineRule="auto"/>
              <w:ind/>
              <w:jc w:val="center"/>
              <w:rPr>
                <w:b/>
                <w:bCs/>
              </w:rPr>
            </w:pPr>
            <w:r>
              <w:rPr>
                <w:b/>
                <w:bCs/>
              </w:rPr>
              <w:t xml:space="preserve"> </w:t>
            </w:r>
            <w:r>
              <w:rPr>
                <w:b/>
                <w:bCs/>
              </w:rPr>
            </w:r>
            <w:r>
              <w:rPr>
                <w:b/>
                <w:bCs/>
              </w:rPr>
            </w:r>
          </w:p>
        </w:tc>
        <w:tc>
          <w:tcPr>
            <w:gridSpan w:val="3"/>
            <w:shd w:val="clear" w:color="000000" w:fill="ffffff"/>
            <w:tcBorders/>
            <w:tcW w:w="7228" w:type="dxa"/>
            <w:vAlign w:val="center"/>
            <w:textDirection w:val="lrTb"/>
            <w:noWrap w:val="false"/>
          </w:tcPr>
          <w:p>
            <w:pPr>
              <w:pBdr/>
              <w:spacing w:after="6" w:afterAutospacing="0" w:before="6" w:beforeAutospacing="0" w:line="288" w:lineRule="auto"/>
              <w:ind/>
              <w:jc w:val="both"/>
              <w:rPr>
                <w:b/>
                <w:bCs/>
              </w:rPr>
            </w:pPr>
            <w:r>
              <w:rPr>
                <w:color w:val="000000"/>
              </w:rPr>
              <w:t xml:space="preserve">Quyền sử dụng đất tại thửa đất số: 526, tờ bản đồ số 26 có địa chỉ: Thôn Đồi Vua, xã Đoài Phương, th</w:t>
            </w:r>
            <w:r>
              <w:rPr>
                <w:color w:val="000000"/>
              </w:rPr>
              <w:t xml:space="preserve">ành phố Hà Nội theo Giấy chứng nhận quyền sử dụng đất quyền sở hữu tài sản gắn liền với đất số: AA 04406491, số vào sổ cấp GCN: CN 5968 do Chi nhánh văn phòng đăng kí đất đai Hà Nội thị xã Sơn Tây cấp ngày 09/02/2026; Chủ sử dụng đất là Bà Hoàng Thị Tú Anh</w:t>
            </w:r>
            <w:r>
              <w:rPr>
                <w:b/>
                <w:bCs/>
              </w:rPr>
              <w:t xml:space="preserve">.</w:t>
            </w:r>
            <w:r>
              <w:rPr>
                <w:b/>
                <w:bCs/>
              </w:rPr>
            </w:r>
            <w:r>
              <w:rPr>
                <w:b/>
                <w:bCs/>
              </w:rPr>
            </w:r>
          </w:p>
        </w:tc>
        <w:tc>
          <w:tcPr>
            <w:shd w:val="clear" w:color="000000" w:fill="ffffff"/>
            <w:tcBorders/>
            <w:tcW w:w="1702" w:type="dxa"/>
            <w:vAlign w:val="center"/>
            <w:textDirection w:val="lrTb"/>
            <w:noWrap w:val="false"/>
          </w:tcPr>
          <w:p>
            <w:pPr>
              <w:pBdr/>
              <w:spacing w:after="6" w:afterAutospacing="0" w:before="6" w:beforeAutospacing="0" w:line="288" w:lineRule="auto"/>
              <w:ind/>
              <w:jc w:val="right"/>
              <w:rPr>
                <w:b/>
                <w:bCs/>
              </w:rPr>
            </w:pPr>
            <w:r>
              <w:rPr>
                <w:b/>
                <w:bCs/>
              </w:rPr>
              <w:t xml:space="preserve"> </w:t>
            </w:r>
            <w:r>
              <w:rPr>
                <w:b/>
                <w:bCs/>
              </w:rPr>
            </w:r>
            <w:r>
              <w:rPr>
                <w:b/>
                <w:bCs/>
              </w:rPr>
            </w:r>
          </w:p>
        </w:tc>
      </w:tr>
      <w:tr>
        <w:trPr>
          <w:trHeight w:val="983"/>
        </w:trPr>
        <w:tc>
          <w:tcPr>
            <w:shd w:val="clear" w:color="000000" w:fill="ffffff"/>
            <w:tcBorders/>
            <w:tcW w:w="595" w:type="dxa"/>
            <w:vAlign w:val="center"/>
            <w:textDirection w:val="lrTb"/>
            <w:noWrap w:val="false"/>
          </w:tcPr>
          <w:p>
            <w:pPr>
              <w:pBdr/>
              <w:spacing w:after="6" w:afterAutospacing="0" w:before="6" w:beforeAutospacing="0" w:line="288" w:lineRule="auto"/>
              <w:ind/>
              <w:jc w:val="center"/>
              <w:rPr/>
            </w:pPr>
            <w:r>
              <w:rPr>
                <w:b/>
                <w:bCs/>
              </w:rPr>
            </w:r>
            <w:r/>
            <w:r/>
          </w:p>
        </w:tc>
        <w:tc>
          <w:tcPr>
            <w:shd w:val="clear" w:color="000000" w:fill="ffffff"/>
            <w:tcBorders/>
            <w:tcW w:w="3543" w:type="dxa"/>
            <w:vAlign w:val="center"/>
            <w:textDirection w:val="lrTb"/>
            <w:noWrap w:val="false"/>
          </w:tcPr>
          <w:p>
            <w:pPr>
              <w:pBdr/>
              <w:spacing w:after="6" w:afterAutospacing="0" w:before="6" w:beforeAutospacing="0" w:line="288" w:lineRule="auto"/>
              <w:ind/>
              <w:rPr>
                <w:b/>
                <w:bCs/>
              </w:rPr>
            </w:pPr>
            <w:r>
              <w:rPr>
                <w:b/>
                <w:bCs/>
              </w:rPr>
              <w:t xml:space="preserve">Quyền sử dụng đất (đất ở tại nông thôn: 100m2; đất trồng cây lâu năm: 116,9m2)</w:t>
            </w:r>
            <w:r>
              <w:rPr>
                <w:b/>
                <w:bCs/>
              </w:rPr>
            </w:r>
            <w:r>
              <w:rPr>
                <w:b/>
                <w:bCs/>
              </w:rPr>
            </w:r>
          </w:p>
        </w:tc>
        <w:tc>
          <w:tcPr>
            <w:tcBorders/>
            <w:tcW w:w="1559" w:type="dxa"/>
            <w:vAlign w:val="center"/>
            <w:textDirection w:val="lrTb"/>
            <w:noWrap/>
          </w:tcPr>
          <w:p>
            <w:pPr>
              <w:pBdr/>
              <w:spacing w:after="6" w:afterAutospacing="0" w:before="6" w:beforeAutospacing="0" w:line="288" w:lineRule="auto"/>
              <w:ind/>
              <w:jc w:val="center"/>
              <w:rPr>
                <w:color w:val="000000"/>
              </w:rPr>
            </w:pPr>
            <w:r>
              <w:rPr>
                <w:color w:val="000000" w:themeColor="text1"/>
              </w:rPr>
              <w:t xml:space="preserve">216,9</w:t>
            </w:r>
            <w:r>
              <w:rPr>
                <w:color w:val="000000"/>
              </w:rPr>
            </w:r>
            <w:r>
              <w:rPr>
                <w:color w:val="000000"/>
              </w:rPr>
            </w:r>
          </w:p>
        </w:tc>
        <w:tc>
          <w:tcPr>
            <w:shd w:val="clear" w:color="000000" w:fill="ffffff"/>
            <w:tcBorders/>
            <w:tcW w:w="2126" w:type="dxa"/>
            <w:vAlign w:val="center"/>
            <w:textDirection w:val="lrTb"/>
            <w:noWrap w:val="false"/>
          </w:tcPr>
          <w:p>
            <w:pPr>
              <w:pBdr/>
              <w:spacing w:after="6" w:afterAutospacing="0" w:before="6" w:beforeAutospacing="0" w:line="288" w:lineRule="auto"/>
              <w:ind/>
              <w:jc w:val="center"/>
              <w:rPr/>
            </w:pPr>
            <w:r>
              <w:rPr>
                <w:color w:val="000000" w:themeColor="text1"/>
              </w:rPr>
              <w:t xml:space="preserve">10.000.000</w:t>
            </w:r>
            <w:r/>
            <w:r/>
          </w:p>
        </w:tc>
        <w:tc>
          <w:tcPr>
            <w:shd w:val="clear" w:color="000000" w:fill="ffffff"/>
            <w:tcBorders/>
            <w:tcW w:w="1702" w:type="dxa"/>
            <w:vAlign w:val="center"/>
            <w:textDirection w:val="lrTb"/>
            <w:noWrap w:val="false"/>
          </w:tcPr>
          <w:p>
            <w:pPr>
              <w:pBdr/>
              <w:spacing w:after="6" w:afterAutospacing="0" w:before="6" w:beforeAutospacing="0" w:line="288" w:lineRule="auto"/>
              <w:ind/>
              <w:jc w:val="center"/>
              <w:rPr>
                <w:color w:val="000000" w:themeColor="text1"/>
                <w14:ligatures w14:val="none"/>
              </w:rPr>
            </w:pPr>
            <w:r>
              <w:rPr>
                <w:color w:val="000000" w:themeColor="text1"/>
              </w:rPr>
              <w:t xml:space="preserve">2.169.000.000</w:t>
            </w:r>
            <w:r>
              <w:rPr>
                <w:color w:val="000000" w:themeColor="text1"/>
                <w14:ligatures w14:val="none"/>
              </w:rPr>
            </w:r>
            <w:r>
              <w:rPr>
                <w:color w:val="000000" w:themeColor="text1"/>
                <w14:ligatures w14:val="none"/>
              </w:rPr>
            </w:r>
          </w:p>
        </w:tc>
      </w:tr>
      <w:tr>
        <w:trPr>
          <w:trHeight w:val="20"/>
        </w:trPr>
        <w:tc>
          <w:tcPr>
            <w:gridSpan w:val="4"/>
            <w:tcBorders/>
            <w:tcW w:w="7823" w:type="dxa"/>
            <w:vAlign w:val="center"/>
            <w:textDirection w:val="lrTb"/>
            <w:noWrap/>
          </w:tcPr>
          <w:p>
            <w:pPr>
              <w:pBdr/>
              <w:spacing w:after="6" w:afterAutospacing="0" w:before="6" w:beforeAutospacing="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702" w:type="dxa"/>
            <w:vAlign w:val="center"/>
            <w:textDirection w:val="lrTb"/>
            <w:noWrap/>
          </w:tcPr>
          <w:p>
            <w:pPr>
              <w:pBdr/>
              <w:spacing w:after="6" w:afterAutospacing="0" w:before="6" w:beforeAutospacing="0" w:line="288" w:lineRule="auto"/>
              <w:ind/>
              <w:jc w:val="center"/>
              <w:rPr>
                <w:color w:val="000000" w:themeColor="text1"/>
                <w14:ligatures w14:val="none"/>
              </w:rPr>
            </w:pPr>
            <w:r>
              <w:rPr>
                <w:color w:val="000000" w:themeColor="text1"/>
              </w:rPr>
              <w:t xml:space="preserve">2.169.000.000</w:t>
            </w:r>
            <w:r>
              <w:rPr>
                <w:color w:val="000000" w:themeColor="text1"/>
                <w14:ligatures w14:val="none"/>
              </w:rPr>
            </w:r>
            <w:r>
              <w:rPr>
                <w:color w:val="000000" w:themeColor="text1"/>
                <w14:ligatures w14:val="none"/>
              </w:rPr>
            </w:r>
          </w:p>
        </w:tc>
      </w:tr>
      <w:tr>
        <w:trPr>
          <w:trHeight w:val="20"/>
        </w:trPr>
        <w:tc>
          <w:tcPr>
            <w:gridSpan w:val="5"/>
            <w:tcBorders/>
            <w:tcW w:w="9525" w:type="dxa"/>
            <w:vAlign w:val="center"/>
            <w:textDirection w:val="lrTb"/>
            <w:noWrap w:val="false"/>
          </w:tcPr>
          <w:p>
            <w:pPr>
              <w:pBdr/>
              <w:spacing w:after="6" w:afterAutospacing="0" w:before="6" w:beforeAutospacing="0" w:line="240" w:lineRule="auto"/>
              <w:ind/>
              <w:jc w:val="center"/>
              <w:rPr/>
            </w:pPr>
            <w:r>
              <w:rPr>
                <w:rFonts w:ascii="Times New Roman" w:hAnsi="Times New Roman" w:eastAsia="Times New Roman" w:cs="Times New Roman"/>
                <w:b/>
                <w:i/>
                <w:color w:val="000000"/>
                <w:sz w:val="24"/>
              </w:rPr>
              <w:t xml:space="preserve">(Bằng chữ: Hai tỷ một trăm sáu mươi chín triệu đồng chẵn ./.)</w:t>
            </w:r>
            <w:r/>
            <w:r/>
          </w:p>
        </w:tc>
      </w:tr>
    </w:tbl>
    <w:p>
      <w:pPr>
        <w:pStyle w:val="1024"/>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
      <w:r/>
      <w:r/>
    </w:p>
    <w:p>
      <w:pPr>
        <w:pStyle w:val="102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4"/>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4"/>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4"/>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4"/>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4"/>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4"/>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4"/>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4"/>
        <w:pBdr/>
        <w:tabs>
          <w:tab w:val="left" w:leader="none" w:pos="993"/>
        </w:tabs>
        <w:spacing w:after="120" w:before="120" w:line="288" w:lineRule="auto"/>
        <w:ind w:left="0"/>
        <w:jc w:val="both"/>
        <w:rPr>
          <w:lang w:val="vi-VN"/>
        </w:rPr>
      </w:pPr>
      <w:r>
        <w:rPr>
          <w:highlight w:val="none"/>
          <w:lang w:val="vi-VN"/>
        </w:rPr>
      </w:r>
      <w:r>
        <w:rPr>
          <w:highlight w:val="none"/>
          <w:lang w:val="vi-VN"/>
        </w:rPr>
      </w:r>
      <w:r>
        <w:rPr>
          <w:highlight w:val="none"/>
          <w:lang w:val="vi-VN"/>
        </w:rPr>
      </w:r>
    </w:p>
    <w:p>
      <w:pPr>
        <w:pStyle w:val="1024"/>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4"/>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4"/>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4"/>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4"/>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4"/>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4"/>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4"/>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4"/>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4"/>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4"/>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4"/>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4"/>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275/2026/0317/VFI-CT.39.A</w:t>
      </w:r>
      <w:r>
        <w:rPr>
          <w:color w:val="ff0000"/>
          <w:lang w:val="vi-VN"/>
        </w:rPr>
        <w:t xml:space="preserve"> </w:t>
      </w:r>
      <w:r>
        <w:rPr>
          <w:color w:val="000000" w:themeColor="text1"/>
        </w:rPr>
        <w:t xml:space="preserve">ngày 11 tháng 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4"/>
        <w:pBdr/>
        <w:tabs>
          <w:tab w:val="left" w:leader="none" w:pos="993"/>
        </w:tabs>
        <w:spacing w:after="120" w:before="120" w:line="288" w:lineRule="auto"/>
        <w:ind w:left="0"/>
        <w:jc w:val="both"/>
        <w:rPr>
          <w:lang w:val="vi-VN"/>
        </w:rPr>
      </w:pPr>
      <w:r>
        <w:rPr>
          <w:lang w:val="vi-VN"/>
        </w:rPr>
      </w:r>
      <w:r>
        <w:rPr>
          <w:lang w:val="vi-VN"/>
        </w:rPr>
      </w:r>
      <w:r>
        <w:rPr>
          <w:lang w:val="vi-VN"/>
        </w:rPr>
      </w:r>
    </w:p>
    <w:p>
      <w:pPr>
        <w:pStyle w:val="1024"/>
        <w:pBdr/>
        <w:tabs>
          <w:tab w:val="left" w:leader="none" w:pos="993"/>
        </w:tabs>
        <w:spacing w:after="120" w:before="120" w:line="288" w:lineRule="auto"/>
        <w:ind w:left="0"/>
        <w:jc w:val="both"/>
        <w:rPr>
          <w:lang w:val="vi-VN"/>
        </w:rPr>
      </w:pPr>
      <w:r>
        <w:rPr>
          <w:lang w:val="vi-VN"/>
        </w:rPr>
      </w:r>
      <w:r>
        <w:rPr>
          <w:lang w:val="vi-VN"/>
        </w:rPr>
      </w:r>
      <w:r>
        <w:rPr>
          <w:lang w:val="vi-VN"/>
        </w:rPr>
      </w:r>
    </w:p>
    <w:p>
      <w:pPr>
        <w:pStyle w:val="1024"/>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Đinh Thị Lan Hương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275/2026/0317/VFI-BC.39.A</w:t>
      </w:r>
      <w:r>
        <w:rPr>
          <w:i/>
          <w:lang w:val="pt-BR"/>
        </w:rPr>
        <w:t xml:space="preserve"> ngày </w:t>
      </w:r>
      <w:r>
        <w:rPr>
          <w:i/>
          <w:lang w:val="pt-BR"/>
        </w:rPr>
        <w:t xml:space="preserve">11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415545" cy="314565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315418" name=""/>
                              <pic:cNvPicPr>
                                <a:picLocks noChangeAspect="1"/>
                              </pic:cNvPicPr>
                              <pic:nvPr/>
                            </pic:nvPicPr>
                            <pic:blipFill rotWithShape="1">
                              <a:blip r:embed="rId18"/>
                              <a:stretch/>
                            </pic:blipFill>
                            <pic:spPr bwMode="auto">
                              <a:xfrm flipH="0" flipV="0">
                                <a:off x="0" y="0"/>
                                <a:ext cx="1415545" cy="31456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1.46pt;height:247.69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
              <mc:AlternateContent>
                <mc:Choice Requires="wpg">
                  <w:drawing>
                    <wp:inline xmlns:wp="http://schemas.openxmlformats.org/drawingml/2006/wordprocessingDrawing" distT="0" distB="0" distL="0" distR="0">
                      <wp:extent cx="2872700" cy="215452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722603" name=""/>
                              <pic:cNvPicPr>
                                <a:picLocks noChangeAspect="1"/>
                              </pic:cNvPicPr>
                              <pic:nvPr/>
                            </pic:nvPicPr>
                            <pic:blipFill rotWithShape="1">
                              <a:blip r:embed="rId19"/>
                              <a:stretch/>
                            </pic:blipFill>
                            <pic:spPr bwMode="auto">
                              <a:xfrm flipH="0" flipV="0">
                                <a:off x="0" y="0"/>
                                <a:ext cx="2872699" cy="21545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6.20pt;height:169.65pt;mso-wrap-distance-left:0.00pt;mso-wrap-distance-top:0.00pt;mso-wrap-distance-right:0.00pt;mso-wrap-distance-bottom:0.00pt;z-index:1;" stroked="false">
                      <v:imagedata r:id="rId19" o:title=""/>
                      <o:lock v:ext="edit" rotation="t"/>
                    </v:shape>
                  </w:pict>
                </mc:Fallback>
              </mc:AlternateContent>
            </w:r>
            <w: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37705" cy="197827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4544" name=""/>
                              <pic:cNvPicPr>
                                <a:picLocks noChangeAspect="1"/>
                              </pic:cNvPicPr>
                              <pic:nvPr/>
                            </pic:nvPicPr>
                            <pic:blipFill rotWithShape="1">
                              <a:blip r:embed="rId20"/>
                              <a:stretch/>
                            </pic:blipFill>
                            <pic:spPr bwMode="auto">
                              <a:xfrm flipH="0" flipV="0">
                                <a:off x="0" y="0"/>
                                <a:ext cx="2637705" cy="19782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7.69pt;height:155.77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
              <mc:AlternateContent>
                <mc:Choice Requires="wpg">
                  <w:drawing>
                    <wp:inline xmlns:wp="http://schemas.openxmlformats.org/drawingml/2006/wordprocessingDrawing" distT="0" distB="0" distL="0" distR="0">
                      <wp:extent cx="2838862" cy="212914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593263" name=""/>
                              <pic:cNvPicPr>
                                <a:picLocks noChangeAspect="1"/>
                              </pic:cNvPicPr>
                              <pic:nvPr/>
                            </pic:nvPicPr>
                            <pic:blipFill rotWithShape="1">
                              <a:blip r:embed="rId21"/>
                              <a:stretch/>
                            </pic:blipFill>
                            <pic:spPr bwMode="auto">
                              <a:xfrm flipH="0" flipV="0">
                                <a:off x="0" y="0"/>
                                <a:ext cx="2838861" cy="21291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3.53pt;height:167.65pt;mso-wrap-distance-left:0.00pt;mso-wrap-distance-top:0.00pt;mso-wrap-distance-right:0.00pt;mso-wrap-distance-bottom:0.00pt;z-index:1;" stroked="false">
                      <v:imagedata r:id="rId21" o:title=""/>
                      <o:lock v:ext="edit" rotation="t"/>
                    </v:shape>
                  </w:pict>
                </mc:Fallback>
              </mc:AlternateContent>
            </w:r>
            <w:r/>
            <w:r>
              <w:rPr>
                <w:i/>
                <w:lang w:val="pt-BR"/>
              </w:rPr>
            </w:r>
            <w: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21656" cy="211624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524807" name=""/>
                              <pic:cNvPicPr>
                                <a:picLocks noChangeAspect="1"/>
                              </pic:cNvPicPr>
                              <pic:nvPr/>
                            </pic:nvPicPr>
                            <pic:blipFill rotWithShape="1">
                              <a:blip r:embed="rId22"/>
                              <a:stretch/>
                            </pic:blipFill>
                            <pic:spPr bwMode="auto">
                              <a:xfrm flipH="0" flipV="0">
                                <a:off x="0" y="0"/>
                                <a:ext cx="2821656" cy="21162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2.18pt;height:166.63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
              <mc:AlternateContent>
                <mc:Choice Requires="wpg">
                  <w:drawing>
                    <wp:inline xmlns:wp="http://schemas.openxmlformats.org/drawingml/2006/wordprocessingDrawing" distT="0" distB="0" distL="0" distR="0">
                      <wp:extent cx="2799486" cy="209961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916553" name=""/>
                              <pic:cNvPicPr>
                                <a:picLocks noChangeAspect="1"/>
                              </pic:cNvPicPr>
                              <pic:nvPr/>
                            </pic:nvPicPr>
                            <pic:blipFill rotWithShape="1">
                              <a:blip r:embed="rId23"/>
                              <a:stretch/>
                            </pic:blipFill>
                            <pic:spPr bwMode="auto">
                              <a:xfrm flipH="0" flipV="0">
                                <a:off x="0" y="0"/>
                                <a:ext cx="2799485" cy="20996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0.43pt;height:165.32pt;mso-wrap-distance-left:0.00pt;mso-wrap-distance-top:0.00pt;mso-wrap-distance-right:0.00pt;mso-wrap-distance-bottom:0.00pt;z-index:1;" stroked="false">
                      <v:imagedata r:id="rId23" o:title=""/>
                      <o:lock v:ext="edit" rotation="t"/>
                    </v:shape>
                  </w:pict>
                </mc:Fallback>
              </mc:AlternateContent>
            </w:r>
            <w:r/>
            <w:r>
              <w:rPr>
                <w:i/>
                <w:lang w:val="pt-BR"/>
              </w:rPr>
            </w:r>
            <w:r>
              <w:rPr>
                <w:b/>
                <w:bCs/>
                <w:i/>
                <w:lang w:val="pt-BR"/>
              </w:rPr>
            </w:r>
            <w:r>
              <w:rPr>
                <w:b/>
                <w:bCs/>
                <w:i/>
                <w:lang w:val="pt-BR"/>
              </w:rPr>
            </w:r>
          </w:p>
        </w:tc>
      </w:tr>
    </w:tbl>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bCs/>
          <w:i/>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275/2026/0317/VFI-BC.39.A ngày</w:t>
      </w:r>
      <w:r>
        <w:rPr>
          <w:i/>
          <w:lang w:val="pt-BR"/>
        </w:rPr>
      </w:r>
      <w:r>
        <w:rPr>
          <w:i/>
        </w:rPr>
      </w:r>
      <w:r>
        <w:rPr>
          <w:i/>
          <w:lang w:val="pt-BR"/>
        </w:rPr>
        <w:t xml:space="preserve"> </w:t>
      </w:r>
      <w:r>
        <w:rPr>
          <w:i/>
          <w:lang w:val="pt-BR"/>
        </w:rPr>
        <w:t xml:space="preserve">11 tháng 2 năm 2026</w:t>
      </w:r>
      <w:r>
        <w:rPr>
          <w:i/>
          <w:lang w:val="pt-BR"/>
        </w:rPr>
        <w:t xml:space="preserve"> </w:t>
      </w:r>
      <w:r>
        <w:rPr>
          <w:i/>
          <w:lang w:val="pt-BR"/>
        </w:rPr>
        <w:t xml:space="preserve">của</w:t>
      </w:r>
      <w:r>
        <w:rPr>
          <w:i/>
          <w:lang w:val="pt-BR"/>
        </w:rPr>
        <w:t xml:space="preserve"> </w:t>
      </w:r>
      <w:r>
        <w:rPr>
          <w:i/>
          <w:lang w:val="pt-BR"/>
        </w:rPr>
      </w:r>
      <w:r/>
      <w:r>
        <w:rPr>
          <w:bCs/>
          <w:i/>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0984725523</w:t>
            </w:r>
            <w:r>
              <w:rPr>
                <w:sz w:val="22"/>
                <w:szCs w:val="22"/>
              </w:rPr>
              <w:t xml:space="preserve"> </w:t>
            </w:r>
            <w:r>
              <w:rPr>
                <w:sz w:val="22"/>
                <w:szCs w:val="22"/>
              </w:rPr>
              <w:br/>
              <w:t xml:space="preserve">(Lê Huyền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3.598.400.000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3.058.640.000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02/2025</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6" w:afterAutospacing="0" w:before="6" w:beforeAutospacing="0"/>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Đất trồng cây lâu năm (379.8 m²), Đất ở tại nông thôn (70 m²)</w:t>
            </w:r>
            <w:r>
              <w:rPr>
                <w:color w:val="000000" w:themeColor="text1"/>
                <w:sz w:val="22"/>
                <w:szCs w:val="22"/>
                <w14:ligatures w14:val="none"/>
              </w:rPr>
            </w:r>
            <w:r>
              <w:rPr>
                <w:color w:val="000000" w:themeColor="text1"/>
                <w:sz w:val="22"/>
                <w:szCs w:val="22"/>
                <w14:ligatures w14:val="none"/>
              </w:rPr>
            </w:r>
            <w:r>
              <w:rPr>
                <w:color w:val="000000" w:themeColor="text1"/>
                <w:sz w:val="22"/>
                <w:szCs w:val="22"/>
              </w:rPr>
            </w:r>
            <w:r>
              <w:rPr>
                <w:sz w:val="22"/>
                <w:szCs w:val="22"/>
              </w:rPr>
            </w:r>
            <w:r>
              <w:rPr>
                <w:color w:val="000000" w:themeColor="text1"/>
                <w:sz w:val="22"/>
                <w:szCs w:val="22"/>
                <w14:ligatures w14: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color w:val="000000" w:themeColor="text1"/>
                <w:sz w:val="22"/>
                <w:szCs w:val="22"/>
              </w:rPr>
              <w:t xml:space="preserve">Đất ở nông thôn (Lâu dài), Đất trồng cây lâu năm (có thời hạn)</w:t>
            </w:r>
            <w:r/>
            <w:r/>
            <w:r>
              <w:rPr>
                <w:color w:val="000000" w:themeColor="text1"/>
                <w:sz w:val="22"/>
                <w:szCs w:val="22"/>
              </w:rPr>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Đoài Phương</w:t>
            </w:r>
            <w:r>
              <w:rPr>
                <w:color w:val="000000" w:themeColor="text1"/>
                <w:sz w:val="22"/>
                <w:szCs w:val="22"/>
              </w:rPr>
              <w:t xml:space="preserve">, Thành phố Hà Nội, khoảng cách ra đường chính Cách QL21A khoảng 1,2km</w:t>
            </w:r>
            <w:r>
              <w:rPr>
                <w:color w:val="000000"/>
                <w:sz w:val="22"/>
                <w:szCs w:val="22"/>
              </w:rPr>
            </w:r>
            <w:r>
              <w:rPr>
                <w:color w:val="000000"/>
                <w:sz w:val="22"/>
                <w:szCs w:val="22"/>
              </w:rPr>
            </w:r>
            <w:r>
              <w:rPr>
                <w:color w:val="000000" w:themeColor="text1"/>
                <w:sz w:val="22"/>
                <w:szCs w:val="22"/>
              </w:rPr>
            </w:r>
            <w:r>
              <w:rPr>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449,8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17,07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413037"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341303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68.74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7.5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Đinh Thị Lan Hương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0385256568</w:t>
            </w:r>
            <w:r>
              <w:rPr>
                <w:sz w:val="22"/>
                <w:szCs w:val="22"/>
              </w:rPr>
              <w:t xml:space="preserve"> </w:t>
            </w:r>
            <w:r>
              <w:rPr>
                <w:sz w:val="22"/>
                <w:szCs w:val="22"/>
              </w:rPr>
              <w:br/>
              <w:t xml:space="preserve">(Nguyễn Thanh Hoa</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2.975.000.000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6" w:afterAutospacing="0" w:before="6" w:beforeAutospacing="0"/>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Đất ở nông thôn (100 m²), Đất trồng cây lâu năm (191.5 m²)</w:t>
            </w:r>
            <w:r>
              <w:rPr>
                <w:color w:val="000000" w:themeColor="text1"/>
                <w:sz w:val="22"/>
                <w:szCs w:val="22"/>
                <w14:ligatures w14:val="none"/>
              </w:rPr>
            </w:r>
            <w:r>
              <w:rPr>
                <w:color w:val="000000" w:themeColor="text1"/>
                <w:sz w:val="22"/>
                <w:szCs w:val="22"/>
                <w14:ligatures w14:val="none"/>
              </w:rPr>
            </w:r>
            <w:r>
              <w:rPr>
                <w:color w:val="000000" w:themeColor="text1"/>
                <w:sz w:val="22"/>
                <w:szCs w:val="22"/>
              </w:rPr>
            </w:r>
            <w:r>
              <w:rPr>
                <w:sz w:val="22"/>
                <w:szCs w:val="22"/>
              </w:rPr>
            </w:r>
            <w:r>
              <w:rPr>
                <w:color w:val="000000" w:themeColor="text1"/>
                <w:sz w:val="22"/>
                <w:szCs w:val="22"/>
                <w14:ligatures w14: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color w:val="000000" w:themeColor="text1"/>
                <w:sz w:val="22"/>
                <w:szCs w:val="22"/>
              </w:rPr>
              <w:t xml:space="preserve">Đất ở nông thôn (Lâu dài), Đất trồng cây lâu năm (có thời hạn)</w:t>
            </w:r>
            <w:r/>
            <w:r/>
            <w:r>
              <w:rPr>
                <w:color w:val="000000" w:themeColor="text1"/>
                <w:sz w:val="22"/>
                <w:szCs w:val="22"/>
              </w:rPr>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Đoài Phương</w:t>
            </w:r>
            <w:r>
              <w:rPr>
                <w:color w:val="000000" w:themeColor="text1"/>
                <w:sz w:val="22"/>
                <w:szCs w:val="22"/>
              </w:rPr>
              <w:t xml:space="preserve">, Thành phố Hà Nội, khoảng cách ra đường chính Cách dt82 khoảng 190, cách QL 21 khoảng 1,5km.</w:t>
            </w:r>
            <w:r>
              <w:rPr>
                <w:color w:val="000000"/>
                <w:sz w:val="22"/>
                <w:szCs w:val="22"/>
              </w:rPr>
            </w:r>
            <w:r>
              <w:rPr>
                <w:color w:val="000000" w:themeColor="text1"/>
                <w:sz w:val="22"/>
                <w:szCs w:val="22"/>
              </w:rPr>
            </w:r>
            <w:r>
              <w:rPr>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291,5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23,28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787515"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378751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98.23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44444"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56444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44.44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Đinh Thị Lan Hương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https://www.facebook.com/share/p/1KzCafbdYN/</w:t>
            </w:r>
            <w:r>
              <w:rPr>
                <w:color w:val="000000" w:themeColor="text1"/>
                <w:sz w:val="22"/>
                <w:szCs w:val="22"/>
              </w:rPr>
              <w:br/>
            </w:r>
            <w:r>
              <w:rPr>
                <w:sz w:val="22"/>
                <w:szCs w:val="22"/>
              </w:rPr>
              <w:t xml:space="preserve">SĐT: </w:t>
            </w:r>
            <w:r>
              <w:rPr>
                <w:color w:val="000000" w:themeColor="text1"/>
                <w:sz w:val="22"/>
                <w:szCs w:val="22"/>
              </w:rPr>
              <w:t xml:space="preserve">0912655866</w:t>
            </w:r>
            <w:r>
              <w:rPr>
                <w:sz w:val="22"/>
                <w:szCs w:val="22"/>
              </w:rPr>
              <w:t xml:space="preserve"> </w:t>
            </w:r>
            <w:r>
              <w:rPr>
                <w:sz w:val="22"/>
                <w:szCs w:val="22"/>
              </w:rPr>
              <w:br/>
              <w:t xml:space="preserve">(Đỗ cường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1.487.500.000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6" w:afterAutospacing="0" w:before="6" w:beforeAutospacing="0"/>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Đất ở tại nông thôn(60 m²), Đất trồng cây lâu năm (56 m²)</w:t>
            </w:r>
            <w:r>
              <w:rPr>
                <w:color w:val="000000" w:themeColor="text1"/>
                <w:sz w:val="22"/>
                <w:szCs w:val="22"/>
                <w14:ligatures w14:val="none"/>
              </w:rPr>
            </w:r>
            <w:r>
              <w:rPr>
                <w:color w:val="000000" w:themeColor="text1"/>
                <w:sz w:val="22"/>
                <w:szCs w:val="22"/>
                <w14:ligatures w14:val="none"/>
              </w:rPr>
            </w:r>
            <w:r>
              <w:rPr>
                <w:color w:val="000000" w:themeColor="text1"/>
                <w:sz w:val="22"/>
                <w:szCs w:val="22"/>
              </w:rPr>
            </w:r>
            <w:r>
              <w:rPr>
                <w:sz w:val="22"/>
                <w:szCs w:val="22"/>
              </w:rPr>
            </w:r>
            <w:r>
              <w:rPr>
                <w:color w:val="000000" w:themeColor="text1"/>
                <w:sz w:val="22"/>
                <w:szCs w:val="22"/>
                <w14:ligatures w14: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color w:val="000000" w:themeColor="text1"/>
                <w:sz w:val="22"/>
                <w:szCs w:val="22"/>
              </w:rPr>
              <w:t xml:space="preserve">Đất ở nông thôn (Lâu dài), Đất trồng cây lâu năm (có thời hạn)</w:t>
            </w:r>
            <w:r/>
            <w:r/>
            <w:r>
              <w:rPr>
                <w:color w:val="000000" w:themeColor="text1"/>
                <w:sz w:val="22"/>
                <w:szCs w:val="22"/>
              </w:rPr>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6" w:afterAutospacing="0" w:before="6" w:beforeAutospacing="0"/>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Đoài Phương</w:t>
            </w:r>
            <w:r>
              <w:rPr>
                <w:color w:val="000000" w:themeColor="text1"/>
                <w:sz w:val="22"/>
                <w:szCs w:val="22"/>
              </w:rPr>
              <w:t xml:space="preserve">, Thành phố Hà Nội, khoảng cách ra đường chính cách DT82 khoảng 1,7km, </w:t>
            </w:r>
            <w:r>
              <w:rPr>
                <w:color w:val="000000"/>
                <w:sz w:val="22"/>
                <w:szCs w:val="22"/>
              </w:rPr>
            </w:r>
            <w:r>
              <w:rPr>
                <w:color w:val="000000"/>
                <w:sz w:val="22"/>
                <w:szCs w:val="22"/>
              </w:rPr>
            </w:r>
            <w:r>
              <w:rPr>
                <w:color w:val="000000" w:themeColor="text1"/>
                <w:sz w:val="22"/>
                <w:szCs w:val="22"/>
              </w:rPr>
            </w:r>
            <w:r>
              <w:rPr>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5,63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770592"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377059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96.9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972642"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697264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549.03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Đinh Thị Lan Hương</w:t>
            </w:r>
            <w:r>
              <w:rPr>
                <w:b/>
                <w:bCs/>
              </w:rPr>
            </w:r>
          </w:p>
        </w:tc>
      </w:tr>
    </w:tbl>
    <w:p>
      <w:pPr>
        <w:pBdr/>
        <w:spacing w:after="200" w:line="276" w:lineRule="auto"/>
        <w:ind/>
        <w:rPr>
          <w:iCs/>
          <w:lang w:val="pt-BR"/>
        </w:rPr>
      </w:pPr>
      <w:r>
        <w:rPr>
          <w:iCs/>
          <w:lang w:val="pt-BR"/>
        </w:rPr>
      </w:r>
      <w:r>
        <w:rPr>
          <w:iCs/>
          <w:lang w:val="pt-BR"/>
        </w:rPr>
        <mc:AlternateContent>
          <mc:Choice Requires="wpg">
            <w:drawing>
              <wp:inline xmlns:wp="http://schemas.openxmlformats.org/drawingml/2006/wordprocessingDrawing" distT="0" distB="0" distL="0" distR="0">
                <wp:extent cx="6048375" cy="8659866"/>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488816" name=""/>
                        <pic:cNvPicPr>
                          <a:picLocks noChangeAspect="1"/>
                        </pic:cNvPicPr>
                        <pic:nvPr/>
                      </pic:nvPicPr>
                      <pic:blipFill rotWithShape="1">
                        <a:blip r:embed="rId30"/>
                        <a:stretch/>
                      </pic:blipFill>
                      <pic:spPr bwMode="auto">
                        <a:xfrm>
                          <a:off x="0" y="0"/>
                          <a:ext cx="6048374" cy="86598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81.88pt;mso-wrap-distance-left:0.00pt;mso-wrap-distance-top:0.00pt;mso-wrap-distance-right:0.00pt;mso-wrap-distance-bottom:0.00pt;z-index:1;" stroked="false">
                <v:imagedata r:id="rId30" o:title=""/>
                <o:lock v:ext="edit" rotation="t"/>
              </v:shape>
            </w:pict>
          </mc:Fallback>
        </mc:AlternateContent>
      </w:r>
      <w:r>
        <w:rPr>
          <w:iCs/>
          <w:lang w:val="pt-BR"/>
        </w:rPr>
      </w:r>
    </w:p>
    <w:p>
      <w:pPr>
        <w:pBdr/>
        <w:spacing/>
        <w:ind/>
        <w:rPr/>
      </w:pPr>
      <w:r/>
      <w:r/>
    </w:p>
    <w:p>
      <w:pPr>
        <w:pBdr/>
        <w:spacing/>
        <w:ind/>
        <w:rPr/>
      </w:pPr>
      <w:r>
        <mc:AlternateContent>
          <mc:Choice Requires="wpg">
            <w:drawing>
              <wp:inline xmlns:wp="http://schemas.openxmlformats.org/drawingml/2006/wordprocessingDrawing" distT="0" distB="0" distL="0" distR="0">
                <wp:extent cx="6048375" cy="906548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830553" name=""/>
                        <pic:cNvPicPr>
                          <a:picLocks noChangeAspect="1"/>
                        </pic:cNvPicPr>
                        <pic:nvPr/>
                      </pic:nvPicPr>
                      <pic:blipFill rotWithShape="1">
                        <a:blip r:embed="rId31"/>
                        <a:stretch/>
                      </pic:blipFill>
                      <pic:spPr bwMode="auto">
                        <a:xfrm>
                          <a:off x="0" y="0"/>
                          <a:ext cx="6048374" cy="90654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713.82pt;mso-wrap-distance-left:0.00pt;mso-wrap-distance-top:0.00pt;mso-wrap-distance-right:0.00pt;mso-wrap-distance-bottom:0.00pt;z-index:1;" stroked="false">
                <v:imagedata r:id="rId31" o:title=""/>
                <o:lock v:ext="edit" rotation="t"/>
              </v:shape>
            </w:pict>
          </mc:Fallback>
        </mc:AlternateContent>
      </w: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6">
    <w:name w:val="Table Grid Light"/>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10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10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1"/>
    <w:basedOn w:val="10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2"/>
    <w:basedOn w:val="10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3"/>
    <w:basedOn w:val="10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4"/>
    <w:basedOn w:val="10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5"/>
    <w:basedOn w:val="10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6"/>
    <w:basedOn w:val="10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1"/>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2"/>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3"/>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4"/>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5"/>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6"/>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8">
    <w:name w:val="Grid Table 6 Colorful - Accent 1"/>
    <w:basedOn w:val="10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9">
    <w:name w:val="Grid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0">
    <w:name w:val="Grid Table 6 Colorful - Accent 3"/>
    <w:basedOn w:val="10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1">
    <w:name w:val="Grid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2">
    <w:name w:val="Grid Table 6 Colorful - Accent 5"/>
    <w:basedOn w:val="10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3">
    <w:name w:val="Grid Table 6 Colorful - Accent 6"/>
    <w:basedOn w:val="10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7 Colorful"/>
    <w:basedOn w:val="10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1"/>
    <w:basedOn w:val="10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5"/>
    <w:basedOn w:val="10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6"/>
    <w:basedOn w:val="10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1"/>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2"/>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3"/>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4"/>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5"/>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6"/>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10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1"/>
    <w:basedOn w:val="10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2"/>
    <w:basedOn w:val="10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3"/>
    <w:basedOn w:val="10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4"/>
    <w:basedOn w:val="10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5"/>
    <w:basedOn w:val="10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6"/>
    <w:basedOn w:val="10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1"/>
    <w:basedOn w:val="10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3"/>
    <w:basedOn w:val="10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5"/>
    <w:basedOn w:val="10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6"/>
    <w:basedOn w:val="10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1"/>
    <w:basedOn w:val="10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2"/>
    <w:basedOn w:val="10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3"/>
    <w:basedOn w:val="10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4"/>
    <w:basedOn w:val="10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5"/>
    <w:basedOn w:val="10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6"/>
    <w:basedOn w:val="10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10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1"/>
    <w:basedOn w:val="10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2"/>
    <w:basedOn w:val="10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3"/>
    <w:basedOn w:val="10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4"/>
    <w:basedOn w:val="10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5"/>
    <w:basedOn w:val="10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6"/>
    <w:basedOn w:val="10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1"/>
    <w:basedOn w:val="10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3"/>
    <w:basedOn w:val="10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5"/>
    <w:basedOn w:val="10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6"/>
    <w:basedOn w:val="10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10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4">
    <w:name w:val="List Table 7 Colorful - Accent 1"/>
    <w:basedOn w:val="10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5">
    <w:name w:val="List Table 7 Colorful - Accent 2"/>
    <w:basedOn w:val="10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6">
    <w:name w:val="List Table 7 Colorful - Accent 3"/>
    <w:basedOn w:val="10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7">
    <w:name w:val="List Table 7 Colorful - Accent 4"/>
    <w:basedOn w:val="10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8">
    <w:name w:val="List Table 7 Colorful - Accent 5"/>
    <w:basedOn w:val="10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9">
    <w:name w:val="List Table 7 Colorful - Accent 6"/>
    <w:basedOn w:val="10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0">
    <w:name w:val="Lined - Accent"/>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1"/>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2"/>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3"/>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4"/>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5"/>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6"/>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w:basedOn w:val="10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1"/>
    <w:basedOn w:val="10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2"/>
    <w:basedOn w:val="10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3"/>
    <w:basedOn w:val="10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4"/>
    <w:basedOn w:val="10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5"/>
    <w:basedOn w:val="10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6"/>
    <w:basedOn w:val="10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w:basedOn w:val="10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1">
    <w:name w:val="Heading 5"/>
    <w:basedOn w:val="1002"/>
    <w:next w:val="1002"/>
    <w:link w:val="96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2">
    <w:name w:val="Heading 6"/>
    <w:basedOn w:val="1002"/>
    <w:next w:val="1002"/>
    <w:link w:val="9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3">
    <w:name w:val="Heading 7"/>
    <w:basedOn w:val="1002"/>
    <w:next w:val="1002"/>
    <w:link w:val="96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4">
    <w:name w:val="Heading 8"/>
    <w:basedOn w:val="1002"/>
    <w:next w:val="1002"/>
    <w:link w:val="96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5">
    <w:name w:val="Heading 9"/>
    <w:basedOn w:val="1002"/>
    <w:next w:val="1002"/>
    <w:link w:val="97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6">
    <w:name w:val="Heading 5 Char"/>
    <w:basedOn w:val="1007"/>
    <w:link w:val="961"/>
    <w:uiPriority w:val="9"/>
    <w:pPr>
      <w:pBdr/>
      <w:spacing/>
      <w:ind/>
    </w:pPr>
    <w:rPr>
      <w:rFonts w:ascii="Arial" w:hAnsi="Arial" w:eastAsia="Arial" w:cs="Arial"/>
      <w:color w:val="0f4761" w:themeColor="accent1" w:themeShade="BF"/>
    </w:rPr>
  </w:style>
  <w:style w:type="character" w:styleId="967">
    <w:name w:val="Heading 6 Char"/>
    <w:basedOn w:val="1007"/>
    <w:link w:val="962"/>
    <w:uiPriority w:val="9"/>
    <w:pPr>
      <w:pBdr/>
      <w:spacing/>
      <w:ind/>
    </w:pPr>
    <w:rPr>
      <w:rFonts w:ascii="Arial" w:hAnsi="Arial" w:eastAsia="Arial" w:cs="Arial"/>
      <w:i/>
      <w:iCs/>
      <w:color w:val="595959" w:themeColor="text1" w:themeTint="A6"/>
    </w:rPr>
  </w:style>
  <w:style w:type="character" w:styleId="968">
    <w:name w:val="Heading 7 Char"/>
    <w:basedOn w:val="1007"/>
    <w:link w:val="963"/>
    <w:uiPriority w:val="9"/>
    <w:pPr>
      <w:pBdr/>
      <w:spacing/>
      <w:ind/>
    </w:pPr>
    <w:rPr>
      <w:rFonts w:ascii="Arial" w:hAnsi="Arial" w:eastAsia="Arial" w:cs="Arial"/>
      <w:color w:val="595959" w:themeColor="text1" w:themeTint="A6"/>
    </w:rPr>
  </w:style>
  <w:style w:type="character" w:styleId="969">
    <w:name w:val="Heading 8 Char"/>
    <w:basedOn w:val="1007"/>
    <w:link w:val="964"/>
    <w:uiPriority w:val="9"/>
    <w:pPr>
      <w:pBdr/>
      <w:spacing/>
      <w:ind/>
    </w:pPr>
    <w:rPr>
      <w:rFonts w:ascii="Arial" w:hAnsi="Arial" w:eastAsia="Arial" w:cs="Arial"/>
      <w:i/>
      <w:iCs/>
      <w:color w:val="272727" w:themeColor="text1" w:themeTint="D8"/>
    </w:rPr>
  </w:style>
  <w:style w:type="character" w:styleId="970">
    <w:name w:val="Heading 9 Char"/>
    <w:basedOn w:val="1007"/>
    <w:link w:val="965"/>
    <w:uiPriority w:val="9"/>
    <w:pPr>
      <w:pBdr/>
      <w:spacing/>
      <w:ind/>
    </w:pPr>
    <w:rPr>
      <w:rFonts w:ascii="Arial" w:hAnsi="Arial" w:eastAsia="Arial" w:cs="Arial"/>
      <w:i/>
      <w:iCs/>
      <w:color w:val="272727" w:themeColor="text1" w:themeTint="D8"/>
    </w:rPr>
  </w:style>
  <w:style w:type="paragraph" w:styleId="971">
    <w:name w:val="Subtitle"/>
    <w:basedOn w:val="1002"/>
    <w:next w:val="1002"/>
    <w:link w:val="972"/>
    <w:uiPriority w:val="11"/>
    <w:qFormat/>
    <w:pPr>
      <w:numPr>
        <w:ilvl w:val="1"/>
      </w:numPr>
      <w:pBdr/>
      <w:spacing/>
      <w:ind/>
    </w:pPr>
    <w:rPr>
      <w:color w:val="595959" w:themeColor="text1" w:themeTint="A6"/>
      <w:spacing w:val="15"/>
      <w:sz w:val="28"/>
      <w:szCs w:val="28"/>
    </w:rPr>
  </w:style>
  <w:style w:type="character" w:styleId="972">
    <w:name w:val="Subtitle Char"/>
    <w:basedOn w:val="1007"/>
    <w:link w:val="971"/>
    <w:uiPriority w:val="11"/>
    <w:pPr>
      <w:pBdr/>
      <w:spacing/>
      <w:ind/>
    </w:pPr>
    <w:rPr>
      <w:color w:val="595959" w:themeColor="text1" w:themeTint="A6"/>
      <w:spacing w:val="15"/>
      <w:sz w:val="28"/>
      <w:szCs w:val="28"/>
    </w:rPr>
  </w:style>
  <w:style w:type="paragraph" w:styleId="973">
    <w:name w:val="Quote"/>
    <w:basedOn w:val="1002"/>
    <w:next w:val="1002"/>
    <w:link w:val="974"/>
    <w:uiPriority w:val="29"/>
    <w:qFormat/>
    <w:pPr>
      <w:pBdr/>
      <w:spacing w:before="160"/>
      <w:ind/>
      <w:jc w:val="center"/>
    </w:pPr>
    <w:rPr>
      <w:i/>
      <w:iCs/>
      <w:color w:val="404040" w:themeColor="text1" w:themeTint="BF"/>
    </w:rPr>
  </w:style>
  <w:style w:type="character" w:styleId="974">
    <w:name w:val="Quote Char"/>
    <w:basedOn w:val="1007"/>
    <w:link w:val="973"/>
    <w:uiPriority w:val="29"/>
    <w:pPr>
      <w:pBdr/>
      <w:spacing/>
      <w:ind/>
    </w:pPr>
    <w:rPr>
      <w:i/>
      <w:iCs/>
      <w:color w:val="404040" w:themeColor="text1" w:themeTint="BF"/>
    </w:rPr>
  </w:style>
  <w:style w:type="character" w:styleId="975">
    <w:name w:val="Intense Emphasis"/>
    <w:basedOn w:val="1007"/>
    <w:uiPriority w:val="21"/>
    <w:qFormat/>
    <w:pPr>
      <w:pBdr/>
      <w:spacing/>
      <w:ind/>
    </w:pPr>
    <w:rPr>
      <w:i/>
      <w:iCs/>
      <w:color w:val="0f4761" w:themeColor="accent1" w:themeShade="BF"/>
    </w:rPr>
  </w:style>
  <w:style w:type="paragraph" w:styleId="976">
    <w:name w:val="Intense Quote"/>
    <w:basedOn w:val="1002"/>
    <w:next w:val="1002"/>
    <w:link w:val="9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7">
    <w:name w:val="Intense Quote Char"/>
    <w:basedOn w:val="1007"/>
    <w:link w:val="976"/>
    <w:uiPriority w:val="30"/>
    <w:pPr>
      <w:pBdr/>
      <w:spacing/>
      <w:ind/>
    </w:pPr>
    <w:rPr>
      <w:i/>
      <w:iCs/>
      <w:color w:val="0f4761" w:themeColor="accent1" w:themeShade="BF"/>
    </w:rPr>
  </w:style>
  <w:style w:type="character" w:styleId="978">
    <w:name w:val="Intense Reference"/>
    <w:basedOn w:val="1007"/>
    <w:uiPriority w:val="32"/>
    <w:qFormat/>
    <w:pPr>
      <w:pBdr/>
      <w:spacing/>
      <w:ind/>
    </w:pPr>
    <w:rPr>
      <w:b/>
      <w:bCs/>
      <w:smallCaps/>
      <w:color w:val="0f4761" w:themeColor="accent1" w:themeShade="BF"/>
      <w:spacing w:val="5"/>
    </w:rPr>
  </w:style>
  <w:style w:type="paragraph" w:styleId="979">
    <w:name w:val="No Spacing"/>
    <w:basedOn w:val="1002"/>
    <w:uiPriority w:val="1"/>
    <w:qFormat/>
    <w:pPr>
      <w:pBdr/>
      <w:spacing w:after="0" w:line="240" w:lineRule="auto"/>
      <w:ind/>
    </w:pPr>
  </w:style>
  <w:style w:type="character" w:styleId="980">
    <w:name w:val="Subtle Emphasis"/>
    <w:basedOn w:val="1007"/>
    <w:uiPriority w:val="19"/>
    <w:qFormat/>
    <w:pPr>
      <w:pBdr/>
      <w:spacing/>
      <w:ind/>
    </w:pPr>
    <w:rPr>
      <w:i/>
      <w:iCs/>
      <w:color w:val="404040" w:themeColor="text1" w:themeTint="BF"/>
    </w:rPr>
  </w:style>
  <w:style w:type="character" w:styleId="981">
    <w:name w:val="Subtle Reference"/>
    <w:basedOn w:val="1007"/>
    <w:uiPriority w:val="31"/>
    <w:qFormat/>
    <w:pPr>
      <w:pBdr/>
      <w:spacing/>
      <w:ind/>
    </w:pPr>
    <w:rPr>
      <w:smallCaps/>
      <w:color w:val="5a5a5a" w:themeColor="text1" w:themeTint="A5"/>
    </w:rPr>
  </w:style>
  <w:style w:type="character" w:styleId="982">
    <w:name w:val="Book Title"/>
    <w:basedOn w:val="1007"/>
    <w:uiPriority w:val="33"/>
    <w:qFormat/>
    <w:pPr>
      <w:pBdr/>
      <w:spacing/>
      <w:ind/>
    </w:pPr>
    <w:rPr>
      <w:b/>
      <w:bCs/>
      <w:i/>
      <w:iCs/>
      <w:spacing w:val="5"/>
    </w:rPr>
  </w:style>
  <w:style w:type="paragraph" w:styleId="983">
    <w:name w:val="Caption"/>
    <w:basedOn w:val="1002"/>
    <w:next w:val="1002"/>
    <w:uiPriority w:val="35"/>
    <w:unhideWhenUsed/>
    <w:qFormat/>
    <w:pPr>
      <w:pBdr/>
      <w:spacing w:after="200" w:line="240" w:lineRule="auto"/>
      <w:ind/>
    </w:pPr>
    <w:rPr>
      <w:i/>
      <w:iCs/>
      <w:color w:val="0e2841" w:themeColor="text2"/>
      <w:sz w:val="18"/>
      <w:szCs w:val="18"/>
    </w:rPr>
  </w:style>
  <w:style w:type="paragraph" w:styleId="984">
    <w:name w:val="footnote text"/>
    <w:basedOn w:val="1002"/>
    <w:link w:val="985"/>
    <w:uiPriority w:val="99"/>
    <w:semiHidden/>
    <w:unhideWhenUsed/>
    <w:pPr>
      <w:pBdr/>
      <w:spacing w:after="0" w:line="240" w:lineRule="auto"/>
      <w:ind/>
    </w:pPr>
    <w:rPr>
      <w:sz w:val="20"/>
      <w:szCs w:val="20"/>
    </w:rPr>
  </w:style>
  <w:style w:type="character" w:styleId="985">
    <w:name w:val="Footnote Text Char"/>
    <w:basedOn w:val="1007"/>
    <w:link w:val="984"/>
    <w:uiPriority w:val="99"/>
    <w:semiHidden/>
    <w:pPr>
      <w:pBdr/>
      <w:spacing/>
      <w:ind/>
    </w:pPr>
    <w:rPr>
      <w:sz w:val="20"/>
      <w:szCs w:val="20"/>
    </w:rPr>
  </w:style>
  <w:style w:type="character" w:styleId="986">
    <w:name w:val="footnote reference"/>
    <w:basedOn w:val="1007"/>
    <w:uiPriority w:val="99"/>
    <w:semiHidden/>
    <w:unhideWhenUsed/>
    <w:pPr>
      <w:pBdr/>
      <w:spacing/>
      <w:ind/>
    </w:pPr>
    <w:rPr>
      <w:vertAlign w:val="superscript"/>
    </w:rPr>
  </w:style>
  <w:style w:type="paragraph" w:styleId="987">
    <w:name w:val="endnote text"/>
    <w:basedOn w:val="1002"/>
    <w:link w:val="988"/>
    <w:uiPriority w:val="99"/>
    <w:semiHidden/>
    <w:unhideWhenUsed/>
    <w:pPr>
      <w:pBdr/>
      <w:spacing w:after="0" w:line="240" w:lineRule="auto"/>
      <w:ind/>
    </w:pPr>
    <w:rPr>
      <w:sz w:val="20"/>
      <w:szCs w:val="20"/>
    </w:rPr>
  </w:style>
  <w:style w:type="character" w:styleId="988">
    <w:name w:val="Endnote Text Char"/>
    <w:basedOn w:val="1007"/>
    <w:link w:val="987"/>
    <w:uiPriority w:val="99"/>
    <w:semiHidden/>
    <w:pPr>
      <w:pBdr/>
      <w:spacing/>
      <w:ind/>
    </w:pPr>
    <w:rPr>
      <w:sz w:val="20"/>
      <w:szCs w:val="20"/>
    </w:rPr>
  </w:style>
  <w:style w:type="character" w:styleId="989">
    <w:name w:val="endnote reference"/>
    <w:basedOn w:val="1007"/>
    <w:uiPriority w:val="99"/>
    <w:semiHidden/>
    <w:unhideWhenUsed/>
    <w:pPr>
      <w:pBdr/>
      <w:spacing/>
      <w:ind/>
    </w:pPr>
    <w:rPr>
      <w:vertAlign w:val="superscript"/>
    </w:rPr>
  </w:style>
  <w:style w:type="paragraph" w:styleId="990">
    <w:name w:val="toc 1"/>
    <w:basedOn w:val="1002"/>
    <w:next w:val="1002"/>
    <w:uiPriority w:val="39"/>
    <w:unhideWhenUsed/>
    <w:pPr>
      <w:pBdr/>
      <w:spacing w:after="100"/>
      <w:ind/>
    </w:pPr>
  </w:style>
  <w:style w:type="paragraph" w:styleId="991">
    <w:name w:val="toc 2"/>
    <w:basedOn w:val="1002"/>
    <w:next w:val="1002"/>
    <w:uiPriority w:val="39"/>
    <w:unhideWhenUsed/>
    <w:pPr>
      <w:pBdr/>
      <w:spacing w:after="100"/>
      <w:ind w:left="220"/>
    </w:pPr>
  </w:style>
  <w:style w:type="paragraph" w:styleId="992">
    <w:name w:val="toc 3"/>
    <w:basedOn w:val="1002"/>
    <w:next w:val="1002"/>
    <w:uiPriority w:val="39"/>
    <w:unhideWhenUsed/>
    <w:pPr>
      <w:pBdr/>
      <w:spacing w:after="100"/>
      <w:ind w:left="440"/>
    </w:pPr>
  </w:style>
  <w:style w:type="paragraph" w:styleId="993">
    <w:name w:val="toc 4"/>
    <w:basedOn w:val="1002"/>
    <w:next w:val="1002"/>
    <w:uiPriority w:val="39"/>
    <w:unhideWhenUsed/>
    <w:pPr>
      <w:pBdr/>
      <w:spacing w:after="100"/>
      <w:ind w:left="660"/>
    </w:pPr>
  </w:style>
  <w:style w:type="paragraph" w:styleId="994">
    <w:name w:val="toc 5"/>
    <w:basedOn w:val="1002"/>
    <w:next w:val="1002"/>
    <w:uiPriority w:val="39"/>
    <w:unhideWhenUsed/>
    <w:pPr>
      <w:pBdr/>
      <w:spacing w:after="100"/>
      <w:ind w:left="880"/>
    </w:pPr>
  </w:style>
  <w:style w:type="paragraph" w:styleId="995">
    <w:name w:val="toc 6"/>
    <w:basedOn w:val="1002"/>
    <w:next w:val="1002"/>
    <w:uiPriority w:val="39"/>
    <w:unhideWhenUsed/>
    <w:pPr>
      <w:pBdr/>
      <w:spacing w:after="100"/>
      <w:ind w:left="1100"/>
    </w:pPr>
  </w:style>
  <w:style w:type="paragraph" w:styleId="996">
    <w:name w:val="toc 7"/>
    <w:basedOn w:val="1002"/>
    <w:next w:val="1002"/>
    <w:uiPriority w:val="39"/>
    <w:unhideWhenUsed/>
    <w:pPr>
      <w:pBdr/>
      <w:spacing w:after="100"/>
      <w:ind w:left="1320"/>
    </w:pPr>
  </w:style>
  <w:style w:type="paragraph" w:styleId="997">
    <w:name w:val="toc 8"/>
    <w:basedOn w:val="1002"/>
    <w:next w:val="1002"/>
    <w:uiPriority w:val="39"/>
    <w:unhideWhenUsed/>
    <w:pPr>
      <w:pBdr/>
      <w:spacing w:after="100"/>
      <w:ind w:left="1540"/>
    </w:pPr>
  </w:style>
  <w:style w:type="paragraph" w:styleId="998">
    <w:name w:val="toc 9"/>
    <w:basedOn w:val="1002"/>
    <w:next w:val="1002"/>
    <w:uiPriority w:val="39"/>
    <w:unhideWhenUsed/>
    <w:pPr>
      <w:pBdr/>
      <w:spacing w:after="100"/>
      <w:ind w:left="1760"/>
    </w:pPr>
  </w:style>
  <w:style w:type="character" w:styleId="999">
    <w:name w:val="Placeholder Text"/>
    <w:basedOn w:val="1007"/>
    <w:uiPriority w:val="99"/>
    <w:semiHidden/>
    <w:pPr>
      <w:pBdr/>
      <w:spacing/>
      <w:ind/>
    </w:pPr>
    <w:rPr>
      <w:color w:val="666666"/>
    </w:rPr>
  </w:style>
  <w:style w:type="paragraph" w:styleId="1000">
    <w:name w:val="TOC Heading"/>
    <w:uiPriority w:val="39"/>
    <w:unhideWhenUsed/>
    <w:pPr>
      <w:pBdr/>
      <w:spacing/>
      <w:ind/>
    </w:pPr>
  </w:style>
  <w:style w:type="paragraph" w:styleId="1001">
    <w:name w:val="table of figures"/>
    <w:basedOn w:val="1002"/>
    <w:next w:val="1002"/>
    <w:uiPriority w:val="99"/>
    <w:unhideWhenUsed/>
    <w:pPr>
      <w:pBdr/>
      <w:spacing w:after="0" w:afterAutospacing="0"/>
      <w:ind/>
    </w:pPr>
  </w:style>
  <w:style w:type="paragraph" w:styleId="1002" w:default="1">
    <w:name w:val="Normal"/>
    <w:qFormat/>
    <w:pPr>
      <w:pBdr/>
      <w:spacing w:after="0" w:line="240" w:lineRule="auto"/>
      <w:ind/>
    </w:pPr>
    <w:rPr>
      <w:rFonts w:ascii="Times New Roman" w:hAnsi="Times New Roman" w:eastAsia="Times New Roman" w:cs="Times New Roman"/>
      <w:sz w:val="24"/>
      <w:szCs w:val="24"/>
    </w:rPr>
  </w:style>
  <w:style w:type="paragraph" w:styleId="1003">
    <w:name w:val="Heading 1"/>
    <w:basedOn w:val="1002"/>
    <w:next w:val="1002"/>
    <w:link w:val="1010"/>
    <w:qFormat/>
    <w:pPr>
      <w:keepNext w:val="true"/>
      <w:pBdr/>
      <w:spacing w:after="120" w:before="120"/>
      <w:ind/>
      <w:jc w:val="center"/>
      <w:outlineLvl w:val="0"/>
    </w:pPr>
    <w:rPr>
      <w:b/>
      <w:bCs/>
      <w:sz w:val="27"/>
      <w:szCs w:val="27"/>
    </w:rPr>
  </w:style>
  <w:style w:type="paragraph" w:styleId="1004">
    <w:name w:val="Heading 2"/>
    <w:basedOn w:val="1002"/>
    <w:next w:val="1002"/>
    <w:link w:val="101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5">
    <w:name w:val="Heading 3"/>
    <w:basedOn w:val="1002"/>
    <w:next w:val="1002"/>
    <w:link w:val="1012"/>
    <w:qFormat/>
    <w:pPr>
      <w:keepNext w:val="true"/>
      <w:pBdr/>
      <w:spacing w:before="60"/>
      <w:ind/>
      <w:outlineLvl w:val="2"/>
    </w:pPr>
    <w:rPr>
      <w:sz w:val="28"/>
      <w:szCs w:val="28"/>
    </w:rPr>
  </w:style>
  <w:style w:type="paragraph" w:styleId="1006">
    <w:name w:val="Heading 4"/>
    <w:basedOn w:val="1002"/>
    <w:next w:val="1002"/>
    <w:link w:val="1013"/>
    <w:qFormat/>
    <w:pPr>
      <w:keepNext w:val="true"/>
      <w:pBdr/>
      <w:spacing/>
      <w:ind/>
      <w:jc w:val="center"/>
      <w:outlineLvl w:val="3"/>
    </w:pPr>
    <w:rPr>
      <w:b/>
      <w:bCs/>
    </w:rPr>
  </w:style>
  <w:style w:type="character" w:styleId="1007" w:default="1">
    <w:name w:val="Default Paragraph Font"/>
    <w:uiPriority w:val="1"/>
    <w:semiHidden/>
    <w:unhideWhenUsed/>
    <w:pPr>
      <w:pBdr/>
      <w:spacing/>
      <w:ind/>
    </w:pPr>
  </w:style>
  <w:style w:type="table" w:styleId="100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9" w:default="1">
    <w:name w:val="No List"/>
    <w:uiPriority w:val="99"/>
    <w:semiHidden/>
    <w:unhideWhenUsed/>
    <w:pPr>
      <w:pBdr/>
      <w:spacing/>
      <w:ind/>
    </w:pPr>
  </w:style>
  <w:style w:type="character" w:styleId="1010" w:customStyle="1">
    <w:name w:val="Heading 1 Char"/>
    <w:basedOn w:val="1007"/>
    <w:link w:val="1003"/>
    <w:pPr>
      <w:pBdr/>
      <w:spacing/>
      <w:ind/>
    </w:pPr>
    <w:rPr>
      <w:rFonts w:ascii="Times New Roman" w:hAnsi="Times New Roman" w:eastAsia="Times New Roman" w:cs="Times New Roman"/>
      <w:b/>
      <w:bCs/>
      <w:sz w:val="27"/>
      <w:szCs w:val="27"/>
    </w:rPr>
  </w:style>
  <w:style w:type="character" w:styleId="1011" w:customStyle="1">
    <w:name w:val="Heading 2 Char"/>
    <w:basedOn w:val="1007"/>
    <w:link w:val="1004"/>
    <w:uiPriority w:val="9"/>
    <w:pPr>
      <w:pBdr/>
      <w:spacing/>
      <w:ind/>
    </w:pPr>
    <w:rPr>
      <w:rFonts w:asciiTheme="majorHAnsi" w:hAnsiTheme="majorHAnsi" w:eastAsiaTheme="majorEastAsia" w:cstheme="majorBidi"/>
      <w:color w:val="365f91" w:themeColor="accent1" w:themeShade="BF"/>
      <w:sz w:val="26"/>
      <w:szCs w:val="26"/>
    </w:rPr>
  </w:style>
  <w:style w:type="character" w:styleId="1012" w:customStyle="1">
    <w:name w:val="Heading 3 Char"/>
    <w:basedOn w:val="1007"/>
    <w:link w:val="1005"/>
    <w:pPr>
      <w:pBdr/>
      <w:spacing/>
      <w:ind/>
    </w:pPr>
    <w:rPr>
      <w:rFonts w:ascii="Times New Roman" w:hAnsi="Times New Roman" w:eastAsia="Times New Roman" w:cs="Times New Roman"/>
      <w:sz w:val="28"/>
      <w:szCs w:val="28"/>
    </w:rPr>
  </w:style>
  <w:style w:type="character" w:styleId="1013" w:customStyle="1">
    <w:name w:val="Heading 4 Char"/>
    <w:basedOn w:val="1007"/>
    <w:link w:val="1006"/>
    <w:pPr>
      <w:pBdr/>
      <w:spacing/>
      <w:ind/>
    </w:pPr>
    <w:rPr>
      <w:rFonts w:ascii="Times New Roman" w:hAnsi="Times New Roman" w:eastAsia="Times New Roman" w:cs="Times New Roman"/>
      <w:b/>
      <w:bCs/>
      <w:sz w:val="24"/>
      <w:szCs w:val="24"/>
    </w:rPr>
  </w:style>
  <w:style w:type="character" w:styleId="1014">
    <w:name w:val="Hyperlink"/>
    <w:uiPriority w:val="99"/>
    <w:pPr>
      <w:pBdr/>
      <w:spacing/>
      <w:ind/>
    </w:pPr>
    <w:rPr>
      <w:color w:val="000000"/>
      <w:u w:val="single"/>
    </w:rPr>
  </w:style>
  <w:style w:type="character" w:styleId="1015">
    <w:name w:val="Strong"/>
    <w:uiPriority w:val="22"/>
    <w:qFormat/>
    <w:pPr>
      <w:pBdr/>
      <w:spacing/>
      <w:ind/>
    </w:pPr>
    <w:rPr>
      <w:b/>
      <w:bCs/>
    </w:rPr>
  </w:style>
  <w:style w:type="paragraph" w:styleId="1016">
    <w:name w:val="Balloon Text"/>
    <w:basedOn w:val="1002"/>
    <w:link w:val="1017"/>
    <w:uiPriority w:val="99"/>
    <w:semiHidden/>
    <w:unhideWhenUsed/>
    <w:pPr>
      <w:pBdr/>
      <w:spacing/>
      <w:ind/>
    </w:pPr>
    <w:rPr>
      <w:rFonts w:ascii="Tahoma" w:hAnsi="Tahoma" w:cs="Tahoma"/>
      <w:sz w:val="16"/>
      <w:szCs w:val="16"/>
    </w:rPr>
  </w:style>
  <w:style w:type="character" w:styleId="1017" w:customStyle="1">
    <w:name w:val="Balloon Text Char"/>
    <w:basedOn w:val="1007"/>
    <w:link w:val="1016"/>
    <w:uiPriority w:val="99"/>
    <w:semiHidden/>
    <w:pPr>
      <w:pBdr/>
      <w:spacing/>
      <w:ind/>
    </w:pPr>
    <w:rPr>
      <w:rFonts w:ascii="Tahoma" w:hAnsi="Tahoma" w:eastAsia="Times New Roman" w:cs="Tahoma"/>
      <w:sz w:val="16"/>
      <w:szCs w:val="16"/>
    </w:rPr>
  </w:style>
  <w:style w:type="paragraph" w:styleId="1018">
    <w:name w:val="Header"/>
    <w:basedOn w:val="1002"/>
    <w:link w:val="1019"/>
    <w:unhideWhenUsed/>
    <w:pPr>
      <w:pBdr/>
      <w:tabs>
        <w:tab w:val="center" w:leader="none" w:pos="4680"/>
        <w:tab w:val="right" w:leader="none" w:pos="9360"/>
      </w:tabs>
      <w:spacing/>
      <w:ind/>
    </w:pPr>
  </w:style>
  <w:style w:type="character" w:styleId="1019" w:customStyle="1">
    <w:name w:val="Header Char"/>
    <w:basedOn w:val="1007"/>
    <w:link w:val="1018"/>
    <w:pPr>
      <w:pBdr/>
      <w:spacing/>
      <w:ind/>
    </w:pPr>
    <w:rPr>
      <w:rFonts w:ascii="Times New Roman" w:hAnsi="Times New Roman" w:eastAsia="Times New Roman" w:cs="Times New Roman"/>
      <w:sz w:val="24"/>
      <w:szCs w:val="24"/>
    </w:rPr>
  </w:style>
  <w:style w:type="paragraph" w:styleId="1020">
    <w:name w:val="Footer"/>
    <w:basedOn w:val="1002"/>
    <w:link w:val="1021"/>
    <w:uiPriority w:val="99"/>
    <w:unhideWhenUsed/>
    <w:pPr>
      <w:pBdr/>
      <w:tabs>
        <w:tab w:val="center" w:leader="none" w:pos="4680"/>
        <w:tab w:val="right" w:leader="none" w:pos="9360"/>
      </w:tabs>
      <w:spacing/>
      <w:ind/>
    </w:pPr>
  </w:style>
  <w:style w:type="character" w:styleId="1021" w:customStyle="1">
    <w:name w:val="Footer Char"/>
    <w:basedOn w:val="1007"/>
    <w:link w:val="1020"/>
    <w:uiPriority w:val="99"/>
    <w:pPr>
      <w:pBdr/>
      <w:spacing/>
      <w:ind/>
    </w:pPr>
    <w:rPr>
      <w:rFonts w:ascii="Times New Roman" w:hAnsi="Times New Roman" w:eastAsia="Times New Roman" w:cs="Times New Roman"/>
      <w:sz w:val="24"/>
      <w:szCs w:val="24"/>
    </w:rPr>
  </w:style>
  <w:style w:type="character" w:styleId="1022" w:customStyle="1">
    <w:name w:val="normal-h1"/>
    <w:pPr>
      <w:pBdr/>
      <w:spacing/>
      <w:ind/>
    </w:pPr>
    <w:rPr>
      <w:rFonts w:hint="default" w:ascii=".VnTime" w:hAnsi=".VnTime"/>
      <w:color w:val="0000ff"/>
      <w:sz w:val="24"/>
      <w:szCs w:val="24"/>
    </w:rPr>
  </w:style>
  <w:style w:type="paragraph" w:styleId="1023" w:customStyle="1">
    <w:name w:val="normal-p"/>
    <w:basedOn w:val="1002"/>
    <w:pPr>
      <w:pBdr/>
      <w:spacing/>
      <w:ind/>
      <w:jc w:val="both"/>
    </w:pPr>
    <w:rPr>
      <w:sz w:val="20"/>
      <w:szCs w:val="20"/>
    </w:rPr>
  </w:style>
  <w:style w:type="paragraph" w:styleId="1024">
    <w:name w:val="List Paragraph"/>
    <w:basedOn w:val="1002"/>
    <w:link w:val="1111"/>
    <w:uiPriority w:val="34"/>
    <w:qFormat/>
    <w:pPr>
      <w:pBdr/>
      <w:spacing/>
      <w:ind w:left="720"/>
    </w:pPr>
  </w:style>
  <w:style w:type="paragraph" w:styleId="1025">
    <w:name w:val="Normal (Web)"/>
    <w:basedOn w:val="1002"/>
    <w:uiPriority w:val="99"/>
    <w:pPr>
      <w:pBdr/>
      <w:spacing w:after="100" w:afterAutospacing="1" w:before="100" w:beforeAutospacing="1"/>
      <w:ind/>
    </w:pPr>
  </w:style>
  <w:style w:type="paragraph" w:styleId="1026">
    <w:name w:val="Body Text"/>
    <w:basedOn w:val="1002"/>
    <w:link w:val="1027"/>
    <w:pPr>
      <w:pBdr/>
      <w:spacing w:after="120"/>
      <w:ind/>
      <w:jc w:val="both"/>
    </w:pPr>
  </w:style>
  <w:style w:type="character" w:styleId="1027" w:customStyle="1">
    <w:name w:val="Body Text Char"/>
    <w:basedOn w:val="1007"/>
    <w:link w:val="1026"/>
    <w:pPr>
      <w:pBdr/>
      <w:spacing/>
      <w:ind/>
    </w:pPr>
    <w:rPr>
      <w:rFonts w:ascii="Times New Roman" w:hAnsi="Times New Roman" w:eastAsia="Times New Roman" w:cs="Times New Roman"/>
      <w:sz w:val="24"/>
      <w:szCs w:val="24"/>
    </w:rPr>
  </w:style>
  <w:style w:type="table" w:styleId="1028">
    <w:name w:val="Table Grid"/>
    <w:basedOn w:val="100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0">
    <w:name w:val="annotation reference"/>
    <w:basedOn w:val="1007"/>
    <w:uiPriority w:val="99"/>
    <w:semiHidden/>
    <w:unhideWhenUsed/>
    <w:pPr>
      <w:pBdr/>
      <w:spacing/>
      <w:ind/>
    </w:pPr>
    <w:rPr>
      <w:sz w:val="16"/>
      <w:szCs w:val="16"/>
    </w:rPr>
  </w:style>
  <w:style w:type="paragraph" w:styleId="1031">
    <w:name w:val="annotation text"/>
    <w:basedOn w:val="1002"/>
    <w:link w:val="1032"/>
    <w:uiPriority w:val="99"/>
    <w:unhideWhenUsed/>
    <w:pPr>
      <w:pBdr/>
      <w:spacing/>
      <w:ind/>
    </w:pPr>
    <w:rPr>
      <w:sz w:val="20"/>
      <w:szCs w:val="20"/>
    </w:rPr>
  </w:style>
  <w:style w:type="character" w:styleId="1032" w:customStyle="1">
    <w:name w:val="Comment Text Char"/>
    <w:basedOn w:val="1007"/>
    <w:link w:val="1031"/>
    <w:uiPriority w:val="99"/>
    <w:pPr>
      <w:pBdr/>
      <w:spacing/>
      <w:ind/>
    </w:pPr>
    <w:rPr>
      <w:rFonts w:ascii="Times New Roman" w:hAnsi="Times New Roman" w:eastAsia="Times New Roman" w:cs="Times New Roman"/>
      <w:sz w:val="20"/>
      <w:szCs w:val="20"/>
    </w:rPr>
  </w:style>
  <w:style w:type="paragraph" w:styleId="1033">
    <w:name w:val="annotation subject"/>
    <w:basedOn w:val="1031"/>
    <w:next w:val="1031"/>
    <w:link w:val="1034"/>
    <w:uiPriority w:val="99"/>
    <w:semiHidden/>
    <w:unhideWhenUsed/>
    <w:pPr>
      <w:pBdr/>
      <w:spacing/>
      <w:ind/>
    </w:pPr>
    <w:rPr>
      <w:b/>
      <w:bCs/>
    </w:rPr>
  </w:style>
  <w:style w:type="character" w:styleId="1034" w:customStyle="1">
    <w:name w:val="Comment Subject Char"/>
    <w:basedOn w:val="1032"/>
    <w:link w:val="1033"/>
    <w:uiPriority w:val="99"/>
    <w:semiHidden/>
    <w:pPr>
      <w:pBdr/>
      <w:spacing/>
      <w:ind/>
    </w:pPr>
    <w:rPr>
      <w:rFonts w:ascii="Times New Roman" w:hAnsi="Times New Roman" w:eastAsia="Times New Roman" w:cs="Times New Roman"/>
      <w:b/>
      <w:bCs/>
      <w:sz w:val="20"/>
      <w:szCs w:val="20"/>
    </w:rPr>
  </w:style>
  <w:style w:type="paragraph" w:styleId="1035" w:customStyle="1">
    <w:name w:val="font5"/>
    <w:basedOn w:val="1002"/>
    <w:pPr>
      <w:pBdr/>
      <w:spacing w:after="100" w:afterAutospacing="1" w:before="100" w:beforeAutospacing="1"/>
      <w:ind/>
    </w:pPr>
    <w:rPr>
      <w:rFonts w:ascii="Tahoma" w:hAnsi="Tahoma" w:cs="Tahoma"/>
      <w:color w:val="000000"/>
      <w:sz w:val="18"/>
      <w:szCs w:val="18"/>
    </w:rPr>
  </w:style>
  <w:style w:type="paragraph" w:styleId="1036" w:customStyle="1">
    <w:name w:val="font6"/>
    <w:basedOn w:val="1002"/>
    <w:pPr>
      <w:pBdr/>
      <w:spacing w:after="100" w:afterAutospacing="1" w:before="100" w:beforeAutospacing="1"/>
      <w:ind/>
    </w:pPr>
    <w:rPr>
      <w:rFonts w:ascii="Tahoma" w:hAnsi="Tahoma" w:cs="Tahoma"/>
      <w:b/>
      <w:bCs/>
      <w:color w:val="000000"/>
      <w:sz w:val="18"/>
      <w:szCs w:val="18"/>
    </w:rPr>
  </w:style>
  <w:style w:type="paragraph" w:styleId="1037" w:customStyle="1">
    <w:name w:val="xl23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34"/>
    <w:basedOn w:val="1002"/>
    <w:pPr>
      <w:pBdr/>
      <w:spacing w:after="100" w:afterAutospacing="1" w:before="100" w:beforeAutospacing="1"/>
      <w:ind/>
      <w:jc w:val="center"/>
    </w:pPr>
  </w:style>
  <w:style w:type="paragraph" w:styleId="1039" w:customStyle="1">
    <w:name w:val="xl235"/>
    <w:basedOn w:val="1002"/>
    <w:pPr>
      <w:pBdr/>
      <w:spacing w:after="100" w:afterAutospacing="1" w:before="100" w:beforeAutospacing="1"/>
      <w:ind/>
      <w:jc w:val="center"/>
    </w:pPr>
    <w:rPr>
      <w:b/>
      <w:bCs/>
    </w:rPr>
  </w:style>
  <w:style w:type="paragraph" w:styleId="1040" w:customStyle="1">
    <w:name w:val="xl236"/>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3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2" w:customStyle="1">
    <w:name w:val="xl238"/>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3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4" w:customStyle="1">
    <w:name w:val="xl240"/>
    <w:basedOn w:val="1002"/>
    <w:pPr>
      <w:pBdr/>
      <w:spacing w:after="100" w:afterAutospacing="1" w:before="100" w:beforeAutospacing="1"/>
      <w:ind/>
    </w:pPr>
  </w:style>
  <w:style w:type="paragraph" w:styleId="1045" w:customStyle="1">
    <w:name w:val="xl241"/>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42"/>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3"/>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44"/>
    <w:basedOn w:val="1002"/>
    <w:pPr>
      <w:pBdr/>
      <w:spacing w:after="100" w:afterAutospacing="1" w:before="100" w:beforeAutospacing="1"/>
      <w:ind/>
    </w:pPr>
    <w:rPr>
      <w:b/>
      <w:bCs/>
    </w:rPr>
  </w:style>
  <w:style w:type="paragraph" w:styleId="1049" w:customStyle="1">
    <w:name w:val="xl245"/>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47"/>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4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3" w:customStyle="1">
    <w:name w:val="xl24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5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5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3"/>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4"/>
    <w:basedOn w:val="100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5"/>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5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8"/>
    <w:basedOn w:val="100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4" w:customStyle="1">
    <w:name w:val="xl260"/>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1"/>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2"/>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63"/>
    <w:basedOn w:val="1002"/>
    <w:pPr>
      <w:pBdr/>
      <w:shd w:val="clear" w:color="000000" w:fill="ffffff"/>
      <w:spacing w:after="100" w:afterAutospacing="1" w:before="100" w:beforeAutospacing="1"/>
      <w:ind/>
    </w:pPr>
  </w:style>
  <w:style w:type="paragraph" w:styleId="1068" w:customStyle="1">
    <w:name w:val="xl264"/>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5"/>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6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6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68"/>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9"/>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7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71"/>
    <w:basedOn w:val="100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6" w:customStyle="1">
    <w:name w:val="xl27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73"/>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74"/>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5"/>
    <w:basedOn w:val="1002"/>
    <w:pPr>
      <w:pBdr/>
      <w:spacing w:after="100" w:afterAutospacing="1" w:before="100" w:beforeAutospacing="1"/>
      <w:ind/>
    </w:pPr>
  </w:style>
  <w:style w:type="paragraph" w:styleId="1080" w:customStyle="1">
    <w:name w:val="xl27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77"/>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7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7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8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8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8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8" w:customStyle="1">
    <w:name w:val="xl284"/>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5"/>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7"/>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8"/>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3" w:customStyle="1">
    <w:name w:val="xl289"/>
    <w:basedOn w:val="1002"/>
    <w:pPr>
      <w:pBdr>
        <w:left w:val="single" w:color="000000" w:sz="4" w:space="0"/>
        <w:right w:val="single" w:color="000000" w:sz="4" w:space="0"/>
      </w:pBdr>
      <w:spacing w:after="100" w:afterAutospacing="1" w:before="100" w:beforeAutospacing="1"/>
      <w:ind/>
    </w:pPr>
    <w:rPr>
      <w:b/>
      <w:bCs/>
    </w:rPr>
  </w:style>
  <w:style w:type="paragraph" w:styleId="1094" w:customStyle="1">
    <w:name w:val="xl29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91"/>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92"/>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93"/>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94"/>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name w:val="Title"/>
    <w:basedOn w:val="1002"/>
    <w:link w:val="1100"/>
    <w:qFormat/>
    <w:pPr>
      <w:pBdr/>
      <w:spacing/>
      <w:ind/>
      <w:jc w:val="center"/>
    </w:pPr>
    <w:rPr>
      <w:b/>
      <w:bCs/>
      <w:sz w:val="32"/>
      <w:szCs w:val="26"/>
    </w:rPr>
  </w:style>
  <w:style w:type="character" w:styleId="1100" w:customStyle="1">
    <w:name w:val="Title Char"/>
    <w:basedOn w:val="1007"/>
    <w:link w:val="1099"/>
    <w:pPr>
      <w:pBdr/>
      <w:spacing/>
      <w:ind/>
    </w:pPr>
    <w:rPr>
      <w:rFonts w:ascii="Times New Roman" w:hAnsi="Times New Roman" w:eastAsia="Times New Roman" w:cs="Times New Roman"/>
      <w:b/>
      <w:bCs/>
      <w:sz w:val="32"/>
      <w:szCs w:val="26"/>
    </w:rPr>
  </w:style>
  <w:style w:type="character" w:styleId="1101" w:customStyle="1">
    <w:name w:val="Unresolved Mention1"/>
    <w:basedOn w:val="1007"/>
    <w:uiPriority w:val="99"/>
    <w:semiHidden/>
    <w:unhideWhenUsed/>
    <w:pPr>
      <w:pBdr/>
      <w:spacing/>
      <w:ind/>
    </w:pPr>
    <w:rPr>
      <w:color w:val="605e5c"/>
      <w:shd w:val="clear" w:color="auto" w:fill="e1dfdd"/>
    </w:rPr>
  </w:style>
  <w:style w:type="character" w:styleId="1102" w:customStyle="1">
    <w:name w:val="Body text (3)_"/>
    <w:link w:val="1103"/>
    <w:pPr>
      <w:pBdr/>
      <w:spacing/>
      <w:ind/>
    </w:pPr>
    <w:rPr>
      <w:rFonts w:ascii="Times New Roman" w:hAnsi="Times New Roman" w:cs="Times New Roman"/>
      <w:i/>
      <w:iCs/>
      <w:spacing w:val="4"/>
      <w:shd w:val="clear" w:color="auto" w:fill="ffffff"/>
    </w:rPr>
  </w:style>
  <w:style w:type="paragraph" w:styleId="1103" w:customStyle="1">
    <w:name w:val="Body text (3)1"/>
    <w:basedOn w:val="1002"/>
    <w:link w:val="110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4" w:customStyle="1">
    <w:name w:val="t-j"/>
    <w:basedOn w:val="1002"/>
    <w:pPr>
      <w:pBdr/>
      <w:spacing w:after="100" w:afterAutospacing="1" w:before="100" w:beforeAutospacing="1"/>
      <w:ind/>
    </w:pPr>
  </w:style>
  <w:style w:type="character" w:styleId="1105" w:customStyle="1">
    <w:name w:val="Unresolved Mention2"/>
    <w:basedOn w:val="1007"/>
    <w:uiPriority w:val="99"/>
    <w:semiHidden/>
    <w:unhideWhenUsed/>
    <w:pPr>
      <w:pBdr/>
      <w:spacing/>
      <w:ind/>
    </w:pPr>
    <w:rPr>
      <w:color w:val="605e5c"/>
      <w:shd w:val="clear" w:color="auto" w:fill="e1dfdd"/>
    </w:rPr>
  </w:style>
  <w:style w:type="character" w:styleId="1106">
    <w:name w:val="FollowedHyperlink"/>
    <w:basedOn w:val="1007"/>
    <w:uiPriority w:val="99"/>
    <w:semiHidden/>
    <w:unhideWhenUsed/>
    <w:pPr>
      <w:pBdr/>
      <w:spacing/>
      <w:ind/>
    </w:pPr>
    <w:rPr>
      <w:color w:val="800080" w:themeColor="followedHyperlink"/>
      <w:u w:val="single"/>
    </w:rPr>
  </w:style>
  <w:style w:type="character" w:styleId="1107" w:customStyle="1">
    <w:name w:val="text"/>
    <w:basedOn w:val="1007"/>
    <w:pPr>
      <w:pBdr/>
      <w:spacing/>
      <w:ind/>
    </w:pPr>
  </w:style>
  <w:style w:type="character" w:styleId="1108" w:customStyle="1">
    <w:name w:val="card-send-time__sendtime"/>
    <w:basedOn w:val="1007"/>
    <w:pPr>
      <w:pBdr/>
      <w:spacing/>
      <w:ind/>
    </w:pPr>
  </w:style>
  <w:style w:type="character" w:styleId="1109" w:customStyle="1">
    <w:name w:val="Đề cập Chưa giải quyết1"/>
    <w:basedOn w:val="1007"/>
    <w:uiPriority w:val="99"/>
    <w:semiHidden/>
    <w:unhideWhenUsed/>
    <w:pPr>
      <w:pBdr/>
      <w:spacing/>
      <w:ind/>
    </w:pPr>
    <w:rPr>
      <w:color w:val="605e5c"/>
      <w:shd w:val="clear" w:color="auto" w:fill="e1dfdd"/>
    </w:rPr>
  </w:style>
  <w:style w:type="paragraph" w:styleId="1110" w:customStyle="1">
    <w:name w:val="nqtitle"/>
    <w:basedOn w:val="1002"/>
    <w:pPr>
      <w:pBdr/>
      <w:spacing w:after="100" w:afterAutospacing="1" w:before="100" w:beforeAutospacing="1"/>
      <w:ind/>
    </w:pPr>
    <w:rPr>
      <w:lang w:val="vi-VN" w:eastAsia="vi-VN"/>
    </w:rPr>
  </w:style>
  <w:style w:type="character" w:styleId="1111" w:customStyle="1">
    <w:name w:val="List Paragraph Char"/>
    <w:link w:val="1024"/>
    <w:uiPriority w:val="34"/>
    <w:qFormat/>
    <w:pPr>
      <w:pBdr/>
      <w:spacing/>
      <w:ind/>
    </w:pPr>
    <w:rPr>
      <w:rFonts w:ascii="Times New Roman" w:hAnsi="Times New Roman" w:eastAsia="Times New Roman" w:cs="Times New Roman"/>
      <w:sz w:val="24"/>
      <w:szCs w:val="24"/>
    </w:rPr>
  </w:style>
  <w:style w:type="character" w:styleId="1112" w:customStyle="1">
    <w:name w:val="Đề cập Chưa giải quyết2"/>
    <w:basedOn w:val="1007"/>
    <w:uiPriority w:val="99"/>
    <w:semiHidden/>
    <w:unhideWhenUsed/>
    <w:pPr>
      <w:pBdr/>
      <w:spacing/>
      <w:ind/>
    </w:pPr>
    <w:rPr>
      <w:color w:val="605e5c"/>
      <w:shd w:val="clear" w:color="auto" w:fill="e1dfdd"/>
    </w:rPr>
  </w:style>
  <w:style w:type="character" w:styleId="1113" w:customStyle="1">
    <w:name w:val="Unresolved Mention3"/>
    <w:basedOn w:val="1007"/>
    <w:uiPriority w:val="99"/>
    <w:semiHidden/>
    <w:unhideWhenUsed/>
    <w:pPr>
      <w:pBdr/>
      <w:spacing/>
      <w:ind/>
    </w:pPr>
    <w:rPr>
      <w:color w:val="605e5c"/>
      <w:shd w:val="clear" w:color="auto" w:fill="e1dfdd"/>
    </w:rPr>
  </w:style>
  <w:style w:type="character" w:styleId="1114" w:customStyle="1">
    <w:name w:val="copy"/>
    <w:basedOn w:val="1007"/>
    <w:pPr>
      <w:pBdr/>
      <w:spacing/>
      <w:ind/>
    </w:pPr>
  </w:style>
  <w:style w:type="paragraph" w:styleId="1115" w:customStyle="1">
    <w:name w:val="align-justify"/>
    <w:basedOn w:val="1002"/>
    <w:pPr>
      <w:pBdr/>
      <w:spacing w:after="100" w:afterAutospacing="1" w:before="100" w:beforeAutospacing="1"/>
      <w:ind/>
    </w:pPr>
  </w:style>
  <w:style w:type="character" w:styleId="1116" w:customStyle="1">
    <w:name w:val="btn"/>
    <w:basedOn w:val="1007"/>
    <w:pPr>
      <w:pBdr/>
      <w:spacing/>
      <w:ind/>
    </w:pPr>
  </w:style>
  <w:style w:type="character" w:styleId="1117" w:customStyle="1">
    <w:name w:val="hide_mobile"/>
    <w:basedOn w:val="1007"/>
    <w:pPr>
      <w:pBdr/>
      <w:spacing/>
      <w:ind/>
    </w:pPr>
  </w:style>
  <w:style w:type="character" w:styleId="1118">
    <w:name w:val="Emphasis"/>
    <w:basedOn w:val="1007"/>
    <w:uiPriority w:val="20"/>
    <w:qFormat/>
    <w:pPr>
      <w:pBdr/>
      <w:spacing/>
      <w:ind/>
    </w:pPr>
    <w:rPr>
      <w:i/>
      <w:iCs/>
    </w:rPr>
  </w:style>
  <w:style w:type="character" w:styleId="1119" w:customStyle="1">
    <w:name w:val="t1"/>
    <w:basedOn w:val="1007"/>
    <w:pPr>
      <w:pBdr/>
      <w:spacing/>
      <w:ind/>
    </w:pPr>
  </w:style>
  <w:style w:type="character" w:styleId="1120" w:customStyle="1">
    <w:name w:val="Unresolved Mention4"/>
    <w:basedOn w:val="1007"/>
    <w:uiPriority w:val="99"/>
    <w:semiHidden/>
    <w:unhideWhenUsed/>
    <w:pPr>
      <w:pBdr/>
      <w:spacing/>
      <w:ind/>
    </w:pPr>
    <w:rPr>
      <w:color w:val="605e5c"/>
      <w:shd w:val="clear" w:color="auto" w:fill="e1dfdd"/>
    </w:rPr>
  </w:style>
  <w:style w:type="character" w:styleId="1121">
    <w:name w:val="Unresolved Mention"/>
    <w:basedOn w:val="100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jpg"/><Relationship Id="rId31" Type="http://schemas.openxmlformats.org/officeDocument/2006/relationships/image" Target="media/image17.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Đinh Thị Lan Hương</cp:lastModifiedBy>
  <cp:revision>272</cp:revision>
  <dcterms:created xsi:type="dcterms:W3CDTF">2025-09-15T09:58:00Z</dcterms:created>
  <dcterms:modified xsi:type="dcterms:W3CDTF">2026-02-12T04:07:09Z</dcterms:modified>
</cp:coreProperties>
</file>