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275/2026/0307/VFI-CT.69.A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PHẠM NGUYỄN THU THUỶ</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148, tờ bản đồ số 110, có địa chỉ: Tổ 223, phường Hoà Minh, quận Liên Chiểu, thành </w:t>
                            </w:r>
                            <w:r>
                              <w:rPr>
                                <w:color w:val="000000"/>
                              </w:rPr>
                              <w:t xml:space="preserve">phố Đà Nẵng (</w:t>
                            </w:r>
                            <w:r>
                              <w:rPr>
                                <w:color w:val="000000"/>
                              </w:rPr>
                              <w:t xml:space="preserve">nay </w:t>
                            </w:r>
                            <w:r>
                              <w:rPr>
                                <w:color w:val="000000"/>
                              </w:rPr>
                              <w:t xml:space="preserve">là </w:t>
                            </w:r>
                            <w:r>
                              <w:rPr>
                                <w:color w:val="000000"/>
                              </w:rPr>
                              <w:t xml:space="preserve">ph</w:t>
                            </w:r>
                            <w:r>
                              <w:rPr>
                                <w:color w:val="000000"/>
                              </w:rPr>
                              <w:t xml:space="preserve">ường </w:t>
                            </w:r>
                            <w:r>
                              <w:rPr>
                                <w:color w:val="000000"/>
                              </w:rPr>
                              <w:t xml:space="preserve">Hoà </w:t>
                            </w:r>
                            <w:r>
                              <w:rPr>
                                <w:color w:val="000000"/>
                              </w:rPr>
                              <w:t xml:space="preserve">Khánh, </w:t>
                            </w:r>
                            <w:r>
                              <w:rPr>
                                <w:color w:val="000000"/>
                              </w:rPr>
                              <w:t xml:space="preserve">thành </w:t>
                            </w:r>
                            <w:r>
                              <w:rPr>
                                <w:color w:val="000000"/>
                              </w:rPr>
                              <w:t xml:space="preserve">phố </w:t>
                            </w:r>
                            <w:r>
                              <w:rPr>
                                <w:color w:val="000000"/>
                              </w:rPr>
                              <w:t xml:space="preserve">Đà </w:t>
                            </w:r>
                            <w:r>
                              <w:rPr>
                                <w:color w:val="000000"/>
                              </w:rPr>
                              <w:t xml:space="preserve">Nẵng)</w:t>
                            </w:r>
                            <w:r>
                              <w:rPr>
                                <w:color w:val="000000"/>
                              </w:rPr>
                              <w:t xml:space="preserve">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275/2026/0307/VFI-CT.69.A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PHẠM NGUYỄN THU THUỶ</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148, tờ bản đồ số 110, có địa chỉ: Tổ 223, phường Hoà Minh, quận Liên Chiểu, thành </w:t>
                      </w:r>
                      <w:r>
                        <w:rPr>
                          <w:color w:val="000000"/>
                        </w:rPr>
                        <w:t xml:space="preserve">phố Đà Nẵng (</w:t>
                      </w:r>
                      <w:r>
                        <w:rPr>
                          <w:color w:val="000000"/>
                        </w:rPr>
                        <w:t xml:space="preserve">nay </w:t>
                      </w:r>
                      <w:r>
                        <w:rPr>
                          <w:color w:val="000000"/>
                        </w:rPr>
                        <w:t xml:space="preserve">là </w:t>
                      </w:r>
                      <w:r>
                        <w:rPr>
                          <w:color w:val="000000"/>
                        </w:rPr>
                        <w:t xml:space="preserve">ph</w:t>
                      </w:r>
                      <w:r>
                        <w:rPr>
                          <w:color w:val="000000"/>
                        </w:rPr>
                        <w:t xml:space="preserve">ường </w:t>
                      </w:r>
                      <w:r>
                        <w:rPr>
                          <w:color w:val="000000"/>
                        </w:rPr>
                        <w:t xml:space="preserve">Hoà </w:t>
                      </w:r>
                      <w:r>
                        <w:rPr>
                          <w:color w:val="000000"/>
                        </w:rPr>
                        <w:t xml:space="preserve">Khánh, </w:t>
                      </w:r>
                      <w:r>
                        <w:rPr>
                          <w:color w:val="000000"/>
                        </w:rPr>
                        <w:t xml:space="preserve">thành </w:t>
                      </w:r>
                      <w:r>
                        <w:rPr>
                          <w:color w:val="000000"/>
                        </w:rPr>
                        <w:t xml:space="preserve">phố </w:t>
                      </w:r>
                      <w:r>
                        <w:rPr>
                          <w:color w:val="000000"/>
                        </w:rPr>
                        <w:t xml:space="preserve">Đà </w:t>
                      </w:r>
                      <w:r>
                        <w:rPr>
                          <w:color w:val="000000"/>
                        </w:rPr>
                        <w:t xml:space="preserve">Nẵng)</w:t>
                      </w:r>
                      <w:r>
                        <w:rPr>
                          <w:color w:val="000000"/>
                        </w:rPr>
                        <w:t xml:space="preserve">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rPr>
              <w:t xml:space="preserve">26-33</w:t>
            </w:r>
            <w:r>
              <w:rPr>
                <w:b/>
                <w:bCs/>
                <w:highlight w:val="none"/>
              </w:rPr>
            </w:r>
            <w:r>
              <w:rPr>
                <w:b/>
                <w:bCs/>
                <w:highlight w:val="none"/>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0"/>
        <w:gridCol w:w="3260"/>
        <w:gridCol w:w="6662"/>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06147"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40"/>
              <w:pBdr/>
              <w:spacing w:after="60"/>
              <w:ind/>
              <w:rPr>
                <w:color w:val="000000" w:themeColor="text1"/>
                <w:sz w:val="22"/>
                <w:szCs w:val="22"/>
              </w:rPr>
            </w:pPr>
            <w:r>
              <w:rPr>
                <w:rStyle w:val="1039"/>
                <w:rFonts w:ascii="Times New Roman" w:hAnsi="Times New Roman"/>
                <w:color w:val="000000" w:themeColor="text1"/>
                <w:sz w:val="22"/>
                <w:szCs w:val="22"/>
                <w:lang w:val="pt-BR"/>
              </w:rPr>
              <w:t xml:space="preserve">Số</w:t>
            </w:r>
            <w:r>
              <w:rPr>
                <w:rStyle w:val="1039"/>
                <w:rFonts w:ascii="Times New Roman" w:hAnsi="Times New Roman"/>
                <w:color w:val="000000" w:themeColor="text1"/>
                <w:sz w:val="22"/>
                <w:szCs w:val="22"/>
                <w:lang w:val="pt-BR"/>
              </w:rPr>
              <w:t xml:space="preserve">: </w:t>
            </w:r>
            <w:r>
              <w:rPr>
                <w:rStyle w:val="1039"/>
                <w:rFonts w:ascii="Times New Roman" w:hAnsi="Times New Roman"/>
                <w:color w:val="000000" w:themeColor="text1"/>
                <w:sz w:val="22"/>
                <w:szCs w:val="22"/>
                <w:lang w:val="pt-BR"/>
              </w:rPr>
              <w:t xml:space="preserve">275/2026/0307/VFI-CT.69.A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66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w:t>
            </w:r>
            <w:r>
              <w:rPr>
                <w:rStyle w:val="1039"/>
                <w:rFonts w:ascii="Times New Roman" w:hAnsi="Times New Roman"/>
                <w:i/>
                <w:color w:val="auto"/>
              </w:rPr>
              <w:t xml:space="preserve">Hà</w:t>
            </w:r>
            <w:r>
              <w:rPr>
                <w:rStyle w:val="1039"/>
                <w:rFonts w:ascii="Times New Roman" w:hAnsi="Times New Roman"/>
                <w:i/>
                <w:color w:val="auto"/>
              </w:rPr>
              <w:t xml:space="preserve"> </w:t>
            </w:r>
            <w:r>
              <w:rPr>
                <w:rStyle w:val="1039"/>
                <w:rFonts w:ascii="Times New Roman" w:hAnsi="Times New Roman"/>
                <w:i/>
                <w:color w:val="auto"/>
              </w:rPr>
              <w:t xml:space="preserve">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11 tháng 2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PHẠM NGUYỄN THU THUỶ</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275/2026/0307/VFI-HĐTĐ.69.A</w:t>
      </w:r>
      <w:r>
        <w:rPr>
          <w:spacing w:val="-4"/>
          <w:lang w:val="vi-VN"/>
        </w:rPr>
        <w:t xml:space="preserve"> ký ngày </w:t>
      </w:r>
      <w:r>
        <w:rPr>
          <w:color w:val="000000" w:themeColor="text1"/>
          <w:spacing w:val="-4"/>
        </w:rPr>
        <w:t xml:space="preserve">10 tháng 2 năm 2026</w:t>
      </w:r>
      <w:r>
        <w:rPr>
          <w:spacing w:val="-4"/>
          <w:lang w:val="vi-VN"/>
        </w:rPr>
        <w:t xml:space="preserve"> </w:t>
      </w:r>
      <w:r>
        <w:rPr>
          <w:spacing w:val="-4"/>
          <w:lang w:val="vi-VN"/>
        </w:rPr>
        <w:t xml:space="preserve">giữa </w:t>
      </w:r>
      <w:r>
        <w:rPr>
          <w:color w:val="000000" w:themeColor="text1"/>
          <w:spacing w:val="-4"/>
        </w:rPr>
        <w:t xml:space="preserve">PHẠM NGUYỄN THU THUỶ</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275/2026/0307/VFI-BC.69.A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169" w:type="pct"/>
        <w:tblBorders/>
        <w:tblLayout w:type="fixed"/>
        <w:tblLook w:val="04A0" w:firstRow="1" w:lastRow="0" w:firstColumn="1" w:lastColumn="0" w:noHBand="0" w:noVBand="1"/>
      </w:tblPr>
      <w:tblGrid>
        <w:gridCol w:w="2043"/>
        <w:gridCol w:w="457"/>
        <w:gridCol w:w="7024"/>
      </w:tblGrid>
      <w:tr>
        <w:trPr>
          <w:trHeight w:val="20"/>
        </w:trPr>
        <w:tc>
          <w:tcPr>
            <w:shd w:val="clear" w:color="auto" w:fill="auto"/>
            <w:tcBorders/>
            <w:tcW w:w="204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5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4" w:type="dxa"/>
            <w:vAlign w:val="center"/>
            <w:textDirection w:val="lrTb"/>
            <w:noWrap w:val="false"/>
          </w:tcPr>
          <w:p>
            <w:pPr>
              <w:pBdr/>
              <w:spacing/>
              <w:ind/>
              <w:rPr/>
            </w:pPr>
            <w:r>
              <w:rPr>
                <w:b/>
                <w:bCs/>
              </w:rPr>
              <w:t xml:space="preserve">PHẠM </w:t>
            </w:r>
            <w:r>
              <w:rPr>
                <w:b/>
                <w:bCs/>
              </w:rPr>
              <w:t xml:space="preserve">NGUYỄN</w:t>
            </w:r>
            <w:r>
              <w:rPr>
                <w:b/>
                <w:bCs/>
              </w:rPr>
              <w:t xml:space="preserve"> THU THUỶ</w:t>
            </w:r>
            <w:r/>
          </w:p>
        </w:tc>
      </w:tr>
      <w:tr>
        <w:trPr>
          <w:trHeight w:val="316"/>
        </w:trPr>
        <w:tc>
          <w:tcPr>
            <w:shd w:val="clear" w:color="auto" w:fill="auto"/>
            <w:tcBorders/>
            <w:tcW w:w="204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5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4"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highlight w:val="white"/>
              </w:rPr>
              <w:t xml:space="preserve">046169003139</w:t>
            </w:r>
            <w:r>
              <w:rPr>
                <w:color w:val="ff0000"/>
                <w:lang w:val="pt-BR"/>
              </w:rPr>
            </w:r>
            <w:r>
              <w:rPr>
                <w:color w:val="ff0000"/>
                <w:lang w:val="pt-BR"/>
              </w:rPr>
            </w:r>
          </w:p>
        </w:tc>
      </w:tr>
      <w:tr>
        <w:trPr>
          <w:trHeight w:val="20"/>
        </w:trPr>
        <w:tc>
          <w:tcPr>
            <w:shd w:val="clear" w:color="auto" w:fill="auto"/>
            <w:tcBorders/>
            <w:tcW w:w="204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5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4"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highlight w:val="white"/>
              </w:rPr>
              <w:t xml:space="preserve">Tổ 88, An Khê, Thanh Khê, Đà Nẵng</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nay </w:t>
            </w:r>
            <w:r>
              <w:rPr>
                <w:rFonts w:ascii="Times New Roman" w:hAnsi="Times New Roman" w:eastAsia="Times New Roman" w:cs="Times New Roman"/>
                <w:color w:val="000000"/>
                <w:sz w:val="24"/>
                <w:highlight w:val="none"/>
              </w:rPr>
              <w:t xml:space="preserve">là </w:t>
            </w:r>
            <w:r>
              <w:rPr>
                <w:rFonts w:ascii="Times New Roman" w:hAnsi="Times New Roman" w:eastAsia="Times New Roman" w:cs="Times New Roman"/>
                <w:color w:val="000000"/>
                <w:sz w:val="24"/>
                <w:highlight w:val="none"/>
              </w:rPr>
              <w:t xml:space="preserve">phường </w:t>
            </w:r>
            <w:r>
              <w:rPr>
                <w:rFonts w:ascii="Times New Roman" w:hAnsi="Times New Roman" w:eastAsia="Times New Roman" w:cs="Times New Roman"/>
                <w:color w:val="000000"/>
                <w:sz w:val="24"/>
                <w:highlight w:val="none"/>
              </w:rPr>
              <w:t xml:space="preserve">An </w:t>
            </w:r>
            <w:r>
              <w:rPr>
                <w:rFonts w:ascii="Times New Roman" w:hAnsi="Times New Roman" w:eastAsia="Times New Roman" w:cs="Times New Roman"/>
                <w:color w:val="000000"/>
                <w:sz w:val="24"/>
                <w:highlight w:val="none"/>
              </w:rPr>
              <w:t xml:space="preserve">Khê, </w:t>
            </w:r>
            <w:r>
              <w:rPr>
                <w:rFonts w:ascii="Times New Roman" w:hAnsi="Times New Roman" w:eastAsia="Times New Roman" w:cs="Times New Roman"/>
                <w:color w:val="000000"/>
                <w:sz w:val="24"/>
                <w:highlight w:val="none"/>
              </w:rPr>
              <w:t xml:space="preserve">thành </w:t>
            </w:r>
            <w:r>
              <w:rPr>
                <w:rFonts w:ascii="Times New Roman" w:hAnsi="Times New Roman" w:eastAsia="Times New Roman" w:cs="Times New Roman"/>
                <w:color w:val="000000"/>
                <w:sz w:val="24"/>
                <w:highlight w:val="none"/>
              </w:rPr>
              <w:t xml:space="preserve">ph</w:t>
            </w:r>
            <w:r>
              <w:rPr>
                <w:rFonts w:ascii="Times New Roman" w:hAnsi="Times New Roman" w:eastAsia="Times New Roman" w:cs="Times New Roman"/>
                <w:color w:val="000000"/>
                <w:sz w:val="24"/>
                <w:highlight w:val="none"/>
              </w:rPr>
              <w:t xml:space="preserve">ố </w:t>
            </w:r>
            <w:r>
              <w:rPr>
                <w:rFonts w:ascii="Times New Roman" w:hAnsi="Times New Roman" w:eastAsia="Times New Roman" w:cs="Times New Roman"/>
                <w:color w:val="000000"/>
                <w:sz w:val="24"/>
                <w:highlight w:val="none"/>
              </w:rPr>
              <w:t xml:space="preserve">Đà </w:t>
            </w:r>
            <w:r>
              <w:rPr>
                <w:rFonts w:ascii="Times New Roman" w:hAnsi="Times New Roman" w:eastAsia="Times New Roman" w:cs="Times New Roman"/>
                <w:color w:val="000000"/>
                <w:sz w:val="24"/>
                <w:highlight w:val="none"/>
              </w:rPr>
              <w:t xml:space="preserve">Nẵng)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148, tờ bản đồ số 110, có địa chỉ: Tổ 223, phường Hoà Minh, quận Liên Chiểu, thành </w:t>
      </w:r>
      <w:r>
        <w:rPr>
          <w:color w:val="000000" w:themeColor="text1"/>
        </w:rPr>
        <w:t xml:space="preserve">phố Đà Nẵng </w:t>
      </w:r>
      <w:r>
        <w:rPr>
          <w:color w:val="000000"/>
        </w:rPr>
        <w:t xml:space="preserve">(</w:t>
      </w:r>
      <w:r>
        <w:rPr>
          <w:color w:val="000000"/>
        </w:rPr>
        <w:t xml:space="preserve">nay </w:t>
      </w:r>
      <w:r>
        <w:rPr>
          <w:color w:val="000000"/>
        </w:rPr>
        <w:t xml:space="preserve">là </w:t>
      </w:r>
      <w:r>
        <w:rPr>
          <w:color w:val="000000"/>
        </w:rPr>
        <w:t xml:space="preserve">ph</w:t>
      </w:r>
      <w:r>
        <w:rPr>
          <w:color w:val="000000"/>
        </w:rPr>
        <w:t xml:space="preserve">ường </w:t>
      </w:r>
      <w:r>
        <w:rPr>
          <w:color w:val="000000"/>
        </w:rPr>
        <w:t xml:space="preserve">Hoà </w:t>
      </w:r>
      <w:r>
        <w:rPr>
          <w:color w:val="000000"/>
        </w:rPr>
        <w:t xml:space="preserve">Khánh, </w:t>
      </w:r>
      <w:r>
        <w:rPr>
          <w:color w:val="000000"/>
        </w:rPr>
        <w:t xml:space="preserve">thành </w:t>
      </w:r>
      <w:r>
        <w:rPr>
          <w:color w:val="000000"/>
        </w:rPr>
        <w:t xml:space="preserve">phố </w:t>
      </w:r>
      <w:r>
        <w:rPr>
          <w:color w:val="000000"/>
        </w:rPr>
        <w:t xml:space="preserve">Đà </w:t>
      </w:r>
      <w:r>
        <w:rPr>
          <w:color w:val="000000"/>
        </w:rPr>
        <w:t xml:space="preserve">Nẵng)</w:t>
      </w:r>
      <w:r>
        <w:rPr>
          <w:color w:val="000000" w:themeColor="text1"/>
        </w:rPr>
        <w:t xml:space="preserve">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3"/>
        <w:gridCol w:w="1806"/>
        <w:gridCol w:w="1211"/>
        <w:gridCol w:w="2021"/>
        <w:gridCol w:w="1700"/>
        <w:gridCol w:w="1701"/>
      </w:tblGrid>
      <w:tr>
        <w:trPr>
          <w:trHeight w:val="20"/>
        </w:trPr>
        <w:tc>
          <w:tcPr>
            <w:shd w:val="clear" w:color="000000" w:fill="ffffff"/>
            <w:tcBorders/>
            <w:tcW w:w="773"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1806" w:type="dxa"/>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11" w:type="dxa"/>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1" w:type="dxa"/>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00" w:type="dxa"/>
            <w:vAlign w:val="center"/>
            <w:textDirection w:val="lrTb"/>
            <w:noWrap w:val="false"/>
          </w:tcPr>
          <w:p>
            <w:pPr>
              <w:pBdr/>
              <w:spacing w:line="240" w:lineRule="auto"/>
              <w:ind/>
              <w:jc w:val="center"/>
              <w:rPr>
                <w:b/>
                <w:bCs/>
              </w:rPr>
            </w:pPr>
            <w:r>
              <w:rPr>
                <w:b/>
                <w:bCs/>
              </w:rPr>
              <w:t xml:space="preserve">T</w:t>
            </w:r>
            <w:r>
              <w:rPr>
                <w:b/>
                <w:bCs/>
              </w:rPr>
              <w:t xml:space="preserve">ỷ </w:t>
            </w:r>
            <w:r>
              <w:rPr>
                <w:b/>
                <w:bCs/>
              </w:rPr>
              <w:t xml:space="preserve">lệ </w:t>
            </w:r>
            <w:r>
              <w:rPr>
                <w:b/>
                <w:bCs/>
              </w:rPr>
              <w:t xml:space="preserve">chất </w:t>
            </w:r>
            <w:r>
              <w:rPr>
                <w:b/>
                <w:bCs/>
              </w:rPr>
              <w:t xml:space="preserve">lượng </w:t>
            </w:r>
            <w:r>
              <w:rPr>
                <w:b/>
                <w:bCs/>
              </w:rPr>
              <w:t xml:space="preserve">còn </w:t>
            </w:r>
            <w:r>
              <w:rPr>
                <w:b/>
                <w:bCs/>
              </w:rPr>
              <w:t xml:space="preserve">lại (%)</w:t>
            </w:r>
            <w:r>
              <w:rPr>
                <w:b/>
                <w:bCs/>
              </w:rPr>
            </w:r>
            <w:r>
              <w:rPr>
                <w:b/>
                <w:bCs/>
              </w:rPr>
            </w:r>
          </w:p>
        </w:tc>
        <w:tc>
          <w:tcPr>
            <w:shd w:val="clear" w:color="000000" w:fill="ffffff"/>
            <w:tcBorders/>
            <w:tcW w:w="1701" w:type="dxa"/>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156"/>
        </w:trPr>
        <w:tc>
          <w:tcPr>
            <w:shd w:val="clear" w:color="000000" w:fill="ffffff"/>
            <w:tcBorders/>
            <w:tcW w:w="773"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4"/>
            <w:shd w:val="clear" w:color="000000" w:fill="ffffff"/>
            <w:tcBorders/>
            <w:tcW w:w="6739" w:type="dxa"/>
            <w:vAlign w:val="center"/>
            <w:textDirection w:val="lrTb"/>
            <w:noWrap w:val="false"/>
          </w:tcPr>
          <w:p>
            <w:pPr>
              <w:pBdr/>
              <w:spacing w:after="40" w:before="40" w:line="240" w:lineRule="auto"/>
              <w:ind/>
              <w:jc w:val="both"/>
              <w:rPr>
                <w:b/>
                <w:bCs/>
              </w:rPr>
            </w:pPr>
            <w:r>
              <w:rPr>
                <w:color w:val="000000"/>
              </w:rPr>
              <w:t xml:space="preserve">Quyền sử dụng đất và công trình xây dựng tại thửa đất số 148, tờ bản đồ số 110, có địa chỉ: Tổ 223, phường Hoà Minh, quận Liên Chiểu, thành </w:t>
            </w:r>
            <w:r>
              <w:rPr>
                <w:color w:val="000000"/>
              </w:rPr>
              <w:t xml:space="preserve">phố Đà Nẵng </w:t>
            </w:r>
            <w:r>
              <w:rPr>
                <w:color w:val="000000"/>
              </w:rPr>
              <w:t xml:space="preserve">(</w:t>
            </w:r>
            <w:r>
              <w:rPr>
                <w:color w:val="000000"/>
              </w:rPr>
              <w:t xml:space="preserve">nay </w:t>
            </w:r>
            <w:r>
              <w:rPr>
                <w:color w:val="000000"/>
              </w:rPr>
              <w:t xml:space="preserve">là </w:t>
            </w:r>
            <w:r>
              <w:rPr>
                <w:color w:val="000000"/>
              </w:rPr>
              <w:t xml:space="preserve">ph</w:t>
            </w:r>
            <w:r>
              <w:rPr>
                <w:color w:val="000000"/>
              </w:rPr>
              <w:t xml:space="preserve">ường </w:t>
            </w:r>
            <w:r>
              <w:rPr>
                <w:color w:val="000000"/>
              </w:rPr>
              <w:t xml:space="preserve">Hoà </w:t>
            </w:r>
            <w:r>
              <w:rPr>
                <w:color w:val="000000"/>
              </w:rPr>
              <w:t xml:space="preserve">Khánh, </w:t>
            </w:r>
            <w:r>
              <w:rPr>
                <w:color w:val="000000"/>
              </w:rPr>
              <w:t xml:space="preserve">thành </w:t>
            </w:r>
            <w:r>
              <w:rPr>
                <w:color w:val="000000"/>
              </w:rPr>
              <w:t xml:space="preserve">phố </w:t>
            </w:r>
            <w:r>
              <w:rPr>
                <w:color w:val="000000"/>
              </w:rPr>
              <w:t xml:space="preserve">Đà </w:t>
            </w:r>
            <w:r>
              <w:rPr>
                <w:color w:val="000000"/>
              </w:rPr>
              <w:t xml:space="preserve">Nẵng)</w:t>
            </w:r>
            <w:r>
              <w:rPr>
                <w:color w:val="000000"/>
              </w:rPr>
              <w:t xml:space="preserve">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b/>
                <w:bCs/>
              </w:rPr>
            </w:r>
            <w:r>
              <w:rPr>
                <w:b/>
                <w:bCs/>
              </w:rPr>
            </w:r>
          </w:p>
        </w:tc>
        <w:tc>
          <w:tcPr>
            <w:shd w:val="clear" w:color="000000" w:fill="ffffff"/>
            <w:tcBorders/>
            <w:tcW w:w="1701"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773" w:type="dxa"/>
            <w:vAlign w:val="center"/>
            <w:textDirection w:val="lrTb"/>
            <w:noWrap w:val="false"/>
          </w:tcPr>
          <w:p>
            <w:pPr>
              <w:pBdr/>
              <w:spacing w:after="40" w:before="40" w:line="240" w:lineRule="auto"/>
              <w:ind/>
              <w:jc w:val="center"/>
              <w:rPr/>
            </w:pPr>
            <w:r>
              <w:rPr>
                <w:b/>
                <w:bCs/>
              </w:rPr>
              <w:t xml:space="preserve">1</w:t>
            </w:r>
            <w:r/>
          </w:p>
        </w:tc>
        <w:tc>
          <w:tcPr>
            <w:shd w:val="clear" w:color="000000" w:fill="ffffff"/>
            <w:tcBorders/>
            <w:tcW w:w="1806" w:type="dxa"/>
            <w:vAlign w:val="center"/>
            <w:textDirection w:val="lrTb"/>
            <w:noWrap w:val="false"/>
          </w:tcPr>
          <w:p>
            <w:pPr>
              <w:pBdr/>
              <w:spacing w:after="40" w:before="40" w:line="240" w:lineRule="auto"/>
              <w:ind/>
              <w:rPr/>
            </w:pPr>
            <w:r>
              <w:rPr>
                <w:b/>
                <w:bCs/>
              </w:rPr>
              <w:t xml:space="preserve">Đất ở tại đô thị</w:t>
            </w:r>
            <w:r/>
          </w:p>
        </w:tc>
        <w:tc>
          <w:tcPr>
            <w:tcBorders/>
            <w:tcW w:w="1211" w:type="dxa"/>
            <w:vAlign w:val="center"/>
            <w:textDirection w:val="lrTb"/>
            <w:noWrap/>
          </w:tcPr>
          <w:p>
            <w:pPr>
              <w:pBdr/>
              <w:spacing w:after="40" w:before="40" w:line="240" w:lineRule="auto"/>
              <w:ind/>
              <w:jc w:val="center"/>
              <w:rPr>
                <w:color w:val="000000"/>
              </w:rPr>
            </w:pPr>
            <w:r>
              <w:rPr>
                <w:color w:val="000000" w:themeColor="text1"/>
              </w:rPr>
              <w:t xml:space="preserve">96,7</w:t>
            </w:r>
            <w:r>
              <w:rPr>
                <w:color w:val="000000"/>
              </w:rPr>
            </w:r>
            <w:r>
              <w:rPr>
                <w:color w:val="000000"/>
              </w:rPr>
            </w:r>
          </w:p>
        </w:tc>
        <w:tc>
          <w:tcPr>
            <w:shd w:val="clear" w:color="000000" w:fill="ffffff"/>
            <w:tcBorders/>
            <w:tcW w:w="2021" w:type="dxa"/>
            <w:vAlign w:val="center"/>
            <w:textDirection w:val="lrTb"/>
            <w:noWrap w:val="false"/>
          </w:tcPr>
          <w:p>
            <w:pPr>
              <w:pBdr/>
              <w:spacing w:after="40" w:before="40" w:line="240" w:lineRule="auto"/>
              <w:ind/>
              <w:jc w:val="center"/>
              <w:rPr/>
            </w:pPr>
            <w:r>
              <w:rPr>
                <w:color w:val="000000" w:themeColor="text1"/>
              </w:rPr>
              <w:t xml:space="preserve">33.050.000</w:t>
            </w:r>
            <w:r/>
          </w:p>
        </w:tc>
        <w:tc>
          <w:tcPr>
            <w:shd w:val="clear" w:color="000000" w:fill="ffffff"/>
            <w:tcBorders/>
            <w:tcW w:w="1700" w:type="dxa"/>
            <w:vAlign w:val="center"/>
            <w:textDirection w:val="lrTb"/>
            <w:noWrap w:val="false"/>
          </w:tcPr>
          <w:p>
            <w:pPr>
              <w:pBdr/>
              <w:spacing w:line="240" w:lineRule="auto"/>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3.195.935.000</w:t>
            </w:r>
            <w:r/>
          </w:p>
        </w:tc>
      </w:tr>
      <w:tr>
        <w:trPr>
          <w:trHeight w:val="20"/>
        </w:trPr>
        <w:tc>
          <w:tcPr>
            <w:shd w:val="clear" w:color="000000" w:fill="ffffff"/>
            <w:tcBorders/>
            <w:tcW w:w="773" w:type="dxa"/>
            <w:vAlign w:val="center"/>
            <w:textDirection w:val="lrTb"/>
            <w:noWrap w:val="false"/>
          </w:tcPr>
          <w:p>
            <w:pPr>
              <w:pBdr/>
              <w:spacing w:after="40" w:before="40" w:line="240" w:lineRule="auto"/>
              <w:ind/>
              <w:jc w:val="center"/>
              <w:rPr/>
            </w:pPr>
            <w:r>
              <w:rPr>
                <w:b/>
                <w:bCs/>
              </w:rPr>
              <w:t xml:space="preserve">2</w:t>
            </w:r>
            <w:r/>
          </w:p>
        </w:tc>
        <w:tc>
          <w:tcPr>
            <w:shd w:val="clear" w:color="000000" w:fill="ffffff"/>
            <w:tcBorders/>
            <w:tcW w:w="1806" w:type="dxa"/>
            <w:vAlign w:val="center"/>
            <w:textDirection w:val="lrTb"/>
            <w:noWrap w:val="false"/>
          </w:tcPr>
          <w:p>
            <w:pPr>
              <w:pBdr/>
              <w:spacing w:after="40" w:before="40" w:line="240" w:lineRule="auto"/>
              <w:ind/>
              <w:rPr/>
            </w:pPr>
            <w:r>
              <w:rPr>
                <w:b/>
                <w:bCs/>
              </w:rPr>
              <w:t xml:space="preserve">Nhà 01</w:t>
            </w:r>
            <w:r>
              <w:rPr>
                <w:b/>
                <w:bCs/>
              </w:rPr>
              <w:t xml:space="preserve"> </w:t>
            </w:r>
            <w:r>
              <w:rPr>
                <w:b/>
                <w:bCs/>
              </w:rPr>
              <w:t xml:space="preserve">tầng</w:t>
            </w:r>
            <w:r/>
          </w:p>
        </w:tc>
        <w:tc>
          <w:tcPr>
            <w:tcBorders/>
            <w:tcW w:w="1211" w:type="dxa"/>
            <w:vAlign w:val="center"/>
            <w:textDirection w:val="lrTb"/>
            <w:noWrap/>
          </w:tcPr>
          <w:p>
            <w:pPr>
              <w:pBdr/>
              <w:spacing w:after="40" w:before="40" w:line="240" w:lineRule="auto"/>
              <w:ind/>
              <w:jc w:val="center"/>
              <w:rPr>
                <w:color w:val="000000"/>
              </w:rPr>
            </w:pPr>
            <w:r>
              <w:rPr>
                <w:color w:val="000000" w:themeColor="text1"/>
              </w:rPr>
              <w:t xml:space="preserve">96,5</w:t>
            </w:r>
            <w:r>
              <w:rPr>
                <w:color w:val="000000"/>
              </w:rPr>
            </w:r>
            <w:r>
              <w:rPr>
                <w:color w:val="000000"/>
              </w:rPr>
            </w:r>
          </w:p>
        </w:tc>
        <w:tc>
          <w:tcPr>
            <w:shd w:val="clear" w:color="000000" w:fill="ffffff"/>
            <w:tcBorders/>
            <w:tcW w:w="20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4.863.535</w:t>
            </w:r>
            <w:r/>
          </w:p>
        </w:tc>
        <w:tc>
          <w:tcPr>
            <w:shd w:val="clear" w:color="000000" w:fill="ffffff"/>
            <w:tcBorders/>
            <w:tcW w:w="1700" w:type="dxa"/>
            <w:vAlign w:val="center"/>
            <w:textDirection w:val="lrTb"/>
            <w:noWrap w:val="false"/>
          </w:tcPr>
          <w:p>
            <w:pPr>
              <w:pBdr/>
              <w:spacing w:line="240" w:lineRule="auto"/>
              <w:ind/>
              <w:jc w:val="center"/>
              <w:rPr>
                <w:color w:val="000000" w:themeColor="text1"/>
              </w:rPr>
            </w:pPr>
            <w:r>
              <w:rPr>
                <w:color w:val="000000" w:themeColor="text1"/>
              </w:rPr>
              <w:t xml:space="preserve">82%</w:t>
            </w:r>
            <w:r>
              <w:rPr>
                <w:color w:val="000000" w:themeColor="text1"/>
              </w:rPr>
            </w:r>
            <w:r>
              <w:rPr>
                <w:color w:val="000000" w:themeColor="text1"/>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384.851.489</w:t>
            </w:r>
            <w:r/>
          </w:p>
        </w:tc>
      </w:tr>
      <w:tr>
        <w:trPr>
          <w:trHeight w:val="425"/>
        </w:trPr>
        <w:tc>
          <w:tcPr>
            <w:gridSpan w:val="5"/>
            <w:tcBorders/>
            <w:tcW w:w="7512"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3.580.786.489</w:t>
            </w:r>
            <w:r/>
          </w:p>
        </w:tc>
      </w:tr>
      <w:tr>
        <w:trPr>
          <w:trHeight w:val="476"/>
        </w:trPr>
        <w:tc>
          <w:tcPr>
            <w:gridSpan w:val="5"/>
            <w:tcBorders/>
            <w:tcW w:w="7512"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701" w:type="dxa"/>
            <w:vAlign w:val="center"/>
            <w:textDirection w:val="lrTb"/>
            <w:noWrap/>
          </w:tcPr>
          <w:p>
            <w:pPr>
              <w:pBdr/>
              <w:spacing w:after="40" w:before="40" w:line="240" w:lineRule="auto"/>
              <w:ind/>
              <w:jc w:val="center"/>
              <w:rPr>
                <w:b/>
                <w:bCs/>
                <w:color w:val="000000"/>
              </w:rPr>
            </w:pPr>
            <w:r>
              <w:rPr>
                <w:b/>
                <w:bCs/>
                <w:color w:val="000000"/>
              </w:rPr>
              <w:t xml:space="preserve">3.580.000.000</w:t>
            </w:r>
            <w:r>
              <w:rPr>
                <w:b/>
                <w:bCs/>
                <w:color w:val="000000"/>
              </w:rPr>
            </w:r>
            <w:r>
              <w:rPr>
                <w:b/>
                <w:bCs/>
                <w:color w:val="000000"/>
              </w:rPr>
            </w:r>
          </w:p>
        </w:tc>
      </w:tr>
      <w:tr>
        <w:trPr>
          <w:trHeight w:val="321"/>
        </w:trPr>
        <w:tc>
          <w:tcPr>
            <w:gridSpan w:val="6"/>
            <w:tcBorders/>
            <w:tcW w:w="9213" w:type="dxa"/>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w:t>
            </w:r>
            <w:r>
              <w:rPr>
                <w:b/>
                <w:bCs/>
                <w:i/>
                <w:iCs/>
                <w:color w:val="000000"/>
              </w:rPr>
              <w:t xml:space="preserve">trăm </w:t>
            </w:r>
            <w:r>
              <w:rPr>
                <w:b/>
                <w:bCs/>
                <w:i/>
                <w:iCs/>
                <w:color w:val="000000"/>
              </w:rPr>
              <w:t xml:space="preserve">tám </w:t>
            </w:r>
            <w:r>
              <w:rPr>
                <w:b/>
                <w:bCs/>
                <w:i/>
                <w:iCs/>
                <w:color w:val="000000"/>
              </w:rPr>
              <w:t xml:space="preserve">mươi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
        <w:gridCol w:w="3260"/>
        <w:gridCol w:w="6662"/>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40"/>
              <w:pBdr/>
              <w:spacing w:after="60"/>
              <w:ind/>
              <w:rPr>
                <w:color w:val="000000" w:themeColor="text1"/>
                <w:sz w:val="22"/>
                <w:szCs w:val="22"/>
              </w:rPr>
            </w:pPr>
            <w:r>
              <w:rPr>
                <w:rStyle w:val="1039"/>
                <w:rFonts w:ascii="Times New Roman" w:hAnsi="Times New Roman"/>
                <w:color w:val="000000" w:themeColor="text1"/>
                <w:sz w:val="22"/>
                <w:szCs w:val="22"/>
                <w:lang w:val="pt-BR"/>
              </w:rPr>
              <w:t xml:space="preserve">Số</w:t>
            </w:r>
            <w:r>
              <w:rPr>
                <w:rStyle w:val="1039"/>
                <w:rFonts w:ascii="Times New Roman" w:hAnsi="Times New Roman"/>
                <w:color w:val="000000" w:themeColor="text1"/>
                <w:sz w:val="22"/>
                <w:szCs w:val="22"/>
                <w:lang w:val="pt-BR"/>
              </w:rPr>
              <w:t xml:space="preserve">: </w:t>
            </w:r>
            <w:r>
              <w:rPr>
                <w:rStyle w:val="1039"/>
                <w:rFonts w:ascii="Times New Roman" w:hAnsi="Times New Roman"/>
                <w:color w:val="000000" w:themeColor="text1"/>
                <w:sz w:val="22"/>
                <w:szCs w:val="22"/>
                <w:lang w:val="pt-BR"/>
              </w:rPr>
              <w:t xml:space="preserve">275/2026/0307/VFI-</w:t>
            </w:r>
            <w:r>
              <w:rPr>
                <w:rStyle w:val="1039"/>
                <w:rFonts w:ascii="Times New Roman" w:hAnsi="Times New Roman"/>
                <w:color w:val="000000" w:themeColor="text1"/>
                <w:sz w:val="22"/>
                <w:szCs w:val="22"/>
                <w:lang w:val="pt-BR"/>
              </w:rPr>
              <w:t xml:space="preserve">BC</w:t>
            </w:r>
            <w:r>
              <w:rPr>
                <w:rStyle w:val="1039"/>
                <w:rFonts w:ascii="Times New Roman" w:hAnsi="Times New Roman"/>
                <w:color w:val="000000" w:themeColor="text1"/>
                <w:sz w:val="22"/>
                <w:szCs w:val="22"/>
                <w:lang w:val="pt-BR"/>
              </w:rPr>
              <w:t xml:space="preserve">.69.A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66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w:t>
            </w:r>
            <w:r>
              <w:rPr>
                <w:rStyle w:val="1039"/>
                <w:rFonts w:ascii="Times New Roman" w:hAnsi="Times New Roman"/>
                <w:i/>
                <w:color w:val="auto"/>
              </w:rPr>
              <w:t xml:space="preserve">Hà</w:t>
            </w:r>
            <w:r>
              <w:rPr>
                <w:rStyle w:val="1039"/>
                <w:rFonts w:ascii="Times New Roman" w:hAnsi="Times New Roman"/>
                <w:i/>
                <w:color w:val="auto"/>
              </w:rPr>
              <w:t xml:space="preserve"> </w:t>
            </w:r>
            <w:r>
              <w:rPr>
                <w:rStyle w:val="1039"/>
                <w:rFonts w:ascii="Times New Roman" w:hAnsi="Times New Roman"/>
                <w:i/>
                <w:color w:val="auto"/>
              </w:rPr>
              <w:t xml:space="preserve">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11 tháng 2 năm 2026</w:t>
            </w:r>
            <w:r>
              <w:rPr>
                <w:color w:val="000000" w:themeColor="text1"/>
                <w:sz w:val="24"/>
                <w:szCs w:val="24"/>
                <w:lang w:val="vi-VN"/>
              </w:rPr>
            </w:r>
            <w:r>
              <w:rPr>
                <w:color w:val="000000" w:themeColor="text1"/>
                <w:sz w:val="24"/>
                <w:szCs w:val="24"/>
                <w:lang w:val="vi-VN"/>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275/2026/0307/VFI-CT.69.A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PHẠM THỊ THU THUỶ</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highlight w:val="white"/>
              </w:rPr>
              <w:t xml:space="preserve">046169003139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highlight w:val="white"/>
              </w:rPr>
              <w:t xml:space="preserve">Tổ 88, An Khê, Thanh Khê, Đà Nẵng</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none"/>
              </w:rPr>
              <w:t xml:space="preserve">nay </w:t>
            </w:r>
            <w:r>
              <w:rPr>
                <w:rFonts w:ascii="Times New Roman" w:hAnsi="Times New Roman" w:eastAsia="Times New Roman" w:cs="Times New Roman"/>
                <w:color w:val="000000"/>
                <w:sz w:val="24"/>
                <w:highlight w:val="none"/>
              </w:rPr>
              <w:t xml:space="preserve">là </w:t>
            </w:r>
            <w:r>
              <w:rPr>
                <w:rFonts w:ascii="Times New Roman" w:hAnsi="Times New Roman" w:eastAsia="Times New Roman" w:cs="Times New Roman"/>
                <w:color w:val="000000"/>
                <w:sz w:val="24"/>
                <w:highlight w:val="none"/>
              </w:rPr>
              <w:t xml:space="preserve">phường </w:t>
            </w:r>
            <w:r>
              <w:rPr>
                <w:rFonts w:ascii="Times New Roman" w:hAnsi="Times New Roman" w:eastAsia="Times New Roman" w:cs="Times New Roman"/>
                <w:color w:val="000000"/>
                <w:sz w:val="24"/>
                <w:highlight w:val="none"/>
              </w:rPr>
              <w:t xml:space="preserve">An </w:t>
            </w:r>
            <w:r>
              <w:rPr>
                <w:rFonts w:ascii="Times New Roman" w:hAnsi="Times New Roman" w:eastAsia="Times New Roman" w:cs="Times New Roman"/>
                <w:color w:val="000000"/>
                <w:sz w:val="24"/>
                <w:highlight w:val="none"/>
              </w:rPr>
              <w:t xml:space="preserve">Khê, </w:t>
            </w:r>
            <w:r>
              <w:rPr>
                <w:rFonts w:ascii="Times New Roman" w:hAnsi="Times New Roman" w:eastAsia="Times New Roman" w:cs="Times New Roman"/>
                <w:color w:val="000000"/>
                <w:sz w:val="24"/>
                <w:highlight w:val="none"/>
              </w:rPr>
              <w:t xml:space="preserve">thành </w:t>
            </w:r>
            <w:r>
              <w:rPr>
                <w:rFonts w:ascii="Times New Roman" w:hAnsi="Times New Roman" w:eastAsia="Times New Roman" w:cs="Times New Roman"/>
                <w:color w:val="000000"/>
                <w:sz w:val="24"/>
                <w:highlight w:val="none"/>
              </w:rPr>
              <w:t xml:space="preserve">ph</w:t>
            </w:r>
            <w:r>
              <w:rPr>
                <w:rFonts w:ascii="Times New Roman" w:hAnsi="Times New Roman" w:eastAsia="Times New Roman" w:cs="Times New Roman"/>
                <w:color w:val="000000"/>
                <w:sz w:val="24"/>
                <w:highlight w:val="none"/>
              </w:rPr>
              <w:t xml:space="preserve">ố </w:t>
            </w:r>
            <w:r>
              <w:rPr>
                <w:rFonts w:ascii="Times New Roman" w:hAnsi="Times New Roman" w:eastAsia="Times New Roman" w:cs="Times New Roman"/>
                <w:color w:val="000000"/>
                <w:sz w:val="24"/>
                <w:highlight w:val="none"/>
              </w:rPr>
              <w:t xml:space="preserve">Đà </w:t>
            </w:r>
            <w:r>
              <w:rPr>
                <w:rFonts w:ascii="Times New Roman" w:hAnsi="Times New Roman" w:eastAsia="Times New Roman" w:cs="Times New Roman"/>
                <w:color w:val="000000"/>
                <w:sz w:val="24"/>
                <w:highlight w:val="none"/>
              </w:rPr>
              <w:t xml:space="preserve">Nẵng)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148, tờ bản đồ số 110, có địa chỉ: Tổ 223, phường Hoà Minh, quận Liên Chiểu, thành </w:t>
            </w:r>
            <w:r>
              <w:rPr>
                <w:bCs/>
                <w:color w:val="000000" w:themeColor="text1"/>
                <w:lang w:val="pt-BR"/>
              </w:rPr>
              <w:t xml:space="preserve">phố Đà Nẵng </w:t>
            </w:r>
            <w:r>
              <w:rPr>
                <w:color w:val="000000"/>
              </w:rPr>
              <w:t xml:space="preserve">(</w:t>
            </w:r>
            <w:r>
              <w:rPr>
                <w:color w:val="000000"/>
              </w:rPr>
              <w:t xml:space="preserve">nay </w:t>
            </w:r>
            <w:r>
              <w:rPr>
                <w:color w:val="000000"/>
              </w:rPr>
              <w:t xml:space="preserve">là </w:t>
            </w:r>
            <w:r>
              <w:rPr>
                <w:color w:val="000000"/>
              </w:rPr>
              <w:t xml:space="preserve">ph</w:t>
            </w:r>
            <w:r>
              <w:rPr>
                <w:color w:val="000000"/>
              </w:rPr>
              <w:t xml:space="preserve">ường </w:t>
            </w:r>
            <w:r>
              <w:rPr>
                <w:color w:val="000000"/>
              </w:rPr>
              <w:t xml:space="preserve">Hoà </w:t>
            </w:r>
            <w:r>
              <w:rPr>
                <w:color w:val="000000"/>
              </w:rPr>
              <w:t xml:space="preserve">Khánh, </w:t>
            </w:r>
            <w:r>
              <w:rPr>
                <w:color w:val="000000"/>
              </w:rPr>
              <w:t xml:space="preserve">thành </w:t>
            </w:r>
            <w:r>
              <w:rPr>
                <w:color w:val="000000"/>
              </w:rPr>
              <w:t xml:space="preserve">phố </w:t>
            </w:r>
            <w:r>
              <w:rPr>
                <w:color w:val="000000"/>
              </w:rPr>
              <w:t xml:space="preserve">Đà </w:t>
            </w:r>
            <w:r>
              <w:rPr>
                <w:color w:val="000000"/>
              </w:rPr>
              <w:t xml:space="preserve">Nẵng)</w:t>
            </w:r>
            <w:r>
              <w:rPr>
                <w:bCs/>
                <w:color w:val="000000" w:themeColor="text1"/>
                <w:lang w:val="pt-BR"/>
              </w:rPr>
              <w:t xml:space="preserve">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Kiệt 4/15 đường Tô Hiệu, </w:t>
            </w:r>
            <w:r>
              <w:rPr>
                <w:color w:val="000000" w:themeColor="text1"/>
                <w:lang w:val="pt-BR"/>
              </w:rPr>
              <w:t xml:space="preserve">T</w:t>
            </w:r>
            <w:r>
              <w:rPr>
                <w:color w:val="000000" w:themeColor="text1"/>
                <w:lang w:val="pt-BR"/>
              </w:rPr>
              <w:t xml:space="preserve">ổ 223, Phường Hòa Minh, Quận Liên Chiểu, Thành phố Đà Nẵng (</w:t>
            </w:r>
            <w:r>
              <w:rPr>
                <w:color w:val="000000" w:themeColor="text1"/>
                <w:lang w:val="pt-BR"/>
              </w:rPr>
              <w:t xml:space="preserve">nay </w:t>
            </w:r>
            <w:r>
              <w:rPr>
                <w:color w:val="000000" w:themeColor="text1"/>
                <w:lang w:val="pt-BR"/>
              </w:rPr>
              <w:t xml:space="preserve">là </w:t>
            </w:r>
            <w:r>
              <w:rPr>
                <w:color w:val="000000" w:themeColor="text1"/>
                <w:lang w:val="pt-BR"/>
              </w:rPr>
              <w:t xml:space="preserve">phường </w:t>
            </w:r>
            <w:r>
              <w:rPr>
                <w:color w:val="000000" w:themeColor="text1"/>
                <w:lang w:val="pt-BR"/>
              </w:rPr>
              <w:t xml:space="preserve">Hoà </w:t>
            </w:r>
            <w:r>
              <w:rPr>
                <w:color w:val="000000" w:themeColor="text1"/>
                <w:lang w:val="pt-BR"/>
              </w:rPr>
              <w:t xml:space="preserve">Khánh, </w:t>
            </w:r>
            <w:r>
              <w:rPr>
                <w:color w:val="000000" w:themeColor="text1"/>
                <w:lang w:val="pt-BR"/>
              </w:rPr>
              <w:t xml:space="preserve">thành </w:t>
            </w:r>
            <w:r>
              <w:rPr>
                <w:color w:val="000000" w:themeColor="text1"/>
                <w:lang w:val="pt-BR"/>
              </w:rPr>
              <w:t xml:space="preserve">phố </w:t>
            </w:r>
            <w:r>
              <w:rPr>
                <w:color w:val="000000" w:themeColor="text1"/>
                <w:lang w:val="pt-BR"/>
              </w:rPr>
              <w:t xml:space="preserve">Đ</w:t>
            </w:r>
            <w:r>
              <w:rPr>
                <w:color w:val="000000" w:themeColor="text1"/>
                <w:lang w:val="pt-BR"/>
              </w:rPr>
              <w:t xml:space="preserve">à </w:t>
            </w:r>
            <w:r>
              <w:rPr>
                <w:color w:val="000000" w:themeColor="text1"/>
                <w:lang w:val="pt-BR"/>
              </w:rPr>
              <w:t xml:space="preserve">Nẵng).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(16.056944444444, 108.16913888889)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275/2026/0307/VFI-HĐTĐ.69.A ngày 10/02/2026 giữa Bà PHẠM NGUYỄN THU THUỶ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rPr>
      </w:pPr>
      <w:r>
        <w:rPr>
          <w:b/>
          <w:bCs/>
          <w:shd w:val="clear" w:color="auto" w:fill="ffffff"/>
        </w:rPr>
        <w:t xml:space="preserve">Bất động sản Đà Nẵng sẽ thế nào trong </w:t>
      </w:r>
      <w:r>
        <w:rPr>
          <w:b/>
          <w:bCs/>
          <w:shd w:val="clear" w:color="auto" w:fill="ffffff"/>
        </w:rPr>
        <w:t xml:space="preserve">năm 2026?</w:t>
      </w:r>
      <w:r>
        <w:rPr>
          <w:iCs/>
        </w:rPr>
      </w:r>
      <w:r>
        <w:rPr>
          <w:iCs/>
        </w:rPr>
      </w:r>
    </w:p>
    <w:p>
      <w:pPr>
        <w:pBdr/>
        <w:tabs>
          <w:tab w:val="left" w:leader="none" w:pos="426"/>
        </w:tabs>
        <w:spacing w:after="120" w:before="120" w:line="276" w:lineRule="auto"/>
        <w:ind/>
        <w:jc w:val="both"/>
        <w:rPr/>
      </w:pPr>
      <w:r>
        <w:rPr>
          <w:shd w:val="clear" w:color="auto" w:fill="ffffff"/>
        </w:rPr>
        <w:t xml:space="preserve">Sức cầu chung của thị trường được dự báo duy trì đà phục hồi trong ngắn hạn, lượng giao dịch phân bổ chủ yếu ở những dự án có quy mô lớn, kết nối vùng thuận lợi, được triển khai bởi các chủ đầu tư có thương hiệu trên thị trường. Dự báo về thị trư</w:t>
      </w:r>
      <w:r>
        <w:rPr>
          <w:shd w:val="clear" w:color="auto" w:fill="ffffff"/>
        </w:rPr>
        <w:t xml:space="preserve">ờng bất động sản Đà Nẵng năm 2026, DKRA Consulting đã chỉ ra diễn biến ở các phân khúc, như: đất nền, căn hộ, nhà phố - nhà biệt thự,…</w:t>
        <w:br/>
        <w:t xml:space="preserve">Ở phân khúc đất nền, dự báo nguồn cung mới duy trì tình trạng khan hiếm, dự kiến có khoảng 500 - 600 sản phẩm được mở bán</w:t>
      </w:r>
      <w:r>
        <w:rPr>
          <w:shd w:val="clear" w:color="auto" w:fill="ffffff"/>
        </w:rPr>
        <w:t xml:space="preserve"> mới. Các khu vực quen thuộc như: Phường Ngũ Hành Sơn, Phường Điện Bàn Đông, Xã Chiên Đàn, Xã Núi Thành,… duy trì vị thế chủ lực nguồn cung của thị trường. Sức cầu chung của thị trường đất nền được dự báo duy trì đà phục hồi trong ngắn hạn, lượng giao dịch</w:t>
      </w:r>
      <w:r>
        <w:rPr>
          <w:shd w:val="clear" w:color="auto" w:fill="ffffff"/>
        </w:rPr>
        <w:t xml:space="preserve"> phân bổ chủ yếu ở những dự án có quy mô lớn, kết nối vùng thuận lợi, được triển khai bởi các chủ đầu tư có uy tín, thương hiệu trên thị trường.</w:t>
      </w:r>
      <w:r/>
    </w:p>
    <w:p>
      <w:pPr>
        <w:pBdr/>
        <w:tabs>
          <w:tab w:val="left" w:leader="none" w:pos="426"/>
        </w:tabs>
        <w:spacing w:after="120" w:before="120" w:line="276" w:lineRule="auto"/>
        <w:ind/>
        <w:jc w:val="both"/>
        <w:rPr/>
      </w:pPr>
      <w:r>
        <w:rPr>
          <w:shd w:val="clear" w:color="auto" w:fill="ffffff"/>
        </w:rPr>
        <w:t xml:space="preserve">Về mặt bằng giá sơ cấp của phân khúc này sẽ tiếp tục neo cao do tác động của các loại chi phí đầu vào, tình trạ</w:t>
      </w:r>
      <w:r>
        <w:rPr>
          <w:shd w:val="clear" w:color="auto" w:fill="ffffff"/>
        </w:rPr>
        <w:t xml:space="preserve">ng chênh lệch “cung - cầu”, cũng như việc khan hiếm nguồn cung mới.</w:t>
        <w:br/>
        <w:t xml:space="preserve">Phân khúc căn hộ sẽ duy trì nguồn cung mới khoảng 6.000 - 7.000 căn trong năm 2026 và tập trung phần lớn ở khu vực Ngũ Hành Sơn, An Hải và Hòa Cường. Sức cầu thị trường duy trì xu hướng tă</w:t>
      </w:r>
      <w:r>
        <w:rPr>
          <w:shd w:val="clear" w:color="auto" w:fill="ffffff"/>
        </w:rPr>
        <w:t xml:space="preserve">ng tích cực, nhưng lượng tiêu thụ chỉ tập trung cục bộ ở các dự án thuộc khu vực trung tâm TP.</w:t>
      </w:r>
      <w:r/>
    </w:p>
    <w:p>
      <w:pPr>
        <w:pBdr/>
        <w:tabs>
          <w:tab w:val="left" w:leader="none" w:pos="426"/>
        </w:tabs>
        <w:spacing w:after="120" w:before="120" w:line="276" w:lineRule="auto"/>
        <w:ind/>
        <w:jc w:val="both"/>
        <w:rPr/>
      </w:pPr>
      <w:r>
        <w:rPr>
          <w:shd w:val="clear" w:color="auto" w:fill="ffffff"/>
        </w:rPr>
        <w:t xml:space="preserve">Giá bán sơ cấp tiếp tục duy trì ở mức cao tại khu vực Đà Nẵng cũ. Nhằm kích cầu thị trường, các chính sách bán hàng quen thuộc như chiết khấu thanh toán nhanh, h</w:t>
      </w:r>
      <w:r>
        <w:rPr>
          <w:shd w:val="clear" w:color="auto" w:fill="ffffff"/>
        </w:rPr>
        <w:t xml:space="preserve">ỗ trợ ân hạn gốc, lãi vay ngân hàng,… sẽ tiếp tục được các chủ đầu tư áp dụng. Thị trường thứ cấp được kỳ vọng duy trì xu hướng tăng ổn định về thanh khoản lẫn mặt bằng giá, đặc biệt ở nhóm dự án đã bàn giao nhà, giao thương kết nối vùng thuận lợi. Phân kh</w:t>
      </w:r>
      <w:r>
        <w:rPr>
          <w:shd w:val="clear" w:color="auto" w:fill="ffffff"/>
        </w:rPr>
        <w:t xml:space="preserve">úc nhà phố - biệt thự dự kiến nguồn cung tăng nhẹ trong năm 2026, dao động khoảng 200 - 300 căn. Trường hợp có dự án lớn mang tính dẫn dắt thị trường được mở bán, nguồn cung và lượng tiêu thụ có thể ghi nhận mức tăng đột biến so với năm 2025. Sức cầu chung</w:t>
      </w:r>
      <w:r>
        <w:rPr>
          <w:shd w:val="clear" w:color="auto" w:fill="ffffff"/>
        </w:rPr>
        <w:t xml:space="preserve"> được kỳ vọng có thể tăng so với năm 2025, lượng giao dịch tập trung chủ yếu tại những dự án được phát triển bởi các chủ đầu tư lớn, có pháp lý hoàn thiện và tiến độ thi công được đảm bảo.</w:t>
      </w:r>
      <w:r/>
    </w:p>
    <w:p>
      <w:pPr>
        <w:pBdr/>
        <w:tabs>
          <w:tab w:val="left" w:leader="none" w:pos="426"/>
        </w:tabs>
        <w:spacing w:after="120" w:before="120" w:line="276" w:lineRule="auto"/>
        <w:ind/>
        <w:jc w:val="both"/>
        <w:rPr/>
      </w:pPr>
      <w:r>
        <w:rPr>
          <w:shd w:val="clear" w:color="auto" w:fill="ffffff"/>
        </w:rPr>
        <w:t xml:space="preserve">Mặt bằng giá bán sơ cấp tiếp tục tăng và neo ở mức cao, những chính</w:t>
      </w:r>
      <w:r>
        <w:rPr>
          <w:shd w:val="clear" w:color="auto" w:fill="ffffff"/>
        </w:rPr>
        <w:t xml:space="preserve"> sách ưu đãi, chiết khấu thanh toán nhanh tiếp tục được áp dụng rộng rãi trong năm 2026. Thị trường thứ cấp có thể cải thiện trong năm 2026, nhưng thu hút được sự quan tâm của khách hàng vẫn là các dự án đã bàn giao nhà, pháp lý hoàn thiện.</w:t>
      </w:r>
      <w:r/>
    </w:p>
    <w:p>
      <w:pPr>
        <w:pBdr/>
        <w:tabs>
          <w:tab w:val="left" w:leader="none" w:pos="426"/>
        </w:tabs>
        <w:spacing w:after="120" w:before="120" w:line="276" w:lineRule="auto"/>
        <w:ind/>
        <w:jc w:val="both"/>
        <w:rPr/>
      </w:pPr>
      <w:r>
        <w:rPr>
          <w:shd w:val="clear" w:color="auto" w:fill="ffffff"/>
        </w:rPr>
        <w:t xml:space="preserve">Bất động sản ng</w:t>
      </w:r>
      <w:r>
        <w:rPr>
          <w:shd w:val="clear" w:color="auto" w:fill="ffffff"/>
        </w:rPr>
        <w:t xml:space="preserve">hỉ dưỡng dự báo nguồn cung mới tiếp tục vắng bóng trong năm 2026, các chủ đầu tư vẫn còn thận trọng trong việc triển khai bán hàng giữa bối cảnh thị trường trầm lắng như hiện nay.Thanh khoản thị trường sẽ tiếp tục gặp nhiều khó khăn và khó có thể phục hồi</w:t>
      </w:r>
      <w:r>
        <w:rPr>
          <w:shd w:val="clear" w:color="auto" w:fill="ffffff"/>
        </w:rPr>
        <w:t xml:space="preserve"> trong năm khi nút thắt pháp lý chưa được tháo gỡ cũng như niềm tin của nhà đầu tư vẫn ở mức thấp. Mặt bằng giá bán sơ cấp duy trì ổn định và không có nhiều biến động so với trước. Các chính sách hỗ trợ lãi suất, ân hạn nợ gốc, thanh toán giãn tiến độ,… vẫ</w:t>
      </w:r>
      <w:r>
        <w:rPr>
          <w:shd w:val="clear" w:color="auto" w:fill="ffffff"/>
        </w:rPr>
        <w:t xml:space="preserve">n tiếp tục được nhiều chủ đầu tư áp dụng giữa bối cảnh thị trường khó khăn như hiện nay. Cũng dự báo về thị trường bất động sản Đà Nẵng, đại diện Avison Young cho biết, trong thời gian tới, nguồn cung trong tương lai được dự báo sẽ dịch chuyển ngày càng mạ</w:t>
      </w:r>
      <w:r>
        <w:rPr>
          <w:shd w:val="clear" w:color="auto" w:fill="ffffff"/>
        </w:rPr>
        <w:t xml:space="preserve">nh hơn ra các khu vực ven đô và các đô thị vệ tinh, do quỹ đất nội đô khan hiếm và chi phí phát triển ngày càng tăng gây sức ép lên các khu trung tâm.</w:t>
      </w:r>
      <w:r/>
    </w:p>
    <w:p>
      <w:pPr>
        <w:pBdr/>
        <w:tabs>
          <w:tab w:val="left" w:leader="none" w:pos="426"/>
        </w:tabs>
        <w:spacing w:after="120" w:before="120" w:line="276" w:lineRule="auto"/>
        <w:ind/>
        <w:jc w:val="both"/>
        <w:rPr/>
      </w:pPr>
      <w:r>
        <w:rPr>
          <w:shd w:val="clear" w:color="auto" w:fill="ffffff"/>
        </w:rPr>
        <w:t xml:space="preserve">Các khoản đầu tư đang diễn ra vào hệ thống đường vành đai, cao tốc và metro sẽ đóng vai trò then chốt tro</w:t>
      </w:r>
      <w:r>
        <w:rPr>
          <w:shd w:val="clear" w:color="auto" w:fill="ffffff"/>
        </w:rPr>
        <w:t xml:space="preserve">ng việc cải thiện khả năng kết nối và hỗ trợ mở rộng không gian nhà ở.</w:t>
        <w:br/>
        <w:t xml:space="preserve">Cùng với đó, thiết kế sản phẩm cũng đang thay đổi, với sự chú trọng lớn hơn vào các loại hình linh hoạt như căn hộ studio, căn hộ dual-key và mô hình vừa ở vừa làm việc, nhằm đáp ứng lố</w:t>
      </w:r>
      <w:r>
        <w:rPr>
          <w:shd w:val="clear" w:color="auto" w:fill="ffffff"/>
        </w:rPr>
        <w:t xml:space="preserve">i sống biến đổi, đặc biệt của nhóm người mua trẻ và người nước ngoài. Công nghệ thông minh đang dần trở thành tiêu chuẩn cơ bản, giúp nâng cao hiệu quả vận hành và gia tăng giá trị tài sản trong dài hạn.</w:t>
      </w:r>
      <w:r/>
    </w:p>
    <w:p>
      <w:pPr>
        <w:pBdr/>
        <w:tabs>
          <w:tab w:val="left" w:leader="none" w:pos="426"/>
        </w:tabs>
        <w:spacing w:after="120" w:before="120" w:line="276" w:lineRule="auto"/>
        <w:ind/>
        <w:jc w:val="both"/>
        <w:rPr/>
      </w:pPr>
      <w:r>
        <w:rPr>
          <w:shd w:val="clear" w:color="auto" w:fill="ffffff"/>
        </w:rPr>
        <w:t xml:space="preserve">Yếu tố bền vững vẫn là một ưu tiên cốt lõi, khi ngườ</w:t>
      </w:r>
      <w:r>
        <w:rPr>
          <w:shd w:val="clear" w:color="auto" w:fill="ffffff"/>
        </w:rPr>
        <w:t xml:space="preserve">i mua ngày càng quan tâm tới không gian sống xanh, hiệu quả năng lượng và hệ tiện ích nội khu toàn diện. Khung pháp lý cũng sẽ là yếu tố quyết định quan trọng. Việc áp dụng khung giá đất sửa đổi từ năm 2026, cùng với điều chỉnh chính sách thuế và quy trình</w:t>
      </w:r>
      <w:r>
        <w:rPr>
          <w:shd w:val="clear" w:color="auto" w:fill="ffffff"/>
        </w:rPr>
        <w:t xml:space="preserve"> phê duyệt dự án, được dự báo sẽ tạo áp lực tăng lên chi phí phát triển và giá bán. Theo đơn vị này, trong bối cảnh này, các dự án có pháp lý minh bạch và quy hoạch hợp lý sẽ có lợi thế thu hút dòng vốn và khách ở thực, trong khi các dự án vướng mắc pháp l</w:t>
      </w:r>
      <w:r>
        <w:rPr>
          <w:shd w:val="clear" w:color="auto" w:fill="ffffff"/>
        </w:rPr>
        <w:t xml:space="preserve">ý có thể bị trì hoãn hoặc loại bỏ dần.</w:t>
      </w:r>
      <w:r/>
    </w:p>
    <w:p>
      <w:pPr>
        <w:pBdr/>
        <w:tabs>
          <w:tab w:val="left" w:leader="none" w:pos="426"/>
        </w:tabs>
        <w:spacing w:after="120" w:before="120" w:line="276" w:lineRule="auto"/>
        <w:ind/>
        <w:jc w:val="both"/>
        <w:rPr/>
      </w:pPr>
      <w:r>
        <w:rPr>
          <w:shd w:val="clear" w:color="auto" w:fill="ffffff"/>
        </w:rPr>
        <w:t xml:space="preserve">Thị trường được kỳ vọng bắt đầu phục hồi rõ nét hơn trong năm 2026 khi thanh khoản cải thiện nhờ nới lỏng tín dụng và tâm lý người mua tích cực hơn. Hai kịch bản có thể xuất hiện: Một là phục hồi dần với mức tăng giá </w:t>
      </w:r>
      <w:r>
        <w:rPr>
          <w:shd w:val="clear" w:color="auto" w:fill="ffffff"/>
        </w:rPr>
        <w:t xml:space="preserve">khiêm tốn và sự phân hóa rõ rệt, hai là phục hồi nhanh hơn trong năm 2026 nếu các điểm nghẽn pháp lý và hạn chế tín dụng được xử lý hiệu quả — đặc biệt mang lại lợi ích cho các khu vực ven đô tại các đô thị lớn và các tỉnh công nghiệp trọng điểm.</w:t>
      </w:r>
      <w:r/>
    </w:p>
    <w:p>
      <w:pPr>
        <w:pBdr/>
        <w:tabs>
          <w:tab w:val="left" w:leader="none" w:pos="426"/>
        </w:tabs>
        <w:spacing w:after="120" w:before="120" w:line="276" w:lineRule="auto"/>
        <w:ind/>
        <w:jc w:val="both"/>
        <w:rPr/>
      </w:pPr>
      <w:r>
        <w:rPr>
          <w:shd w:val="clear" w:color="auto" w:fill="ffffff"/>
        </w:rPr>
        <w:t xml:space="preserve">"Mặc dù t</w:t>
      </w:r>
      <w:r>
        <w:rPr>
          <w:shd w:val="clear" w:color="auto" w:fill="ffffff"/>
        </w:rPr>
        <w:t xml:space="preserve">riển vọng cải thiện, thị trường vẫn phải đối mặt với những rủi ro đáng chú ý, bao gồm bất định pháp lý, áp lực tài chính, nguy cơ “tăng nóng” cục bộ và cạnh tranh gia tăng giữa các dự án mở bán cùng thời điểm. Do đó, cả chủ đầu tư và người mua được kỳ vọng</w:t>
      </w:r>
      <w:r>
        <w:rPr>
          <w:shd w:val="clear" w:color="auto" w:fill="ffffff"/>
        </w:rPr>
        <w:t xml:space="preserve"> sẽ tiếp cận thị trường một cách thận trọng hơn, tập trung vào những dự án có chất lượng thực, nền tảng vững chắc và giá trị dài hạn", đại diện Avison Young nhấn mạnh.</w:t>
      </w:r>
      <w:r/>
    </w:p>
    <w:p>
      <w:pPr>
        <w:pBdr/>
        <w:tabs>
          <w:tab w:val="left" w:leader="none" w:pos="426"/>
        </w:tabs>
        <w:spacing w:after="120" w:before="120" w:line="276" w:lineRule="auto"/>
        <w:ind/>
        <w:jc w:val="center"/>
        <w:rPr>
          <w:bCs/>
          <w:i/>
        </w:rPr>
      </w:pPr>
      <w:r>
        <w:rPr>
          <w:i/>
          <w:iCs/>
          <w:shd w:val="clear" w:color="auto" w:fill="ffffff"/>
        </w:rPr>
      </w:r>
      <w:r>
        <w:rPr>
          <w:i/>
          <w:iCs/>
          <w:shd w:val="clear" w:color="auto" w:fill="ffffff"/>
        </w:rPr>
        <w:t xml:space="preserve">(https://nhipsongkinhdoanh.vn/bat-dong-san-da-nang-se-the-nao-trong-nam-2026-25635.htm)</w:t>
      </w:r>
      <w:r>
        <w:rPr>
          <w:bCs/>
          <w:i/>
        </w:rPr>
      </w:r>
      <w:r>
        <w:rPr>
          <w:bCs/>
          <w:i/>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1733"/>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507"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148, tờ bản đồ số 110, có địa chỉ: Tổ 223, phường Hoà Minh, quận Liên Chiểu, thành </w:t>
            </w:r>
            <w:r>
              <w:rPr>
                <w:b/>
                <w:bCs/>
                <w:color w:val="000000"/>
              </w:rPr>
              <w:t xml:space="preserve">phố Đà Nẵng</w:t>
            </w:r>
            <w:r>
              <w:rPr>
                <w:b/>
                <w:bCs/>
                <w:color w:val="000000"/>
              </w:rPr>
              <w:t xml:space="preserve"> </w:t>
            </w:r>
            <w:r>
              <w:rPr>
                <w:b/>
                <w:bCs/>
                <w:color w:val="000000"/>
              </w:rPr>
              <w:t xml:space="preserve">(</w:t>
            </w:r>
            <w:r>
              <w:rPr>
                <w:b/>
                <w:bCs/>
                <w:color w:val="000000"/>
              </w:rPr>
              <w:t xml:space="preserve">nay </w:t>
            </w:r>
            <w:r>
              <w:rPr>
                <w:b/>
                <w:bCs/>
                <w:color w:val="000000"/>
              </w:rPr>
              <w:t xml:space="preserve">là </w:t>
            </w:r>
            <w:r>
              <w:rPr>
                <w:b/>
                <w:bCs/>
                <w:color w:val="000000"/>
              </w:rPr>
              <w:t xml:space="preserve">ph</w:t>
            </w:r>
            <w:r>
              <w:rPr>
                <w:b/>
                <w:bCs/>
                <w:color w:val="000000"/>
              </w:rPr>
              <w:t xml:space="preserve">ường </w:t>
            </w:r>
            <w:r>
              <w:rPr>
                <w:b/>
                <w:bCs/>
                <w:color w:val="000000"/>
              </w:rPr>
              <w:t xml:space="preserve">Hoà </w:t>
            </w:r>
            <w:r>
              <w:rPr>
                <w:b/>
                <w:bCs/>
                <w:color w:val="000000"/>
              </w:rPr>
              <w:t xml:space="preserve">Khánh, </w:t>
            </w:r>
            <w:r>
              <w:rPr>
                <w:b/>
                <w:bCs/>
                <w:color w:val="000000"/>
              </w:rPr>
              <w:t xml:space="preserve">thành </w:t>
            </w:r>
            <w:r>
              <w:rPr>
                <w:b/>
                <w:bCs/>
                <w:color w:val="000000"/>
              </w:rPr>
              <w:t xml:space="preserve">phố </w:t>
            </w:r>
            <w:r>
              <w:rPr>
                <w:b/>
                <w:bCs/>
                <w:color w:val="000000"/>
              </w:rPr>
              <w:t xml:space="preserve">Đà </w:t>
            </w:r>
            <w:r>
              <w:rPr>
                <w:b/>
                <w:bCs/>
                <w:color w:val="000000"/>
              </w:rPr>
              <w:t xml:space="preserve">Nẵng)</w:t>
            </w:r>
            <w:r>
              <w:rPr>
                <w:b/>
                <w:bCs/>
                <w:color w:val="000000"/>
              </w:rPr>
              <w:t xml:space="preserve">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507"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ee0000"/>
              </w:rPr>
            </w:pPr>
            <w:r>
              <w:rPr>
                <w:color w:val="000000" w:themeColor="text1"/>
              </w:rPr>
              <w:t xml:space="preserve">110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5985" w:type="dxa"/>
            <w:vAlign w:val="center"/>
            <w:textDirection w:val="lrTb"/>
            <w:noWrap w:val="false"/>
          </w:tcPr>
          <w:p>
            <w:pPr>
              <w:pBdr/>
              <w:spacing/>
              <w:ind/>
              <w:jc w:val="both"/>
              <w:rPr>
                <w:color w:val="000000"/>
              </w:rPr>
            </w:pPr>
            <w:r>
              <w:rPr>
                <w:color w:val="000000"/>
              </w:rPr>
              <w:t xml:space="preserve">Kiệt 4/15 đường Tô Hiệu, tổ 223, Phường Hòa Minh, Quận Liên Chiểu, Thành phố Đà Nẵng (</w:t>
            </w:r>
            <w:r>
              <w:rPr>
                <w:color w:val="000000"/>
              </w:rPr>
              <w:t xml:space="preserve">nay </w:t>
            </w:r>
            <w:r>
              <w:rPr>
                <w:color w:val="000000"/>
              </w:rPr>
              <w:t xml:space="preserve">là </w:t>
            </w:r>
            <w:r>
              <w:rPr>
                <w:color w:val="000000"/>
              </w:rPr>
              <w:t xml:space="preserve">phường </w:t>
            </w:r>
            <w:r>
              <w:rPr>
                <w:color w:val="000000"/>
              </w:rPr>
              <w:t xml:space="preserve">Hoà </w:t>
            </w:r>
            <w:r>
              <w:rPr>
                <w:color w:val="000000"/>
              </w:rPr>
              <w:t xml:space="preserve">Khánh, </w:t>
            </w:r>
            <w:r>
              <w:rPr>
                <w:color w:val="000000"/>
              </w:rPr>
              <w:t xml:space="preserve">thành </w:t>
            </w:r>
            <w:r>
              <w:rPr>
                <w:color w:val="000000"/>
              </w:rPr>
              <w:t xml:space="preserve">phố </w:t>
            </w:r>
            <w:r>
              <w:rPr>
                <w:color w:val="000000"/>
              </w:rPr>
              <w:t xml:space="preserve">Đà </w:t>
            </w:r>
            <w:r>
              <w:rPr>
                <w:color w:val="000000"/>
              </w:rPr>
              <w:t xml:space="preserve">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rPr>
              <w:t xml:space="preserve">Sử dụng riêng: 96</w:t>
            </w:r>
            <w:r>
              <w:rPr>
                <w:color w:val="000000"/>
              </w:rPr>
              <w:t xml:space="preserve">,7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5985"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5985" w:type="dxa"/>
            <w:vAlign w:val="center"/>
            <w:textDirection w:val="lrTb"/>
            <w:noWrap w:val="false"/>
          </w:tcPr>
          <w:p>
            <w:pPr>
              <w:pBdr/>
              <w:spacing/>
              <w:ind/>
              <w:jc w:val="both"/>
              <w:rPr>
                <w:color w:val="000000"/>
                <w:highlight w:val="none"/>
              </w:rPr>
            </w:pPr>
            <w:r>
              <w:rPr>
                <w:color w:val="000000"/>
              </w:rPr>
              <w:t xml:space="preserve">T</w:t>
            </w:r>
            <w:r>
              <w:rPr>
                <w:color w:val="000000"/>
              </w:rPr>
              <w:t xml:space="preserve">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tra </w:t>
            </w:r>
            <w:r>
              <w:rPr>
                <w:color w:val="000000"/>
              </w:rPr>
              <w:t xml:space="preserve">cứu </w:t>
            </w:r>
            <w:r>
              <w:rPr>
                <w:color w:val="000000"/>
              </w:rPr>
              <w:t xml:space="preserve">thông </w:t>
            </w:r>
            <w:r>
              <w:rPr>
                <w:color w:val="000000"/>
              </w:rPr>
              <w:t xml:space="preserve">tin </w:t>
            </w:r>
            <w:r>
              <w:rPr>
                <w:color w:val="000000"/>
              </w:rPr>
              <w:t xml:space="preserve">web</w:t>
            </w:r>
            <w:r>
              <w:rPr>
                <w:color w:val="000000"/>
              </w:rPr>
              <w:t xml:space="preserve">site </w:t>
            </w:r>
            <w:r>
              <w:rPr>
                <w:color w:val="000000"/>
              </w:rPr>
              <w:t xml:space="preserve">quy </w:t>
            </w:r>
            <w:r>
              <w:rPr>
                <w:color w:val="000000"/>
              </w:rPr>
              <w:t xml:space="preserve">hoạc</w:t>
            </w:r>
            <w:r>
              <w:rPr>
                <w:color w:val="000000"/>
              </w:rPr>
              <w:t xml:space="preserve">h </w:t>
            </w:r>
            <w:r>
              <w:rPr>
                <w:color w:val="000000"/>
              </w:rPr>
              <w:t xml:space="preserve">và </w:t>
            </w:r>
            <w:r>
              <w:rPr>
                <w:color w:val="000000"/>
              </w:rPr>
              <w:t xml:space="preserve">nhận </w:t>
            </w:r>
            <w:r>
              <w:rPr>
                <w:color w:val="000000"/>
              </w:rPr>
              <w:t xml:space="preserve">thấy </w:t>
            </w:r>
            <w:r>
              <w:rPr>
                <w:color w:val="000000"/>
              </w:rPr>
              <w:t xml:space="preserve">tài </w:t>
            </w:r>
            <w:r>
              <w:rPr>
                <w:color w:val="000000"/>
              </w:rPr>
              <w:t xml:space="preserve">sản </w:t>
            </w:r>
            <w:r>
              <w:rPr>
                <w:color w:val="000000"/>
              </w:rPr>
              <w:t xml:space="preserve">thuộc </w:t>
            </w:r>
            <w:r>
              <w:rPr>
                <w:color w:val="000000"/>
              </w:rPr>
              <w:t xml:space="preserve">nhóm </w:t>
            </w:r>
            <w:r>
              <w:rPr>
                <w:color w:val="000000"/>
              </w:rPr>
              <w:t xml:space="preserve">đất </w:t>
            </w:r>
            <w:r>
              <w:rPr>
                <w:color w:val="000000"/>
              </w:rPr>
              <w:t xml:space="preserve">ở </w:t>
            </w:r>
            <w:r>
              <w:rPr>
                <w:color w:val="000000"/>
              </w:rPr>
              <w:t xml:space="preserve">hỗ</w:t>
            </w:r>
            <w:r>
              <w:rPr>
                <w:color w:val="000000"/>
              </w:rPr>
              <w:t xml:space="preserve">n </w:t>
            </w:r>
            <w:r>
              <w:rPr>
                <w:color w:val="000000"/>
              </w:rPr>
              <w:t xml:space="preserve">h</w:t>
            </w:r>
            <w:r>
              <w:rPr>
                <w:color w:val="000000"/>
              </w:rPr>
              <w:t xml:space="preserve">ợp. </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828167" cy="170829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90223" name=""/>
                              <pic:cNvPicPr>
                                <a:picLocks noChangeAspect="1"/>
                              </pic:cNvPicPr>
                              <pic:nvPr/>
                            </pic:nvPicPr>
                            <pic:blipFill rotWithShape="1">
                              <a:blip r:embed="rId17"/>
                              <a:stretch/>
                            </pic:blipFill>
                            <pic:spPr bwMode="auto">
                              <a:xfrm flipH="0" flipV="0">
                                <a:off x="0" y="0"/>
                                <a:ext cx="3828166" cy="1708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43pt;height:134.5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507"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507"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gia</w:t>
            </w:r>
            <w:r>
              <w:rPr>
                <w:color w:val="000000"/>
              </w:rPr>
              <w:t xml:space="preserve">o </w:t>
            </w:r>
            <w:r>
              <w:rPr>
                <w:color w:val="000000"/>
              </w:rPr>
              <w:t xml:space="preserve">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11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5985"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Tô </w:t>
            </w:r>
            <w:r>
              <w:rPr>
                <w:color w:val="000000" w:themeColor="text1"/>
              </w:rPr>
              <w:t xml:space="preserve">Hiệu </w:t>
            </w:r>
            <w:r>
              <w:rPr>
                <w:color w:val="000000" w:themeColor="text1"/>
              </w:rPr>
              <w:t xml:space="preserve">khoả</w:t>
            </w:r>
            <w:r>
              <w:rPr>
                <w:color w:val="000000" w:themeColor="text1"/>
              </w:rPr>
              <w:t xml:space="preserve">ng 130</w:t>
            </w:r>
            <w:r>
              <w:rPr>
                <w:color w:val="000000" w:themeColor="text1"/>
              </w:rPr>
              <w:t xml:space="preserve">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5985" w:type="dxa"/>
            <w:vAlign w:val="center"/>
            <w:textDirection w:val="lrTb"/>
            <w:noWrap w:val="false"/>
          </w:tcPr>
          <w:p>
            <w:pPr>
              <w:pBdr/>
              <w:spacing/>
              <w:ind/>
              <w:rPr>
                <w:color w:val="000000" w:themeColor="text1"/>
                <w:highlight w:val="none"/>
              </w:rPr>
            </w:pPr>
            <w:r>
              <w:rPr>
                <w:color w:val="000000" w:themeColor="text1"/>
              </w:rPr>
              <w:t xml:space="preserve">Hướng </w:t>
            </w:r>
            <w:r>
              <w:rPr>
                <w:color w:val="000000" w:themeColor="text1"/>
              </w:rPr>
              <w:t xml:space="preserve">Đông: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giao </w:t>
            </w:r>
            <w:r>
              <w:rPr>
                <w:color w:val="000000" w:themeColor="text1"/>
              </w:rPr>
              <w:t xml:space="preserve">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w:t>
            </w:r>
            <w:r>
              <w:rPr>
                <w:color w:val="000000" w:themeColor="text1"/>
                <w:highlight w:val="none"/>
              </w:rPr>
              <w:t xml:space="preserve">hướng </w:t>
            </w:r>
            <w:r>
              <w:rPr>
                <w:color w:val="000000" w:themeColor="text1"/>
                <w:highlight w:val="none"/>
              </w:rPr>
              <w:t xml:space="preserve">khác: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thửa </w:t>
            </w:r>
            <w:r>
              <w:rPr>
                <w:color w:val="000000" w:themeColor="text1"/>
                <w:highlight w:val="none"/>
              </w:rPr>
              <w:t xml:space="preserve">đất </w:t>
            </w:r>
            <w:r>
              <w:rPr>
                <w:color w:val="000000" w:themeColor="text1"/>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507"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(16.056944444444, 108.16913888889)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507"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285929" cy="256511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18989" name=""/>
                              <pic:cNvPicPr>
                                <a:picLocks noChangeAspect="1"/>
                              </pic:cNvPicPr>
                              <pic:nvPr/>
                            </pic:nvPicPr>
                            <pic:blipFill rotWithShape="1">
                              <a:blip r:embed="rId18"/>
                              <a:stretch/>
                            </pic:blipFill>
                            <pic:spPr bwMode="auto">
                              <a:xfrm flipH="0" flipV="0">
                                <a:off x="0" y="0"/>
                                <a:ext cx="5285928" cy="2565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6.21pt;height:201.9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507"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1733" w:type="dxa"/>
            <w:vAlign w:val="center"/>
            <w:textDirection w:val="lrTb"/>
            <w:noWrap w:val="false"/>
          </w:tcPr>
          <w:p>
            <w:pPr>
              <w:pBdr/>
              <w:spacing/>
              <w:ind/>
              <w:jc w:val="center"/>
              <w:rPr>
                <w:color w:val="000000" w:themeColor="text1"/>
              </w:rPr>
            </w:pPr>
            <w:r>
              <w:rPr>
                <w:color w:val="000000" w:themeColor="text1"/>
              </w:rPr>
              <w:t xml:space="preserve">21,02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507"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5985"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5985"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1733" w:type="dxa"/>
            <w:vAlign w:val="center"/>
            <w:textDirection w:val="lrTb"/>
            <w:noWrap w:val="false"/>
          </w:tcPr>
          <w:p>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507"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507"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hách hàng, CTXD gắn liền với đất là nhà ở 01 tầng, hoàn thiện năm 2017, diện tích sàn là 96,5m². CTXD đã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223, phường Hoà Minh, quận Liên Chiểu, thành phố Đà Nẵng</w:t>
            </w:r>
            <w:r/>
          </w:p>
        </w:tc>
        <w:tc>
          <w:tcPr>
            <w:tcBorders/>
            <w:tcW w:w="1605" w:type="dxa"/>
            <w:vAlign w:val="center"/>
            <w:textDirection w:val="lrTb"/>
            <w:noWrap w:val="false"/>
          </w:tcPr>
          <w:p>
            <w:pPr>
              <w:pBdr/>
              <w:spacing/>
              <w:ind/>
              <w:jc w:val="center"/>
              <w:rPr/>
            </w:pPr>
            <w:r>
              <w:t xml:space="preserve">Tổ 223, phường Hoà Minh, quận Liên Chiểu, thành phố Đà Nẵng</w:t>
            </w:r>
            <w:r>
              <w:t xml:space="preserve"> ✔</w:t>
            </w:r>
            <w:r/>
          </w:p>
        </w:tc>
        <w:tc>
          <w:tcPr>
            <w:tcBorders/>
            <w:tcW w:w="1371" w:type="dxa"/>
            <w:vAlign w:val="center"/>
            <w:textDirection w:val="lrTb"/>
            <w:noWrap w:val="false"/>
          </w:tcPr>
          <w:p>
            <w:pPr>
              <w:pBdr/>
              <w:spacing/>
              <w:ind/>
              <w:jc w:val="center"/>
              <w:rPr/>
            </w:pPr>
            <w:r>
              <w:t xml:space="preserve">Kh</w:t>
            </w:r>
            <w:r>
              <w:t xml:space="preserve">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Kiệt 4/15 đường Tô Hiệu, tổ 223, Phường Hòa Minh, Quận Liên Chiểu, Thành phố Đà Nẵng</w:t>
            </w:r>
            <w:r/>
          </w:p>
        </w:tc>
        <w:tc>
          <w:tcPr>
            <w:tcBorders/>
            <w:tcW w:w="1605" w:type="dxa"/>
            <w:vAlign w:val="center"/>
            <w:textDirection w:val="lrTb"/>
            <w:noWrap w:val="false"/>
          </w:tcPr>
          <w:p>
            <w:pPr>
              <w:pBdr/>
              <w:spacing/>
              <w:ind/>
              <w:jc w:val="center"/>
              <w:rPr/>
            </w:pPr>
            <w:r>
              <w:t xml:space="preserve">Kiệt 4/15 đường Tô Hiệu, tổ 223, Phường Hòa Minh, Quận Liên Chiểu,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3,5</w:t>
            </w:r>
            <w:r/>
          </w:p>
        </w:tc>
        <w:tc>
          <w:tcPr>
            <w:tcBorders/>
            <w:tcW w:w="1605" w:type="dxa"/>
            <w:vAlign w:val="center"/>
            <w:textDirection w:val="lrTb"/>
            <w:noWrap w:val="false"/>
          </w:tcPr>
          <w:p>
            <w:pPr>
              <w:pBdr/>
              <w:spacing/>
              <w:ind/>
              <w:jc w:val="center"/>
              <w:rPr/>
            </w:pPr>
            <w:r>
              <w:t xml:space="preserve">3.5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96,7</w:t>
            </w:r>
            <w:r/>
          </w:p>
        </w:tc>
        <w:tc>
          <w:tcPr>
            <w:tcBorders/>
            <w:tcW w:w="1605" w:type="dxa"/>
            <w:vAlign w:val="center"/>
            <w:textDirection w:val="lrTb"/>
            <w:noWrap w:val="false"/>
          </w:tcPr>
          <w:p>
            <w:pPr>
              <w:pBdr/>
              <w:spacing/>
              <w:ind/>
              <w:jc w:val="center"/>
              <w:rPr/>
            </w:pPr>
            <w:r>
              <w:t xml:space="preserve">96,7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4,6</w:t>
            </w:r>
            <w:r/>
          </w:p>
        </w:tc>
        <w:tc>
          <w:tcPr>
            <w:tcBorders/>
            <w:tcW w:w="1605" w:type="dxa"/>
            <w:vAlign w:val="center"/>
            <w:textDirection w:val="lrTb"/>
            <w:noWrap w:val="false"/>
          </w:tcPr>
          <w:p>
            <w:pPr>
              <w:pBdr/>
              <w:spacing/>
              <w:ind/>
              <w:jc w:val="center"/>
              <w:rPr/>
            </w:pPr>
            <w:r>
              <w:t xml:space="preserve">4,6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21,02</w:t>
            </w:r>
            <w:r/>
          </w:p>
        </w:tc>
        <w:tc>
          <w:tcPr>
            <w:tcBorders/>
            <w:tcW w:w="1605" w:type="dxa"/>
            <w:vAlign w:val="center"/>
            <w:textDirection w:val="lrTb"/>
            <w:noWrap w:val="false"/>
          </w:tcPr>
          <w:p>
            <w:pPr>
              <w:pBdr/>
              <w:spacing/>
              <w:ind/>
              <w:jc w:val="center"/>
              <w:rPr/>
            </w:pPr>
            <w:r>
              <w:t xml:space="preserve">21,02</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4/15 đường Tô Hiệu, tổ 223, Phường Hòa Minh, Quận Liên Chiểu, Thành phố Đà Nẵng (</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400/2 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192 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192 </w:t>
            </w:r>
            <w:r>
              <w:rPr>
                <w:color w:val="000000" w:themeColor="text1"/>
                <w:sz w:val="22"/>
                <w:szCs w:val="22"/>
              </w:rPr>
              <w:t xml:space="preserve">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https://batdongsan.com.vn/ban-nha-rieng-duong-to-hieu-phuong-hoa-minh-47/can-ban-2mt-kiet-oto-dien-tich-110m2-khu-trung-tam-lien-chieu-gia-chi-4-5-ty-pr44150993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https://batdongsan.com.vn/ban-dat-duong-to-hieu-phuong-hoa-minh-47/kiet-oto-k192-vi-tri-dep-o-dau-do-tan-noi-gan-cho-truong-pr44994224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0935452798</w:t>
            </w:r>
            <w:r>
              <w:rPr>
                <w:sz w:val="22"/>
                <w:szCs w:val="22"/>
              </w:rPr>
              <w:t xml:space="preserve"> </w:t>
            </w:r>
            <w:r>
              <w:rPr>
                <w:sz w:val="22"/>
                <w:szCs w:val="22"/>
              </w:rPr>
              <w:br/>
              <w:t xml:space="preserve">(</w:t>
            </w:r>
            <w:r>
              <w:rPr>
                <w:sz w:val="22"/>
                <w:szCs w:val="22"/>
              </w:rPr>
              <w:t xml:space="preserve">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0974123455</w:t>
            </w:r>
            <w:r>
              <w:rPr>
                <w:sz w:val="22"/>
                <w:szCs w:val="22"/>
              </w:rPr>
              <w:br/>
            </w:r>
            <w:r>
              <w:rPr>
                <w:sz w:val="22"/>
                <w:szCs w:val="22"/>
              </w:rP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0905897639</w:t>
            </w:r>
            <w:r>
              <w:rPr>
                <w:sz w:val="22"/>
                <w:szCs w:val="22"/>
              </w:rPr>
              <w:br/>
            </w:r>
            <w:r>
              <w:rPr>
                <w:sz w:val="22"/>
                <w:szCs w:val="22"/>
              </w:rPr>
              <w:t xml:space="preserve">(</w:t>
            </w:r>
            <w:r>
              <w:rPr>
                <w:sz w:val="22"/>
                <w:szCs w:val="22"/>
              </w:rPr>
              <w:t xml:space="preserve">Hiếu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4/15 đường Tô Hiệu, tổ 223, Phường Hòa Minh, Quận Liên Chiểu, Thành phố Đà Nẵng (</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400/2 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192 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192 </w:t>
            </w:r>
            <w:r>
              <w:rPr>
                <w:color w:val="000000" w:themeColor="text1"/>
                <w:sz w:val="22"/>
                <w:szCs w:val="22"/>
              </w:rPr>
              <w:t xml:space="preserve">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dân cư thông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jc w:val="left"/>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01 </w:t>
            </w: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3 </w:t>
            </w:r>
            <w:r>
              <w:rPr>
                <w:color w:val="000000" w:themeColor="text1"/>
                <w:sz w:val="22"/>
                <w:szCs w:val="22"/>
              </w:rPr>
              <w:t xml:space="preserve">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jc w:val="left"/>
              <w:rPr>
                <w:bCs/>
                <w:i/>
                <w:color w:val="000000" w:themeColor="text1"/>
                <w:sz w:val="22"/>
                <w:szCs w:val="22"/>
              </w:rPr>
            </w:pPr>
            <w:r>
              <w:rPr>
                <w:i/>
                <w:iCs/>
                <w:color w:val="000000" w:themeColor="text1"/>
                <w:sz w:val="22"/>
                <w:szCs w:val="22"/>
              </w:rPr>
              <w:t xml:space="preserve">Số </w:t>
            </w:r>
            <w:r>
              <w:rPr>
                <w:i/>
                <w:iCs/>
                <w:color w:val="000000" w:themeColor="text1"/>
                <w:sz w:val="22"/>
                <w:szCs w:val="22"/>
              </w:rPr>
              <w:t xml:space="preserve">tầng </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1</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3</w:t>
            </w:r>
            <w:r>
              <w:rPr>
                <w:i/>
                <w:iCs/>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jc w:val="left"/>
              <w:rPr>
                <w:bCs/>
                <w:i/>
                <w:color w:val="000000" w:themeColor="text1"/>
                <w:sz w:val="22"/>
                <w:szCs w:val="22"/>
              </w:rPr>
            </w:pPr>
            <w:r>
              <w:rPr>
                <w:i/>
                <w:iCs/>
                <w:color w:val="000000" w:themeColor="text1"/>
                <w:sz w:val="22"/>
                <w:szCs w:val="22"/>
              </w:rPr>
              <w:t xml:space="preserve">Diện </w:t>
            </w:r>
            <w:r>
              <w:rPr>
                <w:i/>
                <w:iCs/>
                <w:color w:val="000000" w:themeColor="text1"/>
                <w:sz w:val="22"/>
                <w:szCs w:val="22"/>
              </w:rPr>
              <w:t xml:space="preserve">tích </w:t>
            </w:r>
            <w:r>
              <w:rPr>
                <w:i/>
                <w:iCs/>
                <w:color w:val="000000" w:themeColor="text1"/>
                <w:sz w:val="22"/>
                <w:szCs w:val="22"/>
              </w:rPr>
              <w:t xml:space="preserve">sử </w:t>
            </w:r>
            <w:r>
              <w:rPr>
                <w:i/>
                <w:iCs/>
                <w:color w:val="000000" w:themeColor="text1"/>
                <w:sz w:val="22"/>
                <w:szCs w:val="22"/>
              </w:rPr>
              <w:t xml:space="preserve">dụng (</w:t>
            </w:r>
            <w:r>
              <w:rPr>
                <w:i/>
                <w:iCs/>
                <w:color w:val="000000"/>
                <w:sz w:val="22"/>
                <w:szCs w:val="22"/>
              </w:rPr>
              <w:t xml:space="preserve">m²)</w:t>
            </w:r>
            <w:r>
              <w:rPr>
                <w:i/>
                <w:iCs/>
                <w:color w:val="000000" w:themeColor="text1"/>
                <w:sz w:val="22"/>
                <w:szCs w:val="22"/>
              </w:rPr>
              <w:t xml:space="preserve"> </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88,2</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260,0</w:t>
            </w:r>
            <w:r>
              <w:rPr>
                <w:i/>
                <w:iCs/>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5.907.500.000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315.459.048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1.833.666.588</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5.109.476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7.836.182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3.509.540.952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4.073.833.412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347"/>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4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3.509.540.952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4.073.833.412</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Kiệt 4/15 đường Tô Hiệu, tổ 223, Phường Hòa Minh, Quận Liên Chiểu, Thành phố Đà Nẵng (</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Kiệt 400/2 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Kiệt 192 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Kiệt 192 </w:t>
            </w:r>
            <w:r>
              <w:rPr>
                <w:color w:val="000000" w:themeColor="text1"/>
                <w:sz w:val="22"/>
                <w:szCs w:val="22"/>
              </w:rPr>
              <w:t xml:space="preserve">Tô Hiệu, Phường Hòa Minh, Quận Liên Chiểu, Thành phố Đà Nẵng </w:t>
            </w:r>
            <w:r>
              <w:rPr>
                <w:color w:val="000000" w:themeColor="text1"/>
                <w:sz w:val="22"/>
                <w:szCs w:val="22"/>
              </w:rPr>
              <w:t xml:space="preserve">(</w:t>
            </w:r>
            <w:r>
              <w:rPr>
                <w:color w:val="000000" w:themeColor="text1"/>
                <w:sz w:val="22"/>
                <w:szCs w:val="22"/>
              </w:rPr>
              <w:t xml:space="preserve">nay </w:t>
            </w:r>
            <w:r>
              <w:rPr>
                <w:sz w:val="22"/>
                <w:szCs w:val="22"/>
              </w:rPr>
              <w:t xml:space="preserve">là </w:t>
            </w:r>
            <w:r>
              <w:rPr>
                <w:sz w:val="22"/>
                <w:szCs w:val="22"/>
              </w:rPr>
              <w:t xml:space="preserve">phường </w:t>
            </w:r>
            <w:r>
              <w:rPr>
                <w:sz w:val="22"/>
                <w:szCs w:val="22"/>
              </w:rPr>
              <w:t xml:space="preserve">Hoà </w:t>
            </w:r>
            <w:r>
              <w:rPr>
                <w:sz w:val="22"/>
                <w:szCs w:val="22"/>
              </w:rPr>
              <w:t xml:space="preserve">Khánh, </w:t>
            </w:r>
            <w:r>
              <w:rPr>
                <w:sz w:val="22"/>
                <w:szCs w:val="22"/>
              </w:rPr>
              <w:t xml:space="preserve">thành </w:t>
            </w:r>
            <w:r>
              <w:rPr>
                <w:sz w:val="22"/>
                <w:szCs w:val="22"/>
              </w:rPr>
              <w:t xml:space="preserve">phố </w:t>
            </w:r>
            <w:r>
              <w:rPr>
                <w:sz w:val="22"/>
                <w:szCs w:val="22"/>
              </w:rPr>
              <w:t xml:space="preserve">Đà </w:t>
            </w:r>
            <w:r>
              <w:rPr>
                <w:sz w:val="22"/>
                <w:szCs w:val="22"/>
              </w:rPr>
              <w:t xml:space="preserve">Nẵng) </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35.424.638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1.771.232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37.195.870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37.346.875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37.195.870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28.75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35.060.349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37.195.870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32.255.521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33.415.625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37.195.870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-1.753.017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30.502.504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37.195.870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30.502.504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31.450.000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37.195.870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33.049.458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4.557.845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7.862.500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1.771.232</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4.557.845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7.862.500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1.771.232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-7.71</w:t>
      </w:r>
      <w:r>
        <w:t xml:space="preserve">% </w:t>
      </w:r>
      <w:r>
        <w:t xml:space="preserve">đến</w:t>
      </w:r>
      <w:r>
        <w:t xml:space="preserve"> </w:t>
      </w:r>
      <w:r>
        <w:t xml:space="preserve">12.55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30.502.504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10.169.535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31.450.000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10.482.285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37.195.870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12.397.383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33.049.203</w:t>
            </w:r>
            <w:r>
              <w:rPr>
                <w:b/>
                <w:bCs/>
                <w:color w:val="000000"/>
              </w:rPr>
            </w:r>
            <w:r>
              <w:rPr>
                <w:b/>
                <w:bCs/>
                <w:color w:val="000000"/>
              </w:rPr>
            </w:r>
          </w:p>
        </w:tc>
      </w:tr>
      <w:tr>
        <w:trPr>
          <w:trHeight w:val="286"/>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33.050.000</w:t>
            </w:r>
            <w:r>
              <w:rPr>
                <w:b/>
                <w:bCs/>
                <w:color w:val="000000"/>
              </w:rPr>
            </w:r>
            <w:r>
              <w:rPr>
                <w:b/>
                <w:bCs/>
                <w:color w:val="000000"/>
              </w:rPr>
            </w:r>
          </w:p>
        </w:tc>
      </w:tr>
    </w:tbl>
    <w:p>
      <w:pPr>
        <w:pBdr/>
        <w:spacing/>
        <w:ind/>
        <w:jc w:val="both"/>
        <w:rPr>
          <w:b/>
          <w:bCs/>
          <w:color w:val="000000"/>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33.050.000</w:t>
      </w:r>
      <w:r>
        <w:rPr>
          <w:b/>
          <w:bCs/>
          <w:color w:val="000000" w:themeColor="text1"/>
        </w:rPr>
        <w:t xml:space="preserve"> </w:t>
      </w:r>
      <w:r>
        <w:rPr>
          <w:b/>
          <w:bCs/>
        </w:rPr>
        <w:t xml:space="preserve">đồng</w:t>
      </w:r>
      <w:r>
        <w:rPr>
          <w:b/>
          <w:bCs/>
        </w:rPr>
        <w:t xml:space="preserve">/m².</w:t>
      </w:r>
      <w:r>
        <w:rPr>
          <w:b/>
          <w:bCs/>
          <w:color w:val="000000"/>
        </w:rPr>
      </w:r>
      <w:r>
        <w:rPr>
          <w:b/>
          <w:bCs/>
          <w:color w:val="000000"/>
        </w:rPr>
      </w:r>
    </w:p>
    <w:p>
      <w:pPr>
        <w:pStyle w:val="1041"/>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41"/>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w:t>
      </w:r>
      <w:r>
        <w:rPr>
          <w:highlight w:val="white"/>
        </w:rPr>
        <w:t xml:space="preserve">Nhà 1 tầng, căn hộ khép kín, kết cấu tường gạch chịu lực, mái tôn</w:t>
      </w:r>
      <w:r>
        <w:t xml:space="preserve">,</w:t>
      </w:r>
      <w:r>
        <w:rPr>
          <w:rFonts w:ascii="Times New Roman" w:hAnsi="Times New Roman" w:eastAsia="Times New Roman" w:cs="Times New Roman"/>
          <w:color w:val="000000"/>
          <w:sz w:val="24"/>
        </w:rPr>
        <w:t xml:space="preserve"> cân nhắc và xem xét với kết cấu của công trình xây dựng hiện có</w:t>
      </w:r>
      <w:r>
        <w:rPr>
          <w:rFonts w:ascii="Times New Roman" w:hAnsi="Times New Roman" w:eastAsia="Times New Roman" w:cs="Times New Roman"/>
          <w:color w:val="000000"/>
          <w:sz w:val="24"/>
        </w:rPr>
        <w:t xml:space="preserve">, tổ thẩm định nhận thấy đơn giá vận dụng theo Quyết định số 409/QĐ-BXD ngày 11 tháng 04 năm 2025 của Bộ Xây dựng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3"/>
          <w:sz w:val="24"/>
          <w:highlight w:val="white"/>
        </w:rPr>
        <w:t xml:space="preserve">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pacing w:val="-4"/>
          <w:sz w:val="24"/>
        </w:rPr>
        <w:t xml:space="preserve">Suất vốn đầu tư của công trình nhà ở riêng lẻ là 5.184.000 đồng/m²</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z w:val="24"/>
        </w:rPr>
        <w:t xml:space="preserve">Hệ số điều chỉnh vùng cho suất vốn đầu tư Vùng 3 – Thành phố </w:t>
      </w:r>
      <w:r>
        <w:rPr>
          <w:rFonts w:ascii="Times New Roman" w:hAnsi="Times New Roman" w:eastAsia="Times New Roman" w:cs="Times New Roman"/>
          <w:i/>
          <w:color w:val="000000"/>
          <w:sz w:val="24"/>
        </w:rPr>
        <w:t xml:space="preserve">Đà </w:t>
      </w:r>
      <w:r>
        <w:rPr>
          <w:rFonts w:ascii="Times New Roman" w:hAnsi="Times New Roman" w:eastAsia="Times New Roman" w:cs="Times New Roman"/>
          <w:i/>
          <w:color w:val="000000"/>
          <w:sz w:val="24"/>
        </w:rPr>
        <w:t xml:space="preserve">Nẵng</w:t>
      </w:r>
      <w:r>
        <w:rPr>
          <w:rFonts w:ascii="Times New Roman" w:hAnsi="Times New Roman" w:eastAsia="Times New Roman" w:cs="Times New Roman"/>
          <w:i/>
          <w:color w:val="000000"/>
          <w:sz w:val="24"/>
        </w:rPr>
        <w:t xml:space="preserve"> là: 1,032.</w:t>
      </w: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b/>
          <w:bCs/>
          <w:sz w:val="24"/>
        </w:rPr>
      </w:pPr>
      <w:r>
        <w:rPr>
          <w:rFonts w:ascii="Times New Roman" w:hAnsi="Times New Roman" w:eastAsia="Times New Roman" w:cs="Times New Roman"/>
          <w:color w:val="000000"/>
          <w:sz w:val="24"/>
        </w:rPr>
        <w:t xml:space="preserve">Như vậy, tổ thẩm định ước </w:t>
      </w:r>
      <w:r>
        <w:rPr>
          <w:rFonts w:ascii="Times New Roman" w:hAnsi="Times New Roman" w:eastAsia="Times New Roman" w:cs="Times New Roman"/>
          <w:color w:val="000000"/>
          <w:spacing w:val="3"/>
          <w:sz w:val="24"/>
        </w:rPr>
        <w:t xml:space="preserve">tính đơn giá xây dựng mới của công trình là </w:t>
      </w:r>
      <w:r>
        <w:rPr>
          <w:rFonts w:ascii="Times New Roman" w:hAnsi="Times New Roman" w:eastAsia="Times New Roman" w:cs="Times New Roman"/>
          <w:b/>
          <w:bCs/>
          <w:i w:val="0"/>
          <w:iCs w:val="0"/>
          <w:color w:val="000000"/>
          <w:spacing w:val="-4"/>
          <w:sz w:val="24"/>
        </w:rPr>
        <w:t xml:space="preserve">5.184.000</w:t>
      </w:r>
      <w:r>
        <w:rPr>
          <w:rFonts w:ascii="Times New Roman" w:hAnsi="Times New Roman" w:eastAsia="Times New Roman" w:cs="Times New Roman"/>
          <w:b/>
          <w:bCs/>
          <w:i w:val="0"/>
          <w:iCs w:val="0"/>
          <w:color w:val="000000"/>
          <w:spacing w:val="3"/>
          <w:sz w:val="24"/>
          <w:highlight w:val="none"/>
        </w:rPr>
        <w:t xml:space="preserve"> </w:t>
      </w:r>
      <w:r>
        <w:rPr>
          <w:rFonts w:ascii="Times New Roman" w:hAnsi="Times New Roman" w:eastAsia="Times New Roman" w:cs="Times New Roman"/>
          <w:b/>
          <w:bCs/>
          <w:color w:val="000000"/>
          <w:spacing w:val="3"/>
          <w:sz w:val="24"/>
          <w:highlight w:val="none"/>
        </w:rPr>
        <w:t xml:space="preserve">x 1,032/1,1 =</w:t>
      </w:r>
      <w:r>
        <w:rPr>
          <w:rFonts w:ascii="Times New Roman" w:hAnsi="Times New Roman" w:eastAsia="Times New Roman" w:cs="Times New Roman"/>
          <w:b/>
          <w:bCs/>
          <w:color w:val="000000"/>
          <w:spacing w:val="3"/>
          <w:sz w:val="24"/>
          <w:highlight w:val="white"/>
        </w:rPr>
        <w:t xml:space="preserve"> </w:t>
      </w:r>
      <w:r>
        <w:rPr>
          <w:rFonts w:ascii="Times New Roman" w:hAnsi="Times New Roman" w:eastAsia="Times New Roman" w:cs="Times New Roman"/>
          <w:b/>
          <w:bCs/>
          <w:color w:val="000000"/>
          <w:spacing w:val="3"/>
          <w:sz w:val="24"/>
          <w:highlight w:val="white"/>
        </w:rPr>
        <w:t xml:space="preserve">4.863.535 đồn</w:t>
      </w:r>
      <w:r>
        <w:rPr>
          <w:rFonts w:ascii="Times New Roman" w:hAnsi="Times New Roman" w:eastAsia="Times New Roman" w:cs="Times New Roman"/>
          <w:b/>
          <w:bCs/>
          <w:color w:val="000000"/>
          <w:spacing w:val="3"/>
          <w:sz w:val="24"/>
          <w:highlight w:val="white"/>
        </w:rPr>
        <w:t xml:space="preserve">g/</w:t>
      </w:r>
      <w:r>
        <w:rPr>
          <w:rFonts w:ascii="Times New Roman" w:hAnsi="Times New Roman" w:eastAsia="Times New Roman" w:cs="Times New Roman"/>
          <w:b/>
          <w:bCs/>
          <w:color w:val="000000"/>
          <w:sz w:val="24"/>
          <w:highlight w:val="white"/>
        </w:rPr>
        <w:t xml:space="preserve">m²</w:t>
      </w:r>
      <w:r>
        <w:rPr>
          <w:rFonts w:ascii="Times New Roman" w:hAnsi="Times New Roman" w:eastAsia="Times New Roman" w:cs="Times New Roman"/>
          <w:b w:val="0"/>
          <w:bCs w:val="0"/>
          <w:color w:val="000000"/>
          <w:spacing w:val="3"/>
          <w:sz w:val="24"/>
          <w:highlight w:val="white"/>
        </w:rPr>
        <w:t xml:space="preserve">.</w:t>
      </w:r>
      <w:r>
        <w:rPr>
          <w:rFonts w:ascii="Times New Roman" w:hAnsi="Times New Roman" w:eastAsia="Times New Roman" w:cs="Times New Roman"/>
          <w:b/>
          <w:bCs/>
          <w:sz w:val="24"/>
          <w:highlight w:val="white"/>
        </w:rPr>
      </w:r>
      <w:r>
        <w:rPr>
          <w:rFonts w:ascii="Times New Roman" w:hAnsi="Times New Roman" w:eastAsia="Times New Roman" w:cs="Times New Roman"/>
          <w:b/>
          <w:bCs/>
          <w:sz w:val="24"/>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bCs/>
          <w:color w:val="000000"/>
          <w:spacing w:val="3"/>
          <w:sz w:val="24"/>
          <w:highlight w:val="white"/>
        </w:rPr>
        <w:t xml:space="preserve"> </w:t>
      </w:r>
      <w:r>
        <w:rPr>
          <w:rFonts w:ascii="Times New Roman" w:hAnsi="Times New Roman" w:eastAsia="Times New Roman" w:cs="Times New Roman"/>
          <w:b/>
          <w:bCs/>
          <w:color w:val="000000"/>
          <w:sz w:val="24"/>
        </w:rPr>
        <w:t xml:space="preserve">Xác định tỷ lệ hao mòn c</w:t>
      </w:r>
      <w:r>
        <w:rPr>
          <w:rFonts w:ascii="Times New Roman" w:hAnsi="Times New Roman" w:eastAsia="Times New Roman" w:cs="Times New Roman"/>
          <w:b/>
          <w:color w:val="000000"/>
          <w:sz w:val="24"/>
        </w:rPr>
        <w:t xml:space="preserve">ủa công trình:</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center"/>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2017, do vậy, Tổ thẩm định xác định tuổi đời hiệu quả của công trình là khoảng 9 năm.</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7"/>
        <w:gridCol w:w="1580"/>
        <w:gridCol w:w="1395"/>
        <w:gridCol w:w="1670"/>
        <w:gridCol w:w="1757"/>
        <w:gridCol w:w="136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Nhà 01 tầng</w:t>
            </w:r>
            <w:r/>
          </w:p>
        </w:tc>
        <w:tc>
          <w:tcPr>
            <w:tcBorders>
              <w:bottom w:val="single" w:color="000000" w:sz="8" w:space="0"/>
              <w:right w:val="single" w:color="000000" w:sz="8" w:space="0"/>
            </w:tcBorders>
            <w:tcMar>
              <w:left w:w="108" w:type="dxa"/>
              <w:top w:w="0" w:type="dxa"/>
              <w:right w:w="108" w:type="dxa"/>
              <w:bottom w:w="0" w:type="dxa"/>
            </w:tcMar>
            <w:tcW w:w="15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18%</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18,0%, tương đương tỷ lệ chất lượng còn lại của tài sản là: 82,0%.</w:t>
      </w:r>
      <w:r/>
    </w:p>
    <w:p>
      <w:pPr>
        <w:pStyle w:val="1041"/>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2"/>
        <w:gridCol w:w="566"/>
        <w:gridCol w:w="4100"/>
        <w:gridCol w:w="707"/>
        <w:gridCol w:w="1979"/>
      </w:tblGrid>
      <w:tr>
        <w:trPr>
          <w:trHeight w:val="794"/>
        </w:trPr>
        <w:tc>
          <w:tcPr>
            <w:shd w:val="clear" w:color="ffffff" w:fill="ffffff"/>
            <w:tcBorders/>
            <w:tcMar>
              <w:left w:w="108" w:type="dxa"/>
              <w:top w:w="0" w:type="dxa"/>
              <w:right w:w="108" w:type="dxa"/>
              <w:bottom w:w="0" w:type="dxa"/>
            </w:tcMar>
            <w:tcW w:w="2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shd w:val="clear" w:color="ffffff" w:fill="ffffff"/>
            <w:tcBorders/>
            <w:tcMar>
              <w:left w:w="108" w:type="dxa"/>
              <w:top w:w="0" w:type="dxa"/>
              <w:right w:w="108" w:type="dxa"/>
              <w:bottom w:w="0" w:type="dxa"/>
            </w:tcMar>
            <w:tcW w:w="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4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shd w:val="clear" w:color="ffffff" w:fill="ffffff"/>
            <w:tcBorders/>
            <w:tcMar>
              <w:left w:w="108" w:type="dxa"/>
              <w:top w:w="0" w:type="dxa"/>
              <w:right w:w="108" w:type="dxa"/>
              <w:bottom w:w="0" w:type="dxa"/>
            </w:tcMar>
            <w:tcW w:w="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spacing w:after="120" w:before="120" w:line="276" w:lineRule="auto"/>
        <w:ind w:firstLine="0" w:left="0"/>
        <w:jc w:val="both"/>
        <w:rPr>
          <w:b/>
          <w:bCs/>
        </w:rPr>
      </w:pPr>
      <w:r>
        <w:rPr>
          <w:b/>
          <w:bCs/>
          <w:highlight w:val="none"/>
        </w:rPr>
      </w:r>
      <w:r>
        <w:rPr>
          <w:b/>
          <w:bCs/>
        </w:rPr>
      </w:r>
      <w:r>
        <w:rPr>
          <w:b/>
          <w:bCs/>
        </w:rPr>
      </w:r>
    </w:p>
    <w:tbl>
      <w:tblPr>
        <w:tblInd w:w="28" w:type="dxa"/>
        <w:tblW w:w="9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7"/>
        <w:gridCol w:w="992"/>
        <w:gridCol w:w="1101"/>
        <w:gridCol w:w="1591"/>
        <w:gridCol w:w="1134"/>
        <w:gridCol w:w="1559"/>
        <w:gridCol w:w="1559"/>
      </w:tblGrid>
      <w:tr>
        <w:trPr>
          <w:trHeight w:val="936"/>
        </w:trPr>
        <w:tc>
          <w:tcPr>
            <w:shd w:val="clear" w:color="000000" w:fill="ffffff"/>
            <w:tcBorders/>
            <w:tcW w:w="1417"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101"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591"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8"/>
        </w:trPr>
        <w:tc>
          <w:tcPr>
            <w:shd w:val="clear" w:color="000000" w:fill="ffffff"/>
            <w:tcBorders/>
            <w:tcW w:w="1417"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101"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9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7" w:type="dxa"/>
            <w:vAlign w:val="center"/>
            <w:textDirection w:val="lrTb"/>
            <w:noWrap w:val="false"/>
          </w:tcPr>
          <w:p>
            <w:pPr>
              <w:pBdr/>
              <w:spacing w:after="60" w:before="60"/>
              <w:ind/>
              <w:jc w:val="center"/>
              <w:rPr>
                <w:sz w:val="22"/>
                <w:szCs w:val="22"/>
              </w:rPr>
            </w:pPr>
            <w:r>
              <w:rPr>
                <w:sz w:val="22"/>
                <w:szCs w:val="22"/>
              </w:rPr>
              <w:t xml:space="preserve">Nhà 01 </w:t>
            </w:r>
            <w:r>
              <w:rPr>
                <w:sz w:val="22"/>
                <w:szCs w:val="22"/>
              </w:rPr>
              <w:t xml:space="preserve">tầng</w:t>
            </w:r>
            <w:r>
              <w:rPr>
                <w:sz w:val="22"/>
                <w:szCs w:val="22"/>
              </w:rPr>
            </w:r>
            <w:r>
              <w:rPr>
                <w:sz w:val="22"/>
                <w:szCs w:val="22"/>
              </w:rPr>
            </w:r>
          </w:p>
        </w:tc>
        <w:tc>
          <w:tcPr>
            <w:tcBorders/>
            <w:tcW w:w="992" w:type="dxa"/>
            <w:vAlign w:val="center"/>
            <w:textDirection w:val="lrTb"/>
            <w:noWrap/>
          </w:tcPr>
          <w:p>
            <w:pPr>
              <w:pBdr/>
              <w:spacing w:after="60" w:before="60"/>
              <w:ind/>
              <w:jc w:val="center"/>
              <w:rPr>
                <w:sz w:val="22"/>
                <w:szCs w:val="22"/>
              </w:rPr>
            </w:pPr>
            <w:r>
              <w:rPr>
                <w:sz w:val="22"/>
                <w:szCs w:val="22"/>
              </w:rPr>
              <w:t xml:space="preserve">96.5</w:t>
            </w:r>
            <w:r>
              <w:rPr>
                <w:sz w:val="22"/>
                <w:szCs w:val="22"/>
              </w:rPr>
            </w:r>
            <w:r>
              <w:rPr>
                <w:sz w:val="22"/>
                <w:szCs w:val="22"/>
              </w:rPr>
            </w:r>
          </w:p>
        </w:tc>
        <w:tc>
          <w:tcPr>
            <w:tcBorders/>
            <w:tcW w:w="11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4.863.535</w:t>
            </w:r>
            <w:r>
              <w:rPr>
                <w:sz w:val="22"/>
                <w:szCs w:val="22"/>
              </w:rPr>
            </w:r>
            <w:r>
              <w:rPr>
                <w:sz w:val="22"/>
                <w:szCs w:val="22"/>
              </w:rPr>
            </w:r>
          </w:p>
        </w:tc>
        <w:tc>
          <w:tcPr>
            <w:tcBorders/>
            <w:tcW w:w="159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469.331.084</w:t>
            </w:r>
            <w:r>
              <w:rPr>
                <w:sz w:val="22"/>
                <w:szCs w:val="22"/>
              </w:rPr>
            </w:r>
            <w:r>
              <w:rPr>
                <w:sz w:val="22"/>
                <w:szCs w:val="22"/>
              </w:rPr>
            </w:r>
          </w:p>
        </w:tc>
        <w:tc>
          <w:tcPr>
            <w:tcBorders/>
            <w:tcW w:w="1134" w:type="dxa"/>
            <w:vAlign w:val="center"/>
            <w:textDirection w:val="lrTb"/>
            <w:noWrap w:val="false"/>
          </w:tcPr>
          <w:p>
            <w:pPr>
              <w:pBdr/>
              <w:spacing w:after="60" w:before="60"/>
              <w:ind/>
              <w:jc w:val="center"/>
              <w:rPr>
                <w:sz w:val="22"/>
                <w:szCs w:val="22"/>
              </w:rPr>
            </w:pPr>
            <w:r>
              <w:rPr>
                <w:sz w:val="22"/>
                <w:szCs w:val="22"/>
              </w:rPr>
              <w:t xml:space="preserve">18%</w:t>
            </w:r>
            <w:r>
              <w:rPr>
                <w:sz w:val="22"/>
                <w:szCs w:val="22"/>
              </w:rPr>
            </w:r>
            <w:r>
              <w:rPr>
                <w:sz w:val="22"/>
                <w:szCs w:val="22"/>
              </w:rPr>
            </w:r>
          </w:p>
        </w:tc>
        <w:tc>
          <w:tcPr>
            <w:tcBorders/>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84.479.595</w:t>
            </w:r>
            <w:r>
              <w:rPr>
                <w:sz w:val="22"/>
                <w:szCs w:val="22"/>
              </w:rPr>
            </w:r>
            <w:r>
              <w:rPr>
                <w:sz w:val="22"/>
                <w:szCs w:val="22"/>
              </w:rPr>
            </w:r>
          </w:p>
        </w:tc>
        <w:tc>
          <w:tcPr>
            <w:tcBorders/>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384.851.489</w:t>
            </w:r>
            <w:r>
              <w:rPr>
                <w:sz w:val="22"/>
                <w:szCs w:val="22"/>
              </w:rPr>
            </w:r>
            <w:r>
              <w:rPr>
                <w:sz w:val="22"/>
                <w:szCs w:val="22"/>
              </w:rPr>
            </w:r>
          </w:p>
        </w:tc>
      </w:tr>
    </w:tbl>
    <w:p>
      <w:pPr>
        <w:pStyle w:val="1041"/>
        <w:pBdr/>
        <w:spacing w:after="120" w:before="120" w:line="276" w:lineRule="auto"/>
        <w:ind w:left="0"/>
        <w:jc w:val="both"/>
        <w:rPr>
          <w:b/>
          <w:lang w:val="pt-BR"/>
        </w:rPr>
      </w:pPr>
      <w:r>
        <w:rPr>
          <w:b/>
          <w:lang w:val="pt-BR"/>
        </w:rPr>
      </w:r>
      <w:r>
        <w:rPr>
          <w:b/>
          <w:lang w:val="pt-BR"/>
        </w:rPr>
      </w:r>
      <w:r>
        <w:rPr>
          <w:b/>
          <w:lang w:val="pt-BR"/>
        </w:rPr>
      </w:r>
    </w:p>
    <w:p>
      <w:pPr>
        <w:pStyle w:val="104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3"/>
        <w:gridCol w:w="1806"/>
        <w:gridCol w:w="1211"/>
        <w:gridCol w:w="2020"/>
        <w:gridCol w:w="1700"/>
        <w:gridCol w:w="1701"/>
      </w:tblGrid>
      <w:tr>
        <w:trPr>
          <w:trHeight w:val="20"/>
        </w:trPr>
        <w:tc>
          <w:tcPr>
            <w:shd w:val="clear" w:color="000000" w:fill="ffffff"/>
            <w:tcBorders/>
            <w:tcW w:w="773"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80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1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00" w:type="dxa"/>
            <w:vAlign w:val="center"/>
            <w:textDirection w:val="lrTb"/>
            <w:noWrap w:val="false"/>
          </w:tcPr>
          <w:p>
            <w:pPr>
              <w:pBdr/>
              <w:spacing/>
              <w:ind/>
              <w:jc w:val="center"/>
              <w:rPr>
                <w:b/>
                <w:bCs/>
              </w:rPr>
            </w:pPr>
            <w:r>
              <w:rPr>
                <w:b/>
                <w:bCs/>
              </w:rPr>
              <w:t xml:space="preserve">T</w:t>
            </w:r>
            <w:r>
              <w:rPr>
                <w:b/>
                <w:bCs/>
              </w:rPr>
              <w:t xml:space="preserve">ỷ </w:t>
            </w:r>
            <w:r>
              <w:rPr>
                <w:b/>
                <w:bCs/>
              </w:rPr>
              <w:t xml:space="preserve">lệ </w:t>
            </w:r>
            <w:r>
              <w:rPr>
                <w:b/>
                <w:bCs/>
              </w:rPr>
              <w:t xml:space="preserve">chất </w:t>
            </w:r>
            <w:r>
              <w:rPr>
                <w:b/>
                <w:bCs/>
              </w:rPr>
              <w:t xml:space="preserve">lượng </w:t>
            </w:r>
            <w:r>
              <w:rPr>
                <w:b/>
                <w:bCs/>
              </w:rPr>
              <w:t xml:space="preserve">còn </w:t>
            </w:r>
            <w:r>
              <w:rPr>
                <w:b/>
                <w:bCs/>
              </w:rPr>
              <w:t xml:space="preserve">lại (%)</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581"/>
        </w:trPr>
        <w:tc>
          <w:tcPr>
            <w:shd w:val="clear" w:color="000000" w:fill="ffffff"/>
            <w:tcBorders/>
            <w:tcW w:w="773"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738" w:type="dxa"/>
            <w:vAlign w:val="center"/>
            <w:textDirection w:val="lrTb"/>
            <w:noWrap w:val="false"/>
          </w:tcPr>
          <w:p>
            <w:pPr>
              <w:pBdr/>
              <w:spacing w:after="40" w:before="40" w:line="288" w:lineRule="auto"/>
              <w:ind/>
              <w:jc w:val="both"/>
              <w:rPr>
                <w:b/>
                <w:bCs/>
              </w:rPr>
            </w:pPr>
            <w:r>
              <w:rPr>
                <w:color w:val="000000"/>
              </w:rPr>
              <w:t xml:space="preserve">Quyền sử dụng đất và công trình xây dựng tại thửa đất số 148, tờ bản đồ số 110, có địa chỉ: Tổ 223, phường Hoà Minh, quận Liên Chiểu, thành </w:t>
            </w:r>
            <w:r>
              <w:rPr>
                <w:color w:val="000000"/>
              </w:rPr>
              <w:t xml:space="preserve">phố Đà Nẵng theo Giấy chứng nhận quyền sử dụng đất, quyền sở hữu tài sản gắn liền với đất số CH 635030, số vào sổ cấp GCN: CTs120864 do Sở Tài nguyên và Môi trường thành phố Đà Nẵng cấp ngày 24 tháng 02 năm 2017, chủ sử dụng đất là bà Phạm Nguyễn Thu Thuỷ.</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73"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806" w:type="dxa"/>
            <w:vAlign w:val="center"/>
            <w:textDirection w:val="lrTb"/>
            <w:noWrap w:val="false"/>
          </w:tcPr>
          <w:p>
            <w:pPr>
              <w:pBdr/>
              <w:spacing w:after="40" w:before="40" w:line="288" w:lineRule="auto"/>
              <w:ind/>
              <w:rPr/>
            </w:pPr>
            <w:r>
              <w:rPr>
                <w:b/>
                <w:bCs/>
              </w:rPr>
              <w:t xml:space="preserve">Đất ở tại đô thị</w:t>
            </w:r>
            <w:r/>
          </w:p>
        </w:tc>
        <w:tc>
          <w:tcPr>
            <w:tcBorders/>
            <w:tcW w:w="1211" w:type="dxa"/>
            <w:vAlign w:val="center"/>
            <w:textDirection w:val="lrTb"/>
            <w:noWrap/>
          </w:tcPr>
          <w:p>
            <w:pPr>
              <w:pBdr/>
              <w:spacing w:after="40" w:before="40" w:line="288" w:lineRule="auto"/>
              <w:ind/>
              <w:jc w:val="center"/>
              <w:rPr>
                <w:color w:val="000000"/>
              </w:rPr>
            </w:pPr>
            <w:r>
              <w:rPr>
                <w:color w:val="000000" w:themeColor="text1"/>
              </w:rPr>
              <w:t xml:space="preserve">96,7</w:t>
            </w:r>
            <w:r>
              <w:rPr>
                <w:color w:val="000000"/>
              </w:rPr>
            </w:r>
            <w:r>
              <w:rPr>
                <w:color w:val="000000"/>
              </w:rPr>
            </w:r>
          </w:p>
        </w:tc>
        <w:tc>
          <w:tcPr>
            <w:shd w:val="clear" w:color="000000" w:fill="ffffff"/>
            <w:tcBorders/>
            <w:tcW w:w="2020" w:type="dxa"/>
            <w:vAlign w:val="center"/>
            <w:textDirection w:val="lrTb"/>
            <w:noWrap w:val="false"/>
          </w:tcPr>
          <w:p>
            <w:pPr>
              <w:pBdr/>
              <w:spacing w:after="40" w:before="40" w:line="288" w:lineRule="auto"/>
              <w:ind/>
              <w:jc w:val="center"/>
              <w:rPr/>
            </w:pPr>
            <w:r>
              <w:rPr>
                <w:color w:val="000000" w:themeColor="text1"/>
              </w:rPr>
              <w:t xml:space="preserve">33.050.000</w:t>
            </w:r>
            <w:r/>
          </w:p>
        </w:tc>
        <w:tc>
          <w:tcPr>
            <w:shd w:val="clear" w:color="000000" w:fill="ffffff"/>
            <w:tcBorders/>
            <w:tcW w:w="170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3.195.935.000</w:t>
            </w:r>
            <w:r/>
          </w:p>
        </w:tc>
      </w:tr>
      <w:tr>
        <w:trPr>
          <w:trHeight w:val="20"/>
        </w:trPr>
        <w:tc>
          <w:tcPr>
            <w:shd w:val="clear" w:color="000000" w:fill="ffffff"/>
            <w:tcBorders/>
            <w:tcW w:w="773"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806" w:type="dxa"/>
            <w:vAlign w:val="center"/>
            <w:textDirection w:val="lrTb"/>
            <w:noWrap w:val="false"/>
          </w:tcPr>
          <w:p>
            <w:pPr>
              <w:pBdr/>
              <w:spacing w:after="40" w:before="40" w:line="288" w:lineRule="auto"/>
              <w:ind/>
              <w:rPr/>
            </w:pPr>
            <w:r>
              <w:rPr>
                <w:b/>
                <w:bCs/>
              </w:rPr>
              <w:t xml:space="preserve">Nhà 01</w:t>
            </w:r>
            <w:r>
              <w:rPr>
                <w:b/>
                <w:bCs/>
              </w:rPr>
              <w:t xml:space="preserve"> </w:t>
            </w:r>
            <w:r>
              <w:rPr>
                <w:b/>
                <w:bCs/>
              </w:rPr>
              <w:t xml:space="preserve">tầng</w:t>
            </w:r>
            <w:r/>
          </w:p>
        </w:tc>
        <w:tc>
          <w:tcPr>
            <w:tcBorders/>
            <w:tcW w:w="1211" w:type="dxa"/>
            <w:vAlign w:val="center"/>
            <w:textDirection w:val="lrTb"/>
            <w:noWrap/>
          </w:tcPr>
          <w:p>
            <w:pPr>
              <w:pBdr/>
              <w:spacing w:after="40" w:before="40" w:line="288" w:lineRule="auto"/>
              <w:ind/>
              <w:jc w:val="center"/>
              <w:rPr>
                <w:color w:val="000000"/>
              </w:rPr>
            </w:pPr>
            <w:r>
              <w:rPr>
                <w:color w:val="000000" w:themeColor="text1"/>
              </w:rPr>
              <w:t xml:space="preserve">96,5</w:t>
            </w:r>
            <w:r>
              <w:rPr>
                <w:color w:val="000000"/>
              </w:rPr>
            </w:r>
            <w:r>
              <w:rPr>
                <w:color w:val="000000"/>
              </w:rPr>
            </w:r>
          </w:p>
        </w:tc>
        <w:tc>
          <w:tcPr>
            <w:shd w:val="clear" w:color="000000" w:fill="ffffff"/>
            <w:tcBorders/>
            <w:tcW w:w="2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4.863.535</w:t>
            </w:r>
            <w:r/>
          </w:p>
        </w:tc>
        <w:tc>
          <w:tcPr>
            <w:shd w:val="clear" w:color="000000" w:fill="ffffff"/>
            <w:tcBorders/>
            <w:tcW w:w="1700" w:type="dxa"/>
            <w:vAlign w:val="center"/>
            <w:textDirection w:val="lrTb"/>
            <w:noWrap w:val="false"/>
          </w:tcPr>
          <w:p>
            <w:pPr>
              <w:pBdr/>
              <w:spacing/>
              <w:ind/>
              <w:jc w:val="center"/>
              <w:rPr>
                <w:color w:val="000000" w:themeColor="text1"/>
              </w:rPr>
            </w:pPr>
            <w:r>
              <w:rPr>
                <w:color w:val="000000" w:themeColor="text1"/>
              </w:rPr>
              <w:t xml:space="preserve">82%</w:t>
            </w:r>
            <w:r>
              <w:rPr>
                <w:color w:val="000000" w:themeColor="text1"/>
              </w:rPr>
            </w:r>
            <w:r>
              <w:rPr>
                <w:color w:val="000000" w:themeColor="text1"/>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384.851.489</w:t>
            </w:r>
            <w:r/>
          </w:p>
        </w:tc>
      </w:tr>
      <w:tr>
        <w:trPr>
          <w:trHeight w:val="411"/>
        </w:trPr>
        <w:tc>
          <w:tcPr>
            <w:gridSpan w:val="5"/>
            <w:tcBorders/>
            <w:tcW w:w="751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3.580.786.489</w:t>
            </w:r>
            <w:r/>
          </w:p>
        </w:tc>
      </w:tr>
      <w:tr>
        <w:trPr>
          <w:trHeight w:val="476"/>
        </w:trPr>
        <w:tc>
          <w:tcPr>
            <w:gridSpan w:val="5"/>
            <w:tcBorders/>
            <w:tcW w:w="751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01" w:type="dxa"/>
            <w:vAlign w:val="center"/>
            <w:textDirection w:val="lrTb"/>
            <w:noWrap/>
          </w:tcPr>
          <w:p>
            <w:pPr>
              <w:pBdr/>
              <w:spacing w:after="40" w:before="40" w:line="288" w:lineRule="auto"/>
              <w:ind/>
              <w:jc w:val="center"/>
              <w:rPr>
                <w:b/>
                <w:bCs/>
                <w:color w:val="000000"/>
              </w:rPr>
            </w:pPr>
            <w:r>
              <w:rPr>
                <w:b/>
                <w:bCs/>
                <w:color w:val="000000"/>
              </w:rPr>
              <w:t xml:space="preserve">3.580.000.000</w:t>
            </w:r>
            <w:r>
              <w:rPr>
                <w:b/>
                <w:bCs/>
                <w:color w:val="000000"/>
              </w:rPr>
            </w:r>
            <w:r>
              <w:rPr>
                <w:b/>
                <w:bCs/>
                <w:color w:val="000000"/>
              </w:rPr>
            </w:r>
          </w:p>
        </w:tc>
      </w:tr>
      <w:tr>
        <w:trPr>
          <w:trHeight w:val="20"/>
        </w:trPr>
        <w:tc>
          <w:tcPr>
            <w:gridSpan w:val="6"/>
            <w:tcBorders/>
            <w:tcW w:w="9213" w:type="dxa"/>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w:t>
            </w:r>
            <w:r>
              <w:rPr>
                <w:b/>
                <w:bCs/>
                <w:i/>
                <w:iCs/>
                <w:color w:val="000000"/>
              </w:rPr>
              <w:t xml:space="preserve">trăm </w:t>
            </w:r>
            <w:r>
              <w:rPr>
                <w:b/>
                <w:bCs/>
                <w:i/>
                <w:iCs/>
                <w:color w:val="000000"/>
              </w:rPr>
              <w:t xml:space="preserve">tám </w:t>
            </w:r>
            <w:r>
              <w:rPr>
                <w:b/>
                <w:bCs/>
                <w:i/>
                <w:iCs/>
                <w:color w:val="000000"/>
              </w:rPr>
              <w:t xml:space="preserve">mươi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275/2026/0307/VFI-CT.69.A</w:t>
      </w:r>
      <w:r>
        <w:rPr>
          <w:color w:val="ff0000"/>
          <w:lang w:val="vi-VN"/>
        </w:rPr>
        <w:t xml:space="preserve"> </w:t>
      </w:r>
      <w:r>
        <w:rPr>
          <w:color w:val="000000" w:themeColor="text1"/>
        </w:rPr>
        <w:t xml:space="preserve">ngày 11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275/2026/0307/VFI-BC.69.A</w:t>
      </w:r>
      <w:r>
        <w:rPr>
          <w:i/>
        </w:rPr>
        <w:t xml:space="preserve"> </w:t>
      </w:r>
      <w:r>
        <w:rPr>
          <w:i/>
        </w:rPr>
        <w:t xml:space="preserve">ngày</w:t>
      </w:r>
      <w:r>
        <w:rPr>
          <w:i/>
          <w:lang w:val="pt-BR"/>
        </w:rPr>
        <w:t xml:space="preserve"> </w:t>
      </w:r>
      <w:r>
        <w:rPr>
          <w:i/>
          <w:lang w:val="pt-BR"/>
        </w:rPr>
        <w:t xml:space="preserve">11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63"/>
        <w:gridCol w:w="4649"/>
      </w:tblGrid>
      <w:tr>
        <w:trPr/>
        <w:tc>
          <w:tcPr>
            <w:tcBorders/>
            <w:tcW w:w="4563"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649"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56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00834" cy="29837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35387" name=""/>
                              <pic:cNvPicPr>
                                <a:picLocks noChangeAspect="1"/>
                              </pic:cNvPicPr>
                              <pic:nvPr/>
                            </pic:nvPicPr>
                            <pic:blipFill rotWithShape="1">
                              <a:blip r:embed="rId19"/>
                              <a:stretch/>
                            </pic:blipFill>
                            <pic:spPr bwMode="auto">
                              <a:xfrm flipH="0" flipV="0">
                                <a:off x="0" y="0"/>
                                <a:ext cx="1800834" cy="2983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1.80pt;height:234.9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649"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31305" cy="29750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94574" name=""/>
                              <pic:cNvPicPr>
                                <a:picLocks noChangeAspect="1"/>
                              </pic:cNvPicPr>
                              <pic:nvPr/>
                            </pic:nvPicPr>
                            <pic:blipFill rotWithShape="1">
                              <a:blip r:embed="rId20"/>
                              <a:stretch/>
                            </pic:blipFill>
                            <pic:spPr bwMode="auto">
                              <a:xfrm flipH="0" flipV="0">
                                <a:off x="0" y="0"/>
                                <a:ext cx="2231304" cy="2975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5.69pt;height:234.2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rHeight w:val="399"/>
        </w:trPr>
        <w:tc>
          <w:tcPr>
            <w:tcBorders/>
            <w:tcW w:w="4563"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649"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425"/>
        </w:trPr>
        <w:tc>
          <w:tcPr>
            <w:tcBorders/>
            <w:tcW w:w="4563" w:type="dxa"/>
            <w:vAlign w:val="center"/>
            <w:textDirection w:val="lrTb"/>
            <w:noWrap w:val="false"/>
          </w:tcPr>
          <w:p>
            <w:pPr>
              <w:pBdr/>
              <w:spacing w:after="120"/>
              <w:ind/>
              <w:jc w:val="center"/>
              <w:rPr>
                <w:b/>
                <w:bCs/>
                <w:i/>
                <w:lang w:val="pt-BR"/>
              </w:rPr>
            </w:pPr>
            <w:r>
              <w:rPr>
                <w:highlight w:val="none"/>
              </w:rPr>
            </w:r>
            <w:r>
              <mc:AlternateContent>
                <mc:Choice Requires="wpg">
                  <w:drawing>
                    <wp:inline xmlns:wp="http://schemas.openxmlformats.org/drawingml/2006/wordprocessingDrawing" distT="0" distB="0" distL="0" distR="0">
                      <wp:extent cx="2043602" cy="15648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77059" name=""/>
                              <pic:cNvPicPr>
                                <a:picLocks noChangeAspect="1"/>
                              </pic:cNvPicPr>
                              <pic:nvPr/>
                            </pic:nvPicPr>
                            <pic:blipFill rotWithShape="1">
                              <a:blip r:embed="rId21"/>
                              <a:srcRect l="0" t="0" r="0" b="17628"/>
                              <a:stretch/>
                            </pic:blipFill>
                            <pic:spPr bwMode="auto">
                              <a:xfrm flipH="0" flipV="0">
                                <a:off x="0" y="0"/>
                                <a:ext cx="2043601" cy="15648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0.91pt;height:123.22pt;mso-wrap-distance-left:0.00pt;mso-wrap-distance-top:0.00pt;mso-wrap-distance-right:0.00pt;mso-wrap-distance-bottom:0.00pt;z-index:1;" stroked="false">
                      <v:imagedata r:id="rId21" o:title="" croptop="0f" cropleft="0f" cropbottom="11553f" cropright="0f"/>
                      <o:lock v:ext="edit" rotation="t"/>
                    </v:shape>
                  </w:pict>
                </mc:Fallback>
              </mc:AlternateContent>
            </w:r>
            <w:r>
              <w:rPr>
                <w:b/>
                <w:bCs/>
                <w:i/>
                <w:lang w:val="pt-BR"/>
              </w:rPr>
            </w:r>
            <w:r>
              <w:rPr>
                <w:b/>
                <w:bCs/>
                <w:i/>
                <w:lang w:val="pt-BR"/>
              </w:rPr>
            </w:r>
          </w:p>
        </w:tc>
        <w:tc>
          <w:tcPr>
            <w:tcBorders/>
            <w:tcW w:w="4649"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69704" cy="16422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58672" name=""/>
                              <pic:cNvPicPr>
                                <a:picLocks noChangeAspect="1"/>
                              </pic:cNvPicPr>
                              <pic:nvPr/>
                            </pic:nvPicPr>
                            <pic:blipFill rotWithShape="1">
                              <a:blip r:embed="rId22"/>
                              <a:stretch/>
                            </pic:blipFill>
                            <pic:spPr bwMode="auto">
                              <a:xfrm flipH="0" flipV="0">
                                <a:off x="0" y="0"/>
                                <a:ext cx="2169703" cy="1642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0.84pt;height:129.3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563"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649"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56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25254" cy="16671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06658" name=""/>
                              <pic:cNvPicPr>
                                <a:picLocks noChangeAspect="1"/>
                              </pic:cNvPicPr>
                              <pic:nvPr/>
                            </pic:nvPicPr>
                            <pic:blipFill rotWithShape="1">
                              <a:blip r:embed="rId23"/>
                              <a:stretch/>
                            </pic:blipFill>
                            <pic:spPr bwMode="auto">
                              <a:xfrm flipH="0" flipV="0">
                                <a:off x="0" y="0"/>
                                <a:ext cx="2225253" cy="1667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5.22pt;height:131.2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649"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33899" cy="159875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87820" name=""/>
                              <pic:cNvPicPr>
                                <a:picLocks noChangeAspect="1"/>
                              </pic:cNvPicPr>
                              <pic:nvPr/>
                            </pic:nvPicPr>
                            <pic:blipFill rotWithShape="1">
                              <a:blip r:embed="rId24"/>
                              <a:stretch/>
                            </pic:blipFill>
                            <pic:spPr bwMode="auto">
                              <a:xfrm flipH="0" flipV="0">
                                <a:off x="0" y="0"/>
                                <a:ext cx="2133898" cy="15987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8.02pt;height:125.8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275/2026/0307/VFI-BC.69.A</w:t>
      </w:r>
      <w:r>
        <w:rPr>
          <w:i/>
        </w:rPr>
        <w:t xml:space="preserve"> </w:t>
      </w:r>
      <w:r>
        <w:rPr>
          <w:i/>
        </w:rPr>
        <w:t xml:space="preserve">ngày</w:t>
      </w:r>
      <w:r>
        <w:rPr>
          <w:i/>
          <w:lang w:val="pt-BR"/>
        </w:rPr>
        <w:t xml:space="preserve"> </w:t>
      </w:r>
      <w:r>
        <w:rPr>
          <w:i/>
          <w:lang w:val="pt-BR"/>
        </w:rPr>
        <w:t xml:space="preserve">11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https://batdongsan.com.vn/ban-nha-rieng-duong-to-hieu-phuong-hoa-minh-47/can-ban-2mt-kiet-oto-dien-tich-110m2-khu-trung-tam-lien-chieu-gia-chi-4-5-ty-pr44150993</w:t>
            </w:r>
            <w:r>
              <w:rPr>
                <w:color w:val="000000" w:themeColor="text1"/>
                <w:sz w:val="22"/>
                <w:szCs w:val="22"/>
              </w:rPr>
              <w:br/>
              <w:t xml:space="preserve">0935452798</w:t>
            </w:r>
            <w:r>
              <w:rPr>
                <w:sz w:val="22"/>
                <w:szCs w:val="22"/>
              </w:rPr>
              <w:t xml:space="preserve"> </w:t>
            </w:r>
            <w:r>
              <w:rPr>
                <w:sz w:val="22"/>
                <w:szCs w:val="22"/>
              </w:rPr>
              <w:br/>
              <w:t xml:space="preserve">(Hoàng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Kiệt Tô Hiệu, Phường Hòa Minh, Quận Liên Chiểu, Thành phố Đà Nẵng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78740" cy="24791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4978739" cy="2479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2.03pt;height:195.2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235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37318211" name="" descr=""/>
                              <pic:cNvPicPr/>
                              <pic:nvPr/>
                            </pic:nvPicPr>
                            <pic:blipFill rotWithShape="1">
                              <a:blip r:embed="rId28"/>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432753" cy="71637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71612" name=""/>
                              <pic:cNvPicPr>
                                <a:picLocks noChangeAspect="1"/>
                              </pic:cNvPicPr>
                              <pic:nvPr/>
                            </pic:nvPicPr>
                            <pic:blipFill rotWithShape="1">
                              <a:blip r:embed="rId29"/>
                              <a:stretch/>
                            </pic:blipFill>
                            <pic:spPr bwMode="auto">
                              <a:xfrm flipH="0" flipV="0">
                                <a:off x="0" y="0"/>
                                <a:ext cx="1432752" cy="716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82pt;height:56.41pt;mso-wrap-distance-left:0.00pt;mso-wrap-distance-top:0.00pt;mso-wrap-distance-right:0.00pt;mso-wrap-distance-bottom:0.00pt;z-index:1;" stroked="false">
                      <v:imagedata r:id="rId29" o:title=""/>
                      <o:lock v:ext="edit" rotation="t"/>
                    </v:shape>
                  </w:pict>
                </mc:Fallback>
              </mc:AlternateContent>
            </w:r>
            <w:r/>
          </w:p>
          <w:p>
            <w:pPr>
              <w:pBdr/>
              <w:spacing/>
              <w:ind/>
              <w:jc w:val="center"/>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https://batdongsan.com.vn/ban-dat-duong-to-hieu-phuong-hoa-minh-47/kiet-oto-k192-vi-tri-dep-o-dau-do-tan-noi-gan-cho-truong-pr44994224</w:t>
            </w:r>
            <w:r>
              <w:rPr>
                <w:color w:val="000000" w:themeColor="text1"/>
                <w:sz w:val="22"/>
                <w:szCs w:val="22"/>
              </w:rPr>
              <w:br/>
              <w:t xml:space="preserve">0974123455</w:t>
            </w:r>
            <w:r>
              <w:rPr>
                <w:sz w:val="22"/>
                <w:szCs w:val="22"/>
              </w:rPr>
              <w:t xml:space="preserve"> </w:t>
            </w:r>
            <w:r>
              <w:rPr>
                <w:sz w:val="22"/>
                <w:szCs w:val="22"/>
              </w:rPr>
              <w:br/>
              <w:t xml:space="preserve">(Huy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Tô Hiệu, Phường Hòa Minh, Quận Liên Chiểu, Thành phố Đà Nẵng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34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26140" cy="14859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99560358" name="" descr=""/>
                              <pic:cNvPicPr/>
                              <pic:nvPr/>
                            </pic:nvPicPr>
                            <pic:blipFill rotWithShape="1">
                              <a:blip r:embed="rId30"/>
                              <a:stretch/>
                            </pic:blipFill>
                            <pic:spPr bwMode="auto">
                              <a:xfrm flipH="0" flipV="0">
                                <a:off x="0" y="0"/>
                                <a:ext cx="3226139" cy="14858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54.03pt;height:117.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87890" cy="1676424"/>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94990278" name="" descr=""/>
                              <pic:cNvPicPr/>
                              <pic:nvPr/>
                            </pic:nvPicPr>
                            <pic:blipFill rotWithShape="1">
                              <a:blip r:embed="rId31"/>
                              <a:stretch/>
                            </pic:blipFill>
                            <pic:spPr bwMode="auto">
                              <a:xfrm rot="0" flipH="0" flipV="0">
                                <a:off x="0" y="0"/>
                                <a:ext cx="1987889" cy="16764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6.53pt;height:132.0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77929" cy="2051794"/>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08199384" name="" descr=""/>
                              <pic:cNvPicPr/>
                              <pic:nvPr/>
                            </pic:nvPicPr>
                            <pic:blipFill rotWithShape="1">
                              <a:blip r:embed="rId32"/>
                              <a:stretch/>
                            </pic:blipFill>
                            <pic:spPr bwMode="auto">
                              <a:xfrm flipH="0" flipV="0">
                                <a:off x="0" y="0"/>
                                <a:ext cx="2377928" cy="20517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24pt;height:161.5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7614" cy="2051794"/>
                      <wp:effectExtent l="0" t="0" r="0" b="0"/>
                      <wp:docPr id="21" name=""/>
                      <wp:cNvGraphicFramePr/>
                      <a:graphic xmlns:a="http://schemas.openxmlformats.org/drawingml/2006/main">
                        <a:graphicData uri="http://schemas.openxmlformats.org/drawingml/2006/picture">
                          <pic:pic xmlns:pic="http://schemas.openxmlformats.org/drawingml/2006/picture">
                            <pic:nvPicPr>
                              <pic:cNvPr id="1090749202" name="" descr=""/>
                              <pic:cNvPicPr/>
                              <pic:nvPr/>
                            </pic:nvPicPr>
                            <pic:blipFill rotWithShape="1">
                              <a:blip r:embed="rId33"/>
                              <a:stretch/>
                            </pic:blipFill>
                            <pic:spPr bwMode="auto">
                              <a:xfrm flipH="0" flipV="0">
                                <a:off x="0" y="0"/>
                                <a:ext cx="2397613" cy="20517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8.79pt;height:161.5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432753" cy="71637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97525" name=""/>
                              <pic:cNvPicPr>
                                <a:picLocks noChangeAspect="1"/>
                              </pic:cNvPicPr>
                              <pic:nvPr/>
                            </pic:nvPicPr>
                            <pic:blipFill rotWithShape="1">
                              <a:blip r:embed="rId29"/>
                              <a:stretch/>
                            </pic:blipFill>
                            <pic:spPr bwMode="auto">
                              <a:xfrm rot="0" flipH="0" flipV="0">
                                <a:off x="0" y="0"/>
                                <a:ext cx="1432750" cy="7163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82pt;height:56.41pt;mso-wrap-distance-left:0.00pt;mso-wrap-distance-top:0.00pt;mso-wrap-distance-right:0.00pt;mso-wrap-distance-bottom:0.00pt;rotation:0;z-index:1;" stroked="false">
                      <v:imagedata r:id="rId29" o:title=""/>
                      <o:lock v:ext="edit" rotation="t"/>
                    </v:shape>
                  </w:pict>
                </mc:Fallback>
              </mc:AlternateContent>
            </w:r>
            <w:r/>
          </w:p>
          <w:p>
            <w:pPr>
              <w:pBdr/>
              <w:spacing/>
              <w:ind/>
              <w:rPr/>
            </w:pPr>
            <w:r/>
            <w:r/>
          </w:p>
          <w:p>
            <w:pPr>
              <w:pBdr/>
              <w:spacing/>
              <w:ind/>
              <w:jc w:val="center"/>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0905897639</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5.907.500.000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613"/>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Tô Hiệu, Phường Hòa Minh, Quận Liên Chiểu, Thành phố Đà Nẵn</w:t>
            </w:r>
            <w:r>
              <w:rPr>
                <w:color w:val="000000" w:themeColor="text1"/>
                <w:sz w:val="22"/>
                <w:szCs w:val="22"/>
              </w:rPr>
              <w:t xml:space="preserve">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83315"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4833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74.2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2354977"/>
                      <wp:effectExtent l="0" t="0" r="0" b="0"/>
                      <wp:docPr id="24" name=""/>
                      <wp:cNvGraphicFramePr/>
                      <a:graphic xmlns:a="http://schemas.openxmlformats.org/drawingml/2006/main">
                        <a:graphicData uri="http://schemas.openxmlformats.org/drawingml/2006/picture">
                          <pic:pic xmlns:pic="http://schemas.openxmlformats.org/drawingml/2006/picture">
                            <pic:nvPicPr>
                              <pic:cNvPr id="52075614" name="" descr=""/>
                              <pic:cNvPicPr/>
                              <pic:nvPr/>
                            </pic:nvPicPr>
                            <pic:blipFill rotWithShape="1">
                              <a:blip r:embed="rId35"/>
                              <a:stretch/>
                            </pic:blipFill>
                            <pic:spPr bwMode="auto">
                              <a:xfrm flipH="0" flipV="0">
                                <a:off x="0" y="0"/>
                                <a:ext cx="2381249" cy="23549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185.43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30840" cy="2354977"/>
                      <wp:effectExtent l="0" t="0" r="0" b="0"/>
                      <wp:docPr id="25" name=""/>
                      <wp:cNvGraphicFramePr/>
                      <a:graphic xmlns:a="http://schemas.openxmlformats.org/drawingml/2006/main">
                        <a:graphicData uri="http://schemas.openxmlformats.org/drawingml/2006/picture">
                          <pic:pic xmlns:pic="http://schemas.openxmlformats.org/drawingml/2006/picture">
                            <pic:nvPicPr>
                              <pic:cNvPr id="544901314" name="" descr=""/>
                              <pic:cNvPicPr/>
                              <pic:nvPr/>
                            </pic:nvPicPr>
                            <pic:blipFill rotWithShape="1">
                              <a:blip r:embed="rId36"/>
                              <a:stretch/>
                            </pic:blipFill>
                            <pic:spPr bwMode="auto">
                              <a:xfrm flipH="0" flipV="0">
                                <a:off x="0" y="0"/>
                                <a:ext cx="2730839" cy="23549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5.03pt;height:185.43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722652" cy="86132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25085" name=""/>
                              <pic:cNvPicPr>
                                <a:picLocks noChangeAspect="1"/>
                              </pic:cNvPicPr>
                              <pic:nvPr/>
                            </pic:nvPicPr>
                            <pic:blipFill rotWithShape="1">
                              <a:blip r:embed="rId37"/>
                              <a:stretch/>
                            </pic:blipFill>
                            <pic:spPr bwMode="auto">
                              <a:xfrm flipH="0" flipV="0">
                                <a:off x="0" y="0"/>
                                <a:ext cx="1722651" cy="861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35.64pt;height:67.82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p>
          <w:p>
            <w:pPr>
              <w:pBdr/>
              <w:spacing/>
              <w:ind/>
              <w:rPr/>
            </w:pPr>
            <w:r/>
            <w:r/>
          </w:p>
          <w:p>
            <w:pPr>
              <w:pBdr/>
              <w:spacing/>
              <w:ind/>
              <w:jc w:val="center"/>
              <w:rPr/>
            </w:pPr>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hd w:val="nil" w:color="auto"/>
        <w:spacing/>
        <w:ind/>
        <w:rPr>
          <w:highlight w:val="none"/>
          <w:lang w:val="pt-BR"/>
        </w:rPr>
      </w:pPr>
      <w:r>
        <w:rPr>
          <w:iCs/>
          <w:lang w:val="pt-BR"/>
        </w:rPr>
        <w:br w:type="page" w:clear="all"/>
      </w:r>
      <w:r>
        <w:rPr>
          <w:lang w:val="pt-BR"/>
        </w:rPr>
      </w:r>
      <w:r>
        <w:rPr>
          <w:highlight w:val="none"/>
          <w:lang w:val="pt-BR"/>
        </w:rPr>
      </w:r>
    </w:p>
    <w:p>
      <w:pPr>
        <w:pBdr/>
        <w:shd w:val="nil" w:color="000000"/>
        <w:spacing/>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5192097" cy="3894073"/>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21080" name=""/>
                        <pic:cNvPicPr>
                          <a:picLocks noChangeAspect="1"/>
                        </pic:cNvPicPr>
                        <pic:nvPr/>
                      </pic:nvPicPr>
                      <pic:blipFill rotWithShape="1">
                        <a:blip r:embed="rId38"/>
                        <a:stretch/>
                      </pic:blipFill>
                      <pic:spPr bwMode="auto">
                        <a:xfrm rot="0" flipH="0" flipV="0">
                          <a:off x="0" y="0"/>
                          <a:ext cx="5192096" cy="389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08.83pt;height:306.62pt;mso-wrap-distance-left:0.00pt;mso-wrap-distance-top:0.00pt;mso-wrap-distance-right:0.00pt;mso-wrap-distance-bottom:0.00pt;rotation:0;z-index:1;" stroked="false">
                <v:imagedata r:id="rId38" o:title=""/>
                <o:lock v:ext="edit" rotation="t"/>
              </v:shape>
            </w:pict>
          </mc:Fallback>
        </mc:AlternateContent>
      </w:r>
      <w:r>
        <w:rPr>
          <w:iCs/>
          <w:highlight w:val="none"/>
          <w:lang w:val="pt-BR"/>
        </w:rPr>
      </w:r>
      <w:r>
        <w:rPr>
          <w:lang w:val="pt-BR"/>
        </w:rPr>
      </w:r>
    </w:p>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5192097" cy="3894073"/>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8580" name=""/>
                        <pic:cNvPicPr>
                          <a:picLocks noChangeAspect="1"/>
                        </pic:cNvPicPr>
                        <pic:nvPr/>
                      </pic:nvPicPr>
                      <pic:blipFill rotWithShape="1">
                        <a:blip r:embed="rId39"/>
                        <a:stretch/>
                      </pic:blipFill>
                      <pic:spPr bwMode="auto">
                        <a:xfrm flipH="0" flipV="0">
                          <a:off x="0" y="0"/>
                          <a:ext cx="5192097" cy="389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08.83pt;height:306.62pt;mso-wrap-distance-left:0.00pt;mso-wrap-distance-top:0.00pt;mso-wrap-distance-right:0.00pt;mso-wrap-distance-bottom:0.00pt;z-index:1;" stroked="false">
                <v:imagedata r:id="rId39" o:title=""/>
                <o:lock v:ext="edit" rotation="t"/>
              </v:shape>
            </w:pict>
          </mc:Fallback>
        </mc:AlternateContent>
      </w:r>
      <w:r>
        <w:rPr>
          <w:iCs/>
          <w:lang w:val="pt-BR"/>
        </w:rPr>
      </w:r>
      <w:r>
        <w:rPr>
          <w:iCs/>
          <w:highlight w:val="none"/>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5850255" cy="780034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62725" name=""/>
                        <pic:cNvPicPr>
                          <a:picLocks noChangeAspect="1"/>
                        </pic:cNvPicPr>
                        <pic:nvPr/>
                      </pic:nvPicPr>
                      <pic:blipFill rotWithShape="1">
                        <a:blip r:embed="rId40"/>
                        <a:stretch/>
                      </pic:blipFill>
                      <pic:spPr bwMode="auto">
                        <a:xfrm>
                          <a:off x="0" y="0"/>
                          <a:ext cx="5850254" cy="7800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0.65pt;height:614.20pt;mso-wrap-distance-left:0.00pt;mso-wrap-distance-top:0.00pt;mso-wrap-distance-right:0.00pt;mso-wrap-distance-bottom:0.00pt;z-index:1;" stroked="false">
                <v:imagedata r:id="rId40"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1163"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67626E5"/>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34226C87"/>
    <w:lvl w:ilvl="0">
      <w:isLgl w:val="false"/>
      <w:lvlJc w:val="left"/>
      <w:lvlText w:val="-"/>
      <w:numFmt w:val="bullet"/>
      <w:pPr>
        <w:pBdr/>
        <w:spacing/>
        <w:ind w:hanging="360" w:left="993"/>
      </w:pPr>
      <w:rPr>
        <w:rFonts w:hint="default"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9">
    <w:nsid w:val="01FF8B26"/>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40B2FB2A"/>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B3EDE9B"/>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F6D4956"/>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47E39238"/>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34226C87"/>
    <w:lvl w:ilvl="0">
      <w:isLgl w:val="false"/>
      <w:lvlJc w:val="left"/>
      <w:lvlText w:val="-"/>
      <w:numFmt w:val="bullet"/>
      <w:pPr>
        <w:pBdr/>
        <w:spacing/>
        <w:ind w:hanging="360" w:left="993"/>
      </w:pPr>
      <w:rPr>
        <w:rFonts w:hint="default"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510</cp:revision>
  <dcterms:created xsi:type="dcterms:W3CDTF">2025-09-15T02:01:00Z</dcterms:created>
  <dcterms:modified xsi:type="dcterms:W3CDTF">2026-02-11T06:09:25Z</dcterms:modified>
</cp:coreProperties>
</file>