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99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34"/>
        <w:gridCol w:w="1134"/>
      </w:tblGrid>
      <w:tr>
        <w:trPr>
          <w:gridAfter w:val="1"/>
        </w:trPr>
        <w:tc>
          <w:tcPr>
            <w:tcBorders/>
            <w:tcMar>
              <w:left w:w="0" w:type="dxa"/>
              <w:top w:w="0" w:type="dxa"/>
              <w:right w:w="0" w:type="dxa"/>
              <w:bottom w:w="0" w:type="dxa"/>
            </w:tcMar>
            <w:tcW w:w="1800" w:type="dxa"/>
            <w:vAlign w:val="center"/>
            <w:textDirection w:val="lrTb"/>
            <w:noWrap w:val="false"/>
          </w:tcPr>
          <w:p>
            <w:pPr>
              <w:pBdr/>
              <w:spacing w:after="0" w:before="0" w:line="240" w:lineRule="auto"/>
              <w:ind/>
              <w:rPr/>
            </w:pPr>
            <w:r/>
            <w:r/>
          </w:p>
        </w:tc>
      </w:tr>
      <w:tr>
        <w:trPr/>
        <w:tc>
          <w:tcPr>
            <w:tcBorders/>
            <w:tcMar>
              <w:left w:w="0" w:type="dxa"/>
              <w:top w:w="0" w:type="dxa"/>
              <w:right w:w="0" w:type="dxa"/>
              <w:bottom w:w="0" w:type="dxa"/>
            </w:tcMar>
            <w:tcW w:w="1800"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17365d"/>
                <w:sz w:val="30"/>
              </w:rPr>
              <w:t xml:space="preserve">CHỨNG THƯ, BÁO CÁO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275/2026/0295/VFI-CT.44.A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w:t>
            </w:r>
            <w:r>
              <w:rPr>
                <w:rFonts w:ascii="Times New Roman Bold" w:hAnsi="Times New Roman Bold"/>
                <w:b/>
                <w:color w:val="000000" w:themeColor="text1"/>
                <w:lang w:val="pt-BR"/>
              </w:rPr>
              <w:t xml:space="preserve">Bà Vũ Thị Hoa</w:t>
            </w:r>
            <w:r>
              <w:rPr>
                <w:rFonts w:ascii="Times New Roman" w:hAnsi="Times New Roman" w:eastAsia="Times New Roman" w:cs="Times New Roman"/>
                <w:b/>
                <w:color w:val="000000"/>
                <w:sz w:val="24"/>
              </w:rPr>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w:t>
            </w:r>
            <w:r>
              <w:rPr>
                <w:color w:val="000000" w:themeColor="text1"/>
              </w:rPr>
              <w:t xml:space="preserve">Q</w:t>
            </w:r>
            <w:r>
              <w:rPr>
                <w:color w:val="000000" w:themeColor="text1"/>
              </w:rPr>
              <w:t xml:space="preserve">uyền sử dụng đất và tài sản gắn liền với đất tại thửa đất số: 47, tờ bản đồ số 68</w:t>
            </w:r>
            <w:r>
              <w:rPr>
                <w:color w:val="000000" w:themeColor="text1"/>
              </w:rPr>
              <w:t xml:space="preserve"> có địa chỉ: </w:t>
            </w:r>
            <w:r>
              <w:rPr>
                <w:color w:val="000000" w:themeColor="text1"/>
              </w:rPr>
              <w:t xml:space="preserve">Xóm 1, xã Chợ Mới, tỉnh Thái Nguyên</w:t>
            </w:r>
            <w:r>
              <w:rPr>
                <w:color w:val="000000" w:themeColor="text1"/>
              </w:rPr>
              <w:t xml:space="preserve"> theo Giấy chứng nhận quyền sử dụng đất, quyền sở hữu nhà ở và tài sản khá</w:t>
            </w:r>
            <w:r>
              <w:rPr>
                <w:color w:val="000000" w:themeColor="text1"/>
              </w:rPr>
              <w:t xml:space="preserve">c gắn liền với đ</w:t>
            </w:r>
            <w:r>
              <w:rPr>
                <w:color w:val="000000" w:themeColor="text1"/>
                <w:highlight w:val="yellow"/>
              </w:rPr>
              <w:t xml:space="preserve">ất số</w:t>
            </w:r>
            <w:r>
              <w:rPr>
                <w:color w:val="000000" w:themeColor="text1"/>
              </w:rPr>
              <w:t xml:space="preserve">: CI 605946, số vào sổ cấp GCN: CH01476 do UBND Huyện Chợ Mới cấp ngày 14/11/2018; Chủ sử dụng đất là Bà Vũ Thị Hoa</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02/2026.</w:t>
            </w:r>
            <w:r/>
          </w:p>
          <w:p>
            <w:pPr>
              <w:pBdr/>
              <w:spacing w:after="0" w:before="0" w:line="240" w:lineRule="auto"/>
              <w:ind/>
              <w:rPr/>
            </w:pPr>
            <w:r/>
            <w:r/>
          </w:p>
        </w:tc>
      </w:tr>
    </w:tbl>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99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22-24</w:t>
            </w:r>
            <w:r>
              <w:rPr>
                <w:b/>
                <w:bCs/>
              </w:rPr>
            </w:r>
            <w:r>
              <w:rPr>
                <w:b/>
                <w:bCs/>
              </w:rPr>
            </w:r>
          </w:p>
        </w:tc>
      </w:tr>
      <w:tr>
        <w:trPr/>
        <w:tc>
          <w:tcPr>
            <w:tcBorders/>
            <w:tcMar>
              <w:left w:w="108" w:type="dxa"/>
              <w:right w:w="108" w:type="dxa"/>
            </w:tcMar>
            <w:tcW w:w="7280" w:type="dxa"/>
            <w:vAlign w:val="center"/>
            <w:textDirection w:val="lrTb"/>
            <w:noWrap w:val="false"/>
          </w:tcPr>
          <w:p>
            <w:pPr>
              <w:pStyle w:val="99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r>
              <w:rPr>
                <w:b/>
                <w:bCs/>
              </w:rPr>
            </w:r>
          </w:p>
        </w:tc>
      </w:tr>
    </w:tbl>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93"/>
        <w:pBdr/>
        <w:tabs>
          <w:tab w:val="left" w:leader="none" w:pos="5103"/>
        </w:tabs>
        <w:spacing w:line="360" w:lineRule="auto"/>
        <w:ind/>
        <w:rPr>
          <w:b/>
          <w:sz w:val="22"/>
          <w:szCs w:val="22"/>
          <w:lang w:val="vi-VN"/>
        </w:rPr>
        <w:sectPr>
          <w:footerReference w:type="first" r:id="rId9"/>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1"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3" w:tooltip="mailto:ilotus.contact@gmail.com" w:history="1">
              <w:r>
                <w:rPr>
                  <w:rStyle w:val="98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993"/>
              <w:pBdr/>
              <w:spacing w:after="60"/>
              <w:ind/>
              <w:rPr>
                <w:color w:val="000000" w:themeColor="text1"/>
                <w:sz w:val="24"/>
                <w:szCs w:val="24"/>
              </w:rPr>
            </w:pPr>
            <w:r>
              <w:rPr>
                <w:rStyle w:val="992"/>
                <w:rFonts w:ascii="Times New Roman" w:hAnsi="Times New Roman"/>
                <w:color w:val="000000" w:themeColor="text1"/>
                <w:lang w:val="pt-BR"/>
              </w:rPr>
              <w:t xml:space="preserve">Số</w:t>
            </w:r>
            <w:r>
              <w:rPr>
                <w:rStyle w:val="992"/>
                <w:rFonts w:ascii="Times New Roman" w:hAnsi="Times New Roman"/>
                <w:color w:val="000000" w:themeColor="text1"/>
                <w:lang w:val="pt-BR"/>
              </w:rPr>
              <w:t xml:space="preserve">: </w:t>
            </w:r>
            <w:r>
              <w:rPr>
                <w:rStyle w:val="992"/>
                <w:rFonts w:ascii="Times New Roman" w:hAnsi="Times New Roman"/>
                <w:color w:val="000000" w:themeColor="text1"/>
                <w:lang w:val="pt-BR"/>
              </w:rPr>
              <w:t xml:space="preserve">275/2026/0295/VFI-CT.44.A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993"/>
              <w:pBdr/>
              <w:spacing w:after="60"/>
              <w:ind w:right="-56"/>
              <w:jc w:val="right"/>
              <w:rPr>
                <w:color w:val="000000" w:themeColor="text1"/>
                <w:sz w:val="24"/>
                <w:szCs w:val="24"/>
                <w:lang w:val="vi-VN"/>
              </w:rPr>
            </w:pPr>
            <w:r>
              <w:rPr>
                <w:rStyle w:val="992"/>
                <w:rFonts w:ascii="Times New Roman" w:hAnsi="Times New Roman"/>
                <w:i/>
                <w:color w:val="auto"/>
              </w:rPr>
              <w:t xml:space="preserve">TP. </w:t>
            </w:r>
            <w:r>
              <w:rPr>
                <w:rStyle w:val="992"/>
                <w:rFonts w:ascii="Times New Roman" w:hAnsi="Times New Roman"/>
                <w:i/>
                <w:color w:val="auto"/>
              </w:rPr>
              <w:t xml:space="preserve">Hà</w:t>
            </w:r>
            <w:r>
              <w:rPr>
                <w:rStyle w:val="992"/>
                <w:rFonts w:ascii="Times New Roman" w:hAnsi="Times New Roman"/>
                <w:i/>
                <w:color w:val="auto"/>
              </w:rPr>
              <w:t xml:space="preserve"> </w:t>
            </w:r>
            <w:r>
              <w:rPr>
                <w:rStyle w:val="992"/>
                <w:rFonts w:ascii="Times New Roman" w:hAnsi="Times New Roman"/>
                <w:i/>
                <w:color w:val="auto"/>
              </w:rPr>
              <w:t xml:space="preserve">Nội</w:t>
            </w:r>
            <w:r>
              <w:rPr>
                <w:rStyle w:val="992"/>
                <w:rFonts w:ascii="Times New Roman" w:hAnsi="Times New Roman"/>
                <w:i/>
                <w:color w:val="auto"/>
                <w:lang w:val="vi-VN"/>
              </w:rPr>
              <w:t xml:space="preserve">, </w:t>
            </w:r>
            <w:r>
              <w:rPr>
                <w:rStyle w:val="992"/>
                <w:rFonts w:ascii="Times New Roman" w:hAnsi="Times New Roman"/>
                <w:i/>
                <w:color w:val="000000" w:themeColor="text1"/>
                <w:lang w:val="vi-VN"/>
              </w:rPr>
              <w:t xml:space="preserve">ngày 9 tháng 2 năm 2026</w:t>
            </w:r>
            <w:r>
              <w:rPr>
                <w:color w:val="000000" w:themeColor="text1"/>
                <w:sz w:val="24"/>
                <w:szCs w:val="24"/>
                <w:lang w:val="vi-VN"/>
              </w:rPr>
            </w:r>
            <w:r>
              <w:rPr>
                <w:color w:val="000000" w:themeColor="text1"/>
                <w:sz w:val="24"/>
                <w:szCs w:val="24"/>
                <w:lang w:val="vi-VN"/>
              </w:rPr>
            </w:r>
          </w:p>
        </w:tc>
      </w:tr>
    </w:tbl>
    <w:p>
      <w:pPr>
        <w:pStyle w:val="993"/>
        <w:pBdr/>
        <w:spacing w:after="120" w:before="200" w:line="288" w:lineRule="auto"/>
        <w:ind/>
        <w:jc w:val="center"/>
        <w:rPr>
          <w:rStyle w:val="992"/>
          <w:rFonts w:ascii="Times New Roman" w:hAnsi="Times New Roman"/>
          <w:b/>
          <w:bCs/>
          <w:color w:val="auto"/>
          <w:sz w:val="30"/>
          <w:szCs w:val="30"/>
          <w:lang w:val="vi-VN"/>
        </w:rPr>
      </w:pPr>
      <w:r>
        <w:rPr>
          <w:rStyle w:val="992"/>
          <w:rFonts w:ascii="Times New Roman" w:hAnsi="Times New Roman"/>
          <w:b/>
          <w:bCs/>
          <w:color w:val="auto"/>
          <w:sz w:val="30"/>
          <w:szCs w:val="30"/>
          <w:lang w:val="vi-VN"/>
        </w:rPr>
        <w:t xml:space="preserve">CHỨNG THƯ THẨM ĐỊNH GIÁ</w:t>
      </w:r>
      <w:r>
        <w:rPr>
          <w:rStyle w:val="992"/>
          <w:rFonts w:ascii="Times New Roman" w:hAnsi="Times New Roman"/>
          <w:b/>
          <w:bCs/>
          <w:color w:val="auto"/>
          <w:sz w:val="30"/>
          <w:szCs w:val="30"/>
          <w:lang w:val="vi-VN"/>
        </w:rPr>
      </w:r>
      <w:r>
        <w:rPr>
          <w:rStyle w:val="99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Vũ Thị Hoa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275/2026/0295/VFI-HĐTĐ.44.A</w:t>
      </w:r>
      <w:r>
        <w:rPr>
          <w:spacing w:val="-4"/>
          <w:lang w:val="vi-VN"/>
        </w:rPr>
        <w:t xml:space="preserve"> ký ngày </w:t>
      </w:r>
      <w:r>
        <w:rPr>
          <w:color w:val="000000" w:themeColor="text1"/>
          <w:spacing w:val="-4"/>
        </w:rPr>
        <w:t xml:space="preserve">3 tháng 2 năm 2026</w:t>
      </w:r>
      <w:r>
        <w:rPr>
          <w:spacing w:val="-4"/>
          <w:lang w:val="vi-VN"/>
        </w:rPr>
        <w:t xml:space="preserve"> </w:t>
      </w:r>
      <w:r>
        <w:rPr>
          <w:spacing w:val="-4"/>
          <w:lang w:val="vi-VN"/>
        </w:rPr>
        <w:t xml:space="preserve">giữa </w:t>
      </w:r>
      <w:r>
        <w:rPr>
          <w:color w:val="000000" w:themeColor="text1"/>
          <w:spacing w:val="-4"/>
        </w:rPr>
        <w:t xml:space="preserve">Bà Vũ Thị Hoa</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275/2026/0295/VFI-BC.44.A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t xml:space="preserve">VŨ THỊ HOA</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006173004030</w:t>
            </w:r>
            <w:r>
              <w:rPr>
                <w:color w:val="ff0000"/>
                <w:lang w:val="pt-BR"/>
              </w:rPr>
            </w:r>
            <w:r>
              <w:rPr>
                <w:color w:val="ff0000"/>
                <w:lang w:val="pt-BR"/>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1 xã Chợ Mới, Tỉnh Thái Nguyên</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w:t>
      </w:r>
      <w:r>
        <w:rPr>
          <w:color w:val="000000" w:themeColor="text1"/>
        </w:rPr>
        <w:t xml:space="preserve">uyền sử dụng đất và tài sản gắn liền với đất tại thửa đất số: 47, tờ bản đồ số 68</w:t>
      </w:r>
      <w:r>
        <w:rPr>
          <w:color w:val="000000" w:themeColor="text1"/>
        </w:rPr>
        <w:t xml:space="preserve"> có địa chỉ: </w:t>
      </w:r>
      <w:r>
        <w:rPr>
          <w:color w:val="000000" w:themeColor="text1"/>
        </w:rPr>
        <w:t xml:space="preserve">Xóm 1, xã Chợ Mới, tỉnh Thái Nguyên</w:t>
      </w:r>
      <w:r>
        <w:rPr>
          <w:color w:val="000000" w:themeColor="text1"/>
        </w:rPr>
        <w:t xml:space="preserve"> theo Giấy chứng nhận quyền sử dụng đất, quyền sở hữu nhà ở và tài sản khá</w:t>
      </w:r>
      <w:r>
        <w:rPr>
          <w:color w:val="000000" w:themeColor="text1"/>
        </w:rPr>
        <w:t xml:space="preserve">c gắn liền với đ</w:t>
      </w:r>
      <w:r>
        <w:rPr>
          <w:color w:val="000000" w:themeColor="text1"/>
          <w:highlight w:val="yellow"/>
        </w:rPr>
        <w:t xml:space="preserve">ất số</w:t>
      </w:r>
      <w:r>
        <w:rPr>
          <w:color w:val="000000" w:themeColor="text1"/>
        </w:rPr>
        <w:t xml:space="preserve">: CI 605946, số vào sổ cấp GCN: CH01476 do UBND Huyện Chợ Mới cấp ngày 14/11/2018; Chủ sử dụng đất là Bà Vũ Thị Hoa</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yellow"/>
              </w:rPr>
            </w:pPr>
            <w:r>
              <w:rPr>
                <w:color w:val="000000"/>
                <w:highlight w:val="yellow"/>
              </w:rPr>
            </w:r>
            <w:r>
              <w:rPr>
                <w:color w:val="000000"/>
                <w:highlight w:val="yellow"/>
              </w:rPr>
              <w:t xml:space="preserve">Q</w:t>
            </w:r>
            <w:r>
              <w:rPr>
                <w:color w:val="000000"/>
                <w:highlight w:val="yellow"/>
              </w:rPr>
              <w:t xml:space="preserve">uy</w:t>
            </w:r>
            <w:r>
              <w:rPr>
                <w:color w:val="000000"/>
                <w:highlight w:val="yellow"/>
              </w:rPr>
              <w:t xml:space="preserve">ền sử dụng đất và tài sản gắn liền với đất tại thửa đất số: 47, tờ bản đồ số 68 có địa chỉ: Xóm 1, xã Chợ Mới, tỉnh Thái Nguyên theo Giấy chứng nhận quyền sử dụng đất, quyền sở hữu nhà ở và tài sản khá</w:t>
            </w:r>
            <w:r>
              <w:rPr>
                <w:color w:val="000000"/>
                <w:highlight w:val="yellow"/>
              </w:rPr>
              <w:t xml:space="preserve">c gắn liền với đất  số: CI 605946, số vào sổ cấp GCN: CH01476 do UBND Huyện Chợ Mới cấp ngày 14/11/2018; Chủ sử dụng đất là Bà Vũ Thị Hoa</w:t>
            </w:r>
            <w:r>
              <w:rPr>
                <w:b/>
                <w:bCs/>
                <w:highlight w:val="yellow"/>
              </w:rPr>
              <w:t xml:space="preserve">.</w:t>
            </w:r>
            <w:r>
              <w:rPr>
                <w:b/>
                <w:bCs/>
                <w:highlight w:val="yellow"/>
              </w:rPr>
            </w:r>
            <w:r>
              <w:rPr>
                <w:b/>
                <w:bCs/>
                <w:highlight w:val="yellow"/>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61,3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9.120.000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559.056.000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Nhà 06 tầng</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367,8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2.814.076.419</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3.373.132.419</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3.373.100.000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ba trăm bảy mươi ba triệu một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2"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4" w:tooltip="mailto:ilotus.contact@gmail.com" w:history="1">
              <w:r>
                <w:rPr>
                  <w:rStyle w:val="98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993"/>
              <w:pBdr/>
              <w:spacing w:after="60"/>
              <w:ind/>
              <w:rPr>
                <w:color w:val="000000" w:themeColor="text1"/>
                <w:sz w:val="24"/>
                <w:szCs w:val="24"/>
              </w:rPr>
            </w:pPr>
            <w:r>
              <w:rPr>
                <w:rStyle w:val="992"/>
                <w:rFonts w:ascii="Times New Roman" w:hAnsi="Times New Roman"/>
                <w:color w:val="000000" w:themeColor="text1"/>
                <w:lang w:val="pt-BR"/>
              </w:rPr>
              <w:t xml:space="preserve">Số</w:t>
            </w:r>
            <w:r>
              <w:rPr>
                <w:rStyle w:val="992"/>
                <w:rFonts w:ascii="Times New Roman" w:hAnsi="Times New Roman"/>
                <w:color w:val="000000" w:themeColor="text1"/>
                <w:lang w:val="pt-BR"/>
              </w:rPr>
              <w:t xml:space="preserve">: </w:t>
            </w:r>
            <w:r>
              <w:rPr>
                <w:rStyle w:val="992"/>
                <w:rFonts w:ascii="Times New Roman" w:hAnsi="Times New Roman"/>
                <w:color w:val="000000" w:themeColor="text1"/>
                <w:lang w:val="pt-BR"/>
              </w:rPr>
              <w:t xml:space="preserve">275/2026/0295/VFI</w:t>
            </w:r>
            <w:r>
              <w:rPr>
                <w:rStyle w:val="992"/>
                <w:rFonts w:ascii="Times New Roman" w:hAnsi="Times New Roman"/>
                <w:color w:val="000000" w:themeColor="text1"/>
                <w:highlight w:val="yellow"/>
                <w:lang w:val="pt-BR"/>
              </w:rPr>
              <w:t xml:space="preserve">-BC.4</w:t>
            </w:r>
            <w:r>
              <w:rPr>
                <w:rStyle w:val="992"/>
                <w:rFonts w:ascii="Times New Roman" w:hAnsi="Times New Roman"/>
                <w:color w:val="000000" w:themeColor="text1"/>
                <w:lang w:val="pt-BR"/>
              </w:rPr>
              <w:t xml:space="preserve">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993"/>
              <w:pBdr/>
              <w:spacing w:after="60"/>
              <w:ind w:right="-56"/>
              <w:jc w:val="right"/>
              <w:rPr>
                <w:color w:val="000000" w:themeColor="text1"/>
                <w:sz w:val="24"/>
                <w:szCs w:val="24"/>
                <w:lang w:val="vi-VN"/>
              </w:rPr>
            </w:pPr>
            <w:r>
              <w:rPr>
                <w:rStyle w:val="992"/>
                <w:rFonts w:ascii="Times New Roman" w:hAnsi="Times New Roman"/>
                <w:i/>
                <w:color w:val="auto"/>
              </w:rPr>
              <w:t xml:space="preserve">TP. </w:t>
            </w:r>
            <w:r>
              <w:rPr>
                <w:rStyle w:val="992"/>
                <w:rFonts w:ascii="Times New Roman" w:hAnsi="Times New Roman"/>
                <w:i/>
                <w:color w:val="auto"/>
              </w:rPr>
              <w:t xml:space="preserve">Hà</w:t>
            </w:r>
            <w:r>
              <w:rPr>
                <w:rStyle w:val="992"/>
                <w:rFonts w:ascii="Times New Roman" w:hAnsi="Times New Roman"/>
                <w:i/>
                <w:color w:val="auto"/>
              </w:rPr>
              <w:t xml:space="preserve"> </w:t>
            </w:r>
            <w:r>
              <w:rPr>
                <w:rStyle w:val="992"/>
                <w:rFonts w:ascii="Times New Roman" w:hAnsi="Times New Roman"/>
                <w:i/>
                <w:color w:val="auto"/>
              </w:rPr>
              <w:t xml:space="preserve">Nội</w:t>
            </w:r>
            <w:r>
              <w:rPr>
                <w:rStyle w:val="992"/>
                <w:rFonts w:ascii="Times New Roman" w:hAnsi="Times New Roman"/>
                <w:i/>
                <w:color w:val="auto"/>
                <w:lang w:val="vi-VN"/>
              </w:rPr>
              <w:t xml:space="preserve">, </w:t>
            </w:r>
            <w:r>
              <w:rPr>
                <w:rStyle w:val="992"/>
                <w:rFonts w:ascii="Times New Roman" w:hAnsi="Times New Roman"/>
                <w:i/>
                <w:color w:val="000000" w:themeColor="text1"/>
                <w:lang w:val="vi-VN"/>
              </w:rPr>
              <w:t xml:space="preserve">ngày 9 tháng 2 năm 2026</w:t>
            </w:r>
            <w:r>
              <w:rPr>
                <w:color w:val="000000" w:themeColor="text1"/>
                <w:sz w:val="24"/>
                <w:szCs w:val="24"/>
                <w:lang w:val="vi-VN"/>
              </w:rPr>
            </w:r>
            <w:r>
              <w:rPr>
                <w:color w:val="000000" w:themeColor="text1"/>
                <w:sz w:val="24"/>
                <w:szCs w:val="24"/>
                <w:lang w:val="vi-VN"/>
              </w:rPr>
            </w:r>
          </w:p>
        </w:tc>
      </w:tr>
    </w:tbl>
    <w:p>
      <w:pPr>
        <w:pStyle w:val="99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97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275/2026/0295/VFI-CT.44.A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97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99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VŨ THỊ HOA</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006173004030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1 xã Chợ Mới, Tỉnh Thái Nguyên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99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highlight w:val="yellow"/>
              </w:rPr>
            </w:pPr>
            <w:r>
              <w:rPr>
                <w:bCs/>
                <w:color w:val="000000" w:themeColor="text1"/>
                <w:highlight w:val="yellow"/>
                <w:lang w:val="pt-BR"/>
              </w:rPr>
            </w:r>
            <w:r>
              <w:rPr>
                <w:bCs/>
                <w:color w:val="000000" w:themeColor="text1"/>
                <w:highlight w:val="yellow"/>
                <w:lang w:val="pt-BR"/>
              </w:rPr>
              <w:t xml:space="preserve">Q</w:t>
            </w:r>
            <w:r>
              <w:rPr>
                <w:bCs/>
                <w:color w:val="000000" w:themeColor="text1"/>
                <w:highlight w:val="yellow"/>
                <w:lang w:val="pt-BR"/>
              </w:rPr>
              <w:t xml:space="preserve">uy</w:t>
            </w:r>
            <w:r>
              <w:rPr>
                <w:bCs/>
                <w:color w:val="000000" w:themeColor="text1"/>
                <w:highlight w:val="yellow"/>
                <w:lang w:val="pt-BR"/>
              </w:rPr>
              <w:t xml:space="preserve">ền sử dụng đất và tài sản gắn liền với đất tại thửa đất số: 47, tờ bản đồ số 68 có địa chỉ: Xóm 1, xã Chợ Mới, tỉnh Thái Nguyên theo Giấy chứng nhận quyền sử dụng đất, quyền sở hữu nhà ở và tài sản khá</w:t>
            </w:r>
            <w:r>
              <w:rPr>
                <w:bCs/>
                <w:color w:val="000000" w:themeColor="text1"/>
                <w:highlight w:val="yellow"/>
                <w:lang w:val="pt-BR"/>
              </w:rPr>
              <w:t xml:space="preserve">c gắn liền với đất  số: CI 605946, số vào sổ cấp GCN: CH01476 do UBND Huyện Chợ Mới cấp ngày 14/11/2018; Chủ sử dụng đất là Bà Vũ Thị Hoa</w:t>
            </w:r>
            <w:r>
              <w:rPr>
                <w:bCs/>
                <w:spacing w:val="2"/>
                <w:highlight w:val="yellow"/>
              </w:rPr>
              <w:t xml:space="preserve">.</w:t>
            </w:r>
            <w:r>
              <w:rPr>
                <w:b/>
                <w:bCs/>
                <w:spacing w:val="2"/>
                <w:highlight w:val="yellow"/>
              </w:rPr>
            </w:r>
            <w:r>
              <w:rPr>
                <w:b/>
                <w:bCs/>
                <w:spacing w:val="2"/>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99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99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99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99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yellow"/>
              </w:rPr>
            </w:pPr>
            <w:r>
              <w:rPr>
                <w:color w:val="000000" w:themeColor="text1"/>
                <w:highlight w:val="none"/>
                <w:lang w:val="pt-BR"/>
              </w:rPr>
              <w:t xml:space="preserve">Xã</w:t>
            </w:r>
            <w:r>
              <w:rPr>
                <w:color w:val="000000" w:themeColor="text1"/>
                <w:highlight w:val="yellow"/>
                <w:lang w:val="pt-BR"/>
              </w:rPr>
              <w:t xml:space="preserve"> Chợ Mới, Tỉnh Thái Nguyên</w:t>
            </w:r>
            <w:r>
              <w:rPr>
                <w:color w:val="ee0000"/>
                <w:highlight w:val="yellow"/>
              </w:rPr>
            </w:r>
            <w:r>
              <w:rPr>
                <w:color w:val="ee0000"/>
                <w:highlight w:val="yellow"/>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99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97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(21.886251449585, 105.78291320801)</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99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99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99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99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994"/>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99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99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99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99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99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99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99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99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99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99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w:t>
      </w:r>
      <w:r>
        <w:rPr>
          <w:bCs/>
          <w:color w:val="000000" w:themeColor="text1"/>
          <w:lang w:val="pt-BR"/>
        </w:rPr>
        <w:t xml:space="preserve">c gắn liền với đất  số: CI 605946, số vào sổ cấp GCN: CH01476 do UBND Huyện Chợ Mới cấp ngày 14/11/2018; Chủ sử dụng đất là Bà Vũ Thị Hoa</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99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275/2026/0295/VFI-HĐTĐ.44.A ngày 09/02/2026 giữa Bà Vũ Thị Hoa với Công ty Cổ phần Thẩm định và Đầu tư Tài chính Hoa Sen.</w:t>
      </w:r>
      <w:r>
        <w:rPr>
          <w:b/>
          <w:lang w:val="pt-BR"/>
        </w:rPr>
      </w:r>
      <w:r>
        <w:rPr>
          <w:b/>
          <w:lang w:val="pt-BR"/>
        </w:rPr>
      </w:r>
    </w:p>
    <w:p>
      <w:pPr>
        <w:pStyle w:val="99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rPr>
      </w:pPr>
      <w:r>
        <w:rPr>
          <w:rFonts w:ascii="Times New Roman" w:hAnsi="Times New Roman" w:eastAsia="Times New Roman" w:cs="Times New Roman"/>
          <w:color w:val="0a0a0a"/>
          <w:sz w:val="24"/>
        </w:rPr>
        <w:t xml:space="preserve">Bất động sản Bắc Kạn, một tỉnh miền núi thuộc vùng Đông Bắc, đang trải qua giai đoạn chuyển mình quan trọng sau khi sáp nhập vào tỉnh Thái Nguyên từ tháng 6/2025. </w:t>
      </w:r>
      <w:r>
        <w:rPr>
          <w:rFonts w:ascii="Times New Roman" w:hAnsi="Times New Roman" w:eastAsia="Times New Roman" w:cs="Times New Roman"/>
          <w:b/>
          <w:color w:val="001d35"/>
          <w:sz w:val="24"/>
        </w:rPr>
        <w:t xml:space="preserve">Khu vực này nổi bật với tiềm năng du lịch sinh thái (Hồ Ba Bể) và cơ sở hạ tầng đang được cải thiện, thu hút sự chú ý vào các dự án đất nền, bất động sản ven đô và du lịch</w:t>
      </w:r>
      <w:r>
        <w:rPr>
          <w:rFonts w:ascii="Times New Roman" w:hAnsi="Times New Roman" w:eastAsia="Times New Roman" w:cs="Times New Roman"/>
          <w:color w:val="0a0a0a"/>
          <w:sz w:val="24"/>
        </w:rPr>
        <w:t xml:space="preserve">. </w:t>
      </w:r>
      <w:r>
        <w:rPr>
          <w:rFonts w:ascii="Times New Roman" w:hAnsi="Times New Roman" w:cs="Times New Roman"/>
        </w:rPr>
      </w:r>
      <w:r>
        <w:rPr>
          <w:rFonts w:ascii="Times New Roman" w:hAnsi="Times New Roman" w:cs="Times New Roman"/>
        </w:rPr>
      </w:r>
    </w:p>
    <w:p>
      <w:pPr>
        <w:pStyle w:val="994"/>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Vị trí và Hạ tầng:</w:t>
      </w:r>
      <w:r>
        <w:rPr>
          <w:rFonts w:ascii="Times New Roman" w:hAnsi="Times New Roman" w:eastAsia="Times New Roman" w:cs="Times New Roman"/>
          <w:color w:val="0a0a0a"/>
          <w:sz w:val="24"/>
        </w:rPr>
        <w:t xml:space="preserve"> Bắc Kạn giáp Cao Bằng, Thái Nguyên, Lạng Sơn và Tuyên Quang, nằm cách Hà Nội khoảng 170 km. Việc sáp nhập giúp kết nối giao thông tốt hơn với trung tâm công nghiệp Thái Nguyên, tạo động lực phát triển mới.</w:t>
      </w:r>
      <w:r>
        <w:rPr>
          <w:rFonts w:ascii="Times New Roman" w:hAnsi="Times New Roman" w:cs="Times New Roman"/>
        </w:rPr>
      </w:r>
      <w:r>
        <w:rPr>
          <w:rFonts w:ascii="Times New Roman" w:hAnsi="Times New Roman" w:cs="Times New Roman"/>
        </w:rPr>
      </w:r>
    </w:p>
    <w:p>
      <w:pPr>
        <w:pStyle w:val="994"/>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Loại hình Bất động sản:</w:t>
      </w:r>
      <w:r>
        <w:rPr>
          <w:rFonts w:ascii="Times New Roman" w:hAnsi="Times New Roman" w:cs="Times New Roman"/>
        </w:rPr>
      </w:r>
      <w:r>
        <w:rPr>
          <w:rFonts w:ascii="Times New Roman" w:hAnsi="Times New Roman" w:cs="Times New Roman"/>
        </w:rPr>
      </w:r>
    </w:p>
    <w:p>
      <w:pPr>
        <w:pStyle w:val="994"/>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Đất nền/Đất thổ cư:</w:t>
      </w:r>
      <w:r>
        <w:rPr>
          <w:rFonts w:ascii="Times New Roman" w:hAnsi="Times New Roman" w:eastAsia="Times New Roman" w:cs="Times New Roman"/>
          <w:color w:val="0a0a0a"/>
          <w:sz w:val="24"/>
        </w:rPr>
        <w:t xml:space="preserve"> Tập trung chủ yếu tại thành phố Bắc Kạn (đô thị loại III trước khi sáp nhập) và các thị trấn trung tâm huyện.</w:t>
      </w:r>
      <w:r>
        <w:rPr>
          <w:rFonts w:ascii="Times New Roman" w:hAnsi="Times New Roman" w:cs="Times New Roman"/>
        </w:rPr>
      </w:r>
      <w:r>
        <w:rPr>
          <w:rFonts w:ascii="Times New Roman" w:hAnsi="Times New Roman" w:cs="Times New Roman"/>
        </w:rPr>
      </w:r>
    </w:p>
    <w:p>
      <w:pPr>
        <w:pStyle w:val="994"/>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Bất động sản du lịch/nghỉ dưỡng:</w:t>
      </w:r>
      <w:r>
        <w:rPr>
          <w:rFonts w:ascii="Times New Roman" w:hAnsi="Times New Roman" w:eastAsia="Times New Roman" w:cs="Times New Roman"/>
          <w:color w:val="0a0a0a"/>
          <w:sz w:val="24"/>
        </w:rPr>
        <w:t xml:space="preserve"> Tiềm năng cao tại các khu vực danh thắng như Hồ Ba Bể, Hang Thẳm Phày, Hồ Bản Chang.</w:t>
      </w:r>
      <w:r>
        <w:rPr>
          <w:rFonts w:ascii="Times New Roman" w:hAnsi="Times New Roman" w:cs="Times New Roman"/>
        </w:rPr>
      </w:r>
      <w:r>
        <w:rPr>
          <w:rFonts w:ascii="Times New Roman" w:hAnsi="Times New Roman" w:cs="Times New Roman"/>
        </w:rPr>
      </w:r>
    </w:p>
    <w:p>
      <w:pPr>
        <w:pStyle w:val="994"/>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Xu hướng:</w:t>
      </w:r>
      <w:r>
        <w:rPr>
          <w:rFonts w:ascii="Times New Roman" w:hAnsi="Times New Roman" w:eastAsia="Times New Roman" w:cs="Times New Roman"/>
          <w:color w:val="0a0a0a"/>
          <w:sz w:val="24"/>
        </w:rPr>
        <w:t xml:space="preserve"> Thị trường đang chuyển hướng từ đất ở dân cư sang các dự án quy hoạch bài bản, tận dụng xu hướng bỏ phố về rừng hoặc đầu tư homestay, du lịch sinh thái.</w:t>
      </w:r>
      <w:r>
        <w:rPr>
          <w:rFonts w:ascii="Times New Roman" w:hAnsi="Times New Roman" w:cs="Times New Roman"/>
        </w:rPr>
      </w:r>
      <w:r>
        <w:rPr>
          <w:rFonts w:ascii="Times New Roman" w:hAnsi="Times New Roman" w:cs="Times New Roman"/>
        </w:rPr>
      </w:r>
    </w:p>
    <w:p>
      <w:pPr>
        <w:pStyle w:val="994"/>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Tác động của sáp nhập:</w:t>
      </w:r>
      <w:r>
        <w:rPr>
          <w:rFonts w:ascii="Times New Roman" w:hAnsi="Times New Roman" w:eastAsia="Times New Roman" w:cs="Times New Roman"/>
          <w:color w:val="0a0a0a"/>
          <w:sz w:val="24"/>
        </w:rPr>
        <w:t xml:space="preserve"> Từ 1/7/2025, tỉnh Bắc Kạn chính thức sáp nhập vào tỉnh Thái Nguyên, dự kiến sẽ làm thay đổi quy hoạch, quy chế quản lý đất đai và gia tăng giá trị bất động sản do sự đồng bộ hóa cơ sở hạ tầng. </w:t>
      </w:r>
      <w:r>
        <w:rPr>
          <w:rFonts w:ascii="Times New Roman" w:hAnsi="Times New Roman" w:cs="Times New Roman"/>
        </w:rPr>
      </w:r>
      <w:r>
        <w:rPr>
          <w:rFonts w:ascii="Times New Roman" w:hAnsi="Times New Roman" w:cs="Times New Roman"/>
        </w:rPr>
      </w:r>
    </w:p>
    <w:p>
      <w:pPr>
        <w:pStyle w:val="99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99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0"/>
        <w:gridCol w:w="2439"/>
        <w:gridCol w:w="2399"/>
      </w:tblGrid>
      <w:tr>
        <w:trPr>
          <w:trHeight w:val="1819"/>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w:t>
            </w:r>
            <w:r>
              <w:rPr>
                <w:rFonts w:ascii="Times New Roman" w:hAnsi="Times New Roman" w:eastAsia="Times New Roman" w:cs="Times New Roman"/>
                <w:b/>
                <w:color w:val="000000"/>
                <w:sz w:val="24"/>
              </w:rPr>
              <w:t xml:space="preserve">yền sử dụng đất và tài sản gắn liền với đất tại thửa đất số: 47, tờ bản đồ số 68 có địa chỉ: Xóm 1, xã Chợ Mới, tỉnh Thái Nguyên theo Giấy chứng nhận quyền sử dụng đất, quyền sở hữu nhà ở và tài sản kh</w:t>
            </w:r>
            <w:r>
              <w:rPr>
                <w:rFonts w:ascii="Times New Roman" w:hAnsi="Times New Roman" w:eastAsia="Times New Roman" w:cs="Times New Roman"/>
                <w:b/>
                <w:color w:val="000000"/>
                <w:sz w:val="24"/>
              </w:rPr>
              <w:t xml:space="preserve">ác gắn liền với đất  số: CI 605946, số vào sổ cấp GCN: CH01476 do UBND Huyện Chợ Mới cấp ngày 14/11/2018; Chủ sử dụng đất là Bà Vũ Thị Hoa</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highlight w:val="yellow"/>
              </w:rPr>
            </w:pPr>
            <w:r>
              <w:rPr>
                <w:highlight w:val="none"/>
              </w:rPr>
              <w:t xml:space="preserve">68</w:t>
            </w:r>
            <w:r>
              <w:rPr>
                <w:highlight w:val="yellow"/>
              </w:rPr>
            </w:r>
            <w:r>
              <w:rPr>
                <w:highlight w:val="yellow"/>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highlight w:val="yellow"/>
              </w:rPr>
            </w:pPr>
            <w:r>
              <w:rPr>
                <w:rFonts w:ascii="Times New Roman" w:hAnsi="Times New Roman" w:eastAsia="Times New Roman" w:cs="Times New Roman"/>
                <w:color w:val="000000"/>
                <w:sz w:val="24"/>
                <w:highlight w:val="yellow"/>
              </w:rPr>
              <w:t xml:space="preserve">Xóm 1, xã Chợ Mới, tỉnh Thái Nguyên</w:t>
            </w:r>
            <w:r>
              <w:rPr>
                <w:highlight w:val="yellow"/>
              </w:rPr>
            </w:r>
            <w:r>
              <w:rPr>
                <w:highlight w:val="yellow"/>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61,3</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78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 40m2; Nhận chuyển nhượng đất được công nhận QSDĐ như giao đất không thu tiền sử dụng đất 21,3</w:t>
            </w:r>
            <w:r/>
          </w:p>
        </w:tc>
      </w:tr>
      <w:tr>
        <w:trPr>
          <w:trHeight w:val="58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highlight w:val="yellow"/>
              </w:rPr>
              <w:t xml:space="preserve">Xóm 1, xã Chợ Mới, tỉnh Thái Nguy</w:t>
            </w:r>
            <w:r>
              <w:rPr>
                <w:rFonts w:ascii="Times New Roman" w:hAnsi="Times New Roman" w:eastAsia="Times New Roman" w:cs="Times New Roman"/>
                <w:color w:val="000000"/>
                <w:sz w:val="24"/>
              </w:rPr>
              <w:t xml:space="preserve">ên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QL3</w:t>
            </w:r>
            <w:r/>
          </w:p>
        </w:tc>
        <w:tc>
          <w:tcPr>
            <w:tcBorders>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6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Tiếp giáp đường QL3</w:t>
            </w:r>
            <w:r/>
          </w:p>
        </w:tc>
      </w:tr>
      <w:tr>
        <w:trPr>
          <w:trHeight w:val="68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Nam: Tiếp giáp đường giao thông;</w:t>
              <w:br/>
              <w:t xml:space="preserve">Các hướng khác: Tiếp giáp các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95467"/>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546109" name=""/>
                              <pic:cNvPicPr>
                                <a:picLocks noChangeAspect="1"/>
                              </pic:cNvPicPr>
                              <pic:nvPr/>
                            </pic:nvPicPr>
                            <pic:blipFill rotWithShape="1">
                              <a:blip r:embed="rId15"/>
                              <a:stretch/>
                            </pic:blipFill>
                            <pic:spPr bwMode="auto">
                              <a:xfrm>
                                <a:off x="0" y="0"/>
                                <a:ext cx="6048374" cy="2795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76.25pt;height:220.12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sz w:val="24"/>
              </w:rPr>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61,3</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15,30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Trung bình</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12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w:t>
            </w:r>
            <w:r>
              <w:rPr>
                <w:rFonts w:ascii="Times New Roman" w:hAnsi="Times New Roman" w:eastAsia="Times New Roman" w:cs="Times New Roman"/>
                <w:color w:val="000000"/>
                <w:sz w:val="24"/>
              </w:rPr>
              <w:t xml:space="preserve">khảo sát dưới sự hướng dẫn của khách hàng, trên đất có CTXD Nhà 06 tầng, diện tích xây dựng khoảng 61,3m2, tổng diện tích sàn khoảng 367,8m2, kết cấu tưởng gạch, bê tông cốt thép, trần bê tổng, có thang máy, ngoại quan còn mới. Công trình hoàn thiện năm 20</w:t>
            </w:r>
            <w:r>
              <w:rPr>
                <w:rFonts w:ascii="Times New Roman" w:hAnsi="Times New Roman" w:eastAsia="Times New Roman" w:cs="Times New Roman"/>
                <w:color w:val="000000"/>
                <w:sz w:val="24"/>
              </w:rPr>
              <w:t xml:space="preserve">25. Công trình chưa được chứng nhận trên GCN số: CI 605946</w:t>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99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99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994"/>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w:t>
      </w:r>
      <w:r>
        <w:rPr>
          <w:rFonts w:ascii="Times New Roman" w:hAnsi="Times New Roman" w:eastAsia="Times New Roman" w:cs="Times New Roman"/>
          <w:color w:val="000000"/>
          <w:sz w:val="24"/>
        </w:rPr>
        <w:t xml:space="preserve">thời điểm khảo sát dưới sự hướng dẫn của khách hàng, trên đất có CTXD Nhà 06 tầng, diện tích xây dựng khoảng 61,3m2, tổng diện tích sàn khoảng 367,8m2, kết cấu tưởng gạch, bê tông cốt thép, trần bê tổng, ngoại quan còn mới. Công trình hoàn thiện năm 20</w:t>
      </w:r>
      <w:r>
        <w:rPr>
          <w:rFonts w:ascii="Times New Roman" w:hAnsi="Times New Roman" w:eastAsia="Times New Roman" w:cs="Times New Roman"/>
          <w:color w:val="000000"/>
          <w:sz w:val="24"/>
        </w:rPr>
        <w:t xml:space="preserve">25. Công trình chưa được chứng nhận trên GCN số: CI 605946</w:t>
      </w:r>
      <w:r>
        <w:rPr>
          <w:rFonts w:ascii="Times New Roman" w:hAnsi="Times New Roman" w:eastAsia="Times New Roman" w:cs="Times New Roman"/>
          <w:color w:val="000000"/>
          <w:sz w:val="24"/>
        </w:rPr>
        <w:t xml:space="preserve">. Đồng thời, Tổ thẩm định không nhận được các hồ sơ pháp lý khác liên quan đến công trình xây dựng. Do vậy, theo yêu cầu của Ngân hàng/khách hàng, Tổ thẩm định ước tính giá trị của công trình xây </w:t>
      </w:r>
      <w:r>
        <w:rPr>
          <w:rFonts w:ascii="Times New Roman" w:hAnsi="Times New Roman" w:eastAsia="Times New Roman" w:cs="Times New Roman"/>
          <w:color w:val="000000"/>
          <w:sz w:val="24"/>
        </w:rPr>
        <w:t xml:space="preserve">dựng theo khảo sát và đo đạc thực tế với giả định thông số đo đạc được là chính xác, giá trị công trình xây dựng chỉ mang tính chất tham khảo. Ngoài ra, Tổ thẩm định không có trách nhiệm xác minh chủ sở hữu công trình xây dựng trên. Kính đề nghị đơn vị sử </w:t>
      </w:r>
      <w:r>
        <w:rPr>
          <w:rFonts w:ascii="Times New Roman" w:hAnsi="Times New Roman" w:eastAsia="Times New Roman" w:cs="Times New Roman"/>
          <w:color w:val="000000"/>
          <w:sz w:val="24"/>
        </w:rPr>
        <w:t xml:space="preserve">dụng kết quả lưu ý</w:t>
      </w:r>
      <w:r>
        <w:rPr>
          <w:spacing w:val="-2"/>
          <w:highlight w:val="none"/>
          <w:lang w:val="pt-BR"/>
        </w:rPr>
        <w:t xml:space="preserve">.</w:t>
      </w:r>
      <w:r>
        <w:rPr>
          <w:spacing w:val="-2"/>
          <w:lang w:val="pt-BR"/>
        </w:rPr>
      </w:r>
      <w:r>
        <w:rPr>
          <w:spacing w:val="-2"/>
          <w:lang w:val="pt-BR"/>
        </w:rPr>
      </w:r>
    </w:p>
    <w:p>
      <w:pPr>
        <w:pStyle w:val="99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99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99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99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99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99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99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99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99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994"/>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99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99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99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99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QL3, xã Chợ Mới,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QL3, xã Chợ Mới,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QL3, xã Chợ Mới,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QL3, xã Chợ Mới, tỉnh Thái Nguyên</w:t>
            </w:r>
            <w:r>
              <w:rPr>
                <w:sz w:val="22"/>
                <w:szCs w:val="22"/>
              </w:rPr>
            </w:r>
            <w:r>
              <w:rPr>
                <w:sz w:val="22"/>
                <w:szCs w:val="22"/>
              </w:rPr>
            </w:r>
          </w:p>
        </w:tc>
      </w:tr>
      <w:tr>
        <w:trPr>
          <w:trHeight w:val="106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https://www.facebook.com/share/p/1C9CZUVuN5/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0346099887</w:t>
            </w:r>
            <w:r>
              <w:rPr>
                <w:sz w:val="22"/>
                <w:szCs w:val="22"/>
              </w:rPr>
              <w:t xml:space="preserve"> </w:t>
            </w:r>
            <w:r>
              <w:rPr>
                <w:sz w:val="22"/>
                <w:szCs w:val="22"/>
              </w:rPr>
              <w:br/>
              <w:t xml:space="preserve">(</w:t>
            </w:r>
            <w:r>
              <w:rPr>
                <w:sz w:val="22"/>
                <w:szCs w:val="22"/>
              </w:rPr>
              <w:t xml:space="preserve">Đinh Trịnh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0967945394</w:t>
            </w:r>
            <w:r>
              <w:rPr>
                <w:sz w:val="22"/>
                <w:szCs w:val="22"/>
              </w:rPr>
              <w:br/>
            </w:r>
            <w:r>
              <w:rPr>
                <w:sz w:val="22"/>
                <w:szCs w:val="22"/>
              </w:rPr>
              <w:t xml:space="preserve">(</w:t>
            </w:r>
            <w:r>
              <w:rPr>
                <w:sz w:val="22"/>
                <w:szCs w:val="22"/>
              </w:rPr>
              <w:t xml:space="preserve">Nguyễn Nga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0378666555</w:t>
            </w:r>
            <w:r>
              <w:rPr>
                <w:sz w:val="22"/>
                <w:szCs w:val="22"/>
              </w:rPr>
              <w:br/>
            </w:r>
            <w:r>
              <w:rPr>
                <w:sz w:val="22"/>
                <w:szCs w:val="22"/>
              </w:rPr>
              <w:t xml:space="preserve">(</w:t>
            </w:r>
            <w:r>
              <w:rPr>
                <w:sz w:val="22"/>
                <w:szCs w:val="22"/>
              </w:rPr>
              <w:t xml:space="preserve">Giang Nhược Lam</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tại đô thị (140 m²), Đất trồng cây hàng năm khác (87.5 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tại đô thị (77.5 m²), Đất trồng cây lâu năm (14.5 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tại đô thị (40 m²), Đất trồng cây lâu năm (60.4 m²)</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ở:Lâu dài; đất trồng cây: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ở:Lâu dài; đất trồng cây: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ở:Lâu dài; đất trồng cây: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Đường QL3, xã Chợ Mới,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Đường QL3, xã Chợ Mới,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Đường QL3, xã Chợ Mới,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Đường QL3, xã Chợ Mới, tỉnh Thái Nguyên</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227,5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92</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100,4</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1 tầng, ngoại quan đã cũ</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r>
            <w:r>
              <w:rPr>
                <w:color w:val="000000" w:themeColor="text1"/>
                <w:sz w:val="22"/>
                <w:szCs w:val="22"/>
                <w:highlight w:val="yellow"/>
              </w:rPr>
              <w:t xml:space="preserve">Giá rao (đồng)</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yellow"/>
              </w:rPr>
            </w:pPr>
            <w:r>
              <w:rPr>
                <w:color w:val="000000"/>
                <w:sz w:val="22"/>
                <w:szCs w:val="22"/>
                <w:highlight w:val="yellow"/>
              </w:rPr>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250.720.250</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5.014.405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749.279.750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6.725.275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8.315.217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7.462.946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99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749.279.750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6.725.275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8.315.217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7.462.946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r>
              <w:rPr>
                <w:b/>
                <w:bCs/>
                <w:color w:val="000000"/>
                <w:sz w:val="22"/>
                <w:szCs w:val="22"/>
                <w:highlight w:val="yellow"/>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r>
              <w:rPr>
                <w:b/>
                <w:bCs/>
                <w:color w:val="000000"/>
                <w:sz w:val="22"/>
                <w:szCs w:val="22"/>
                <w:highlight w:val="yellow"/>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r>
              <w:rPr>
                <w:b/>
                <w:bCs/>
                <w:color w:val="000000"/>
                <w:sz w:val="22"/>
                <w:szCs w:val="22"/>
                <w:highlight w:val="yellow"/>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6.725.275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8.315.217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8.707.966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tại đô thị (140 m²), Đất trồng cây hàng năm khác (</w:t>
            </w:r>
            <w:r>
              <w:rPr>
                <w:color w:val="000000" w:themeColor="text1"/>
                <w:sz w:val="22"/>
                <w:szCs w:val="22"/>
                <w:highlight w:val="yellow"/>
              </w:rPr>
              <w:t xml:space="preserve">87.5 m</w:t>
            </w:r>
            <w:r>
              <w:rPr>
                <w:color w:val="000000" w:themeColor="text1"/>
                <w:sz w:val="22"/>
                <w:szCs w:val="22"/>
              </w:rPr>
              <w:t xml:space="preserve">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tại đô thị (</w:t>
            </w:r>
            <w:r>
              <w:rPr>
                <w:color w:val="000000" w:themeColor="text1"/>
                <w:sz w:val="22"/>
                <w:szCs w:val="22"/>
                <w:highlight w:val="yellow"/>
              </w:rPr>
              <w:t xml:space="preserve">77.5 </w:t>
            </w:r>
            <w:r>
              <w:rPr>
                <w:color w:val="000000" w:themeColor="text1"/>
                <w:sz w:val="22"/>
                <w:szCs w:val="22"/>
              </w:rPr>
              <w:t xml:space="preserve">m²), Đất trồng cây lâu năm (</w:t>
            </w:r>
            <w:r>
              <w:rPr>
                <w:color w:val="000000" w:themeColor="text1"/>
                <w:sz w:val="22"/>
                <w:szCs w:val="22"/>
                <w:highlight w:val="yellow"/>
              </w:rPr>
              <w:t xml:space="preserve">14.5 </w:t>
            </w:r>
            <w:r>
              <w:rPr>
                <w:color w:val="000000" w:themeColor="text1"/>
                <w:sz w:val="22"/>
                <w:szCs w:val="22"/>
              </w:rPr>
              <w:t xml:space="preserve">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tại đô thị (40 m²), Đất trồng cây lâu năm (</w:t>
            </w:r>
            <w:r>
              <w:rPr>
                <w:color w:val="000000" w:themeColor="text1"/>
                <w:sz w:val="22"/>
                <w:szCs w:val="22"/>
                <w:highlight w:val="yellow"/>
              </w:rPr>
              <w:t xml:space="preserve">60.4 </w:t>
            </w:r>
            <w:r>
              <w:rPr>
                <w:color w:val="000000" w:themeColor="text1"/>
                <w:sz w:val="22"/>
                <w:szCs w:val="22"/>
              </w:rPr>
              <w:t xml:space="preserve">m²)</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415.761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1.306.195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7.397.803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8.730.978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10.014.161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ở:Lâu dài; đất trồng cây: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ở:Lâu dài; đất trồng cây: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ở:Lâu dài; đất trồng cây: có thời hạn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7.397.803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8.730.978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10.014.161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w:t>
            </w:r>
            <w:r>
              <w:rPr>
                <w:color w:val="000000" w:themeColor="text1"/>
                <w:sz w:val="22"/>
                <w:szCs w:val="22"/>
                <w:highlight w:val="yellow"/>
              </w:rPr>
              <w:t xml:space="preserve">i: </w:t>
            </w:r>
            <w:r>
              <w:rPr>
                <w:color w:val="000000" w:themeColor="text1"/>
                <w:sz w:val="22"/>
                <w:szCs w:val="22"/>
                <w:highlight w:val="yellow"/>
              </w:rPr>
              <w:t xml:space="preserve">Đ</w:t>
            </w:r>
            <w:r>
              <w:rPr>
                <w:color w:val="000000" w:themeColor="text1"/>
                <w:sz w:val="22"/>
                <w:szCs w:val="22"/>
              </w:rPr>
              <w:t xml:space="preserve">ường QL3, xã Chợ Mới, tỉnh Thái Nguyên</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w:t>
            </w:r>
            <w:r>
              <w:rPr>
                <w:color w:val="000000" w:themeColor="text1"/>
                <w:sz w:val="22"/>
                <w:szCs w:val="22"/>
                <w:highlight w:val="yellow"/>
              </w:rPr>
              <w:t xml:space="preserve">i: </w:t>
            </w:r>
            <w:r>
              <w:rPr>
                <w:color w:val="000000" w:themeColor="text1"/>
                <w:sz w:val="22"/>
                <w:szCs w:val="22"/>
                <w:highlight w:val="yellow"/>
              </w:rPr>
              <w:t xml:space="preserve">Đ</w:t>
            </w:r>
            <w:r>
              <w:rPr>
                <w:color w:val="000000" w:themeColor="text1"/>
                <w:sz w:val="22"/>
                <w:szCs w:val="22"/>
              </w:rPr>
              <w:t xml:space="preserve">ường QL3, xã Chợ Mới, tỉnh Thái Nguyên</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w:t>
            </w:r>
            <w:r>
              <w:rPr>
                <w:color w:val="000000" w:themeColor="text1"/>
                <w:sz w:val="22"/>
                <w:szCs w:val="22"/>
                <w:highlight w:val="yellow"/>
              </w:rPr>
              <w:t xml:space="preserve">i: </w:t>
            </w:r>
            <w:r>
              <w:rPr>
                <w:color w:val="000000" w:themeColor="text1"/>
                <w:sz w:val="22"/>
                <w:szCs w:val="22"/>
                <w:highlight w:val="yellow"/>
              </w:rPr>
              <w:t xml:space="preserve">Đư</w:t>
            </w:r>
            <w:r>
              <w:rPr>
                <w:color w:val="000000" w:themeColor="text1"/>
                <w:sz w:val="22"/>
                <w:szCs w:val="22"/>
              </w:rPr>
              <w:t xml:space="preserve">ờng QL3, xã Chợ Mới, tỉnh Thái Nguyên</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w:t>
            </w:r>
            <w:r>
              <w:rPr>
                <w:color w:val="000000" w:themeColor="text1"/>
                <w:sz w:val="22"/>
                <w:szCs w:val="22"/>
                <w:highlight w:val="yellow"/>
              </w:rPr>
              <w:t xml:space="preserve">i: </w:t>
            </w:r>
            <w:r>
              <w:rPr>
                <w:color w:val="000000" w:themeColor="text1"/>
                <w:sz w:val="22"/>
                <w:szCs w:val="22"/>
                <w:highlight w:val="yellow"/>
              </w:rPr>
              <w:t xml:space="preserve">Đư</w:t>
            </w:r>
            <w:r>
              <w:rPr>
                <w:color w:val="000000" w:themeColor="text1"/>
                <w:sz w:val="22"/>
                <w:szCs w:val="22"/>
              </w:rPr>
              <w:t xml:space="preserve">ờng QL3, xã Chợ Mới, tỉnh Thái Nguyên</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7.397.803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8.730.978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10.014.161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7.397.803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8.730.978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10.014.161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7.397.803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8.730.978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10.014.161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1.345.055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415.761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435.398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8.742.858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9.146.739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10.449.559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8.070.330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8.897.282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10.449.559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24,67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336.264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415.761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435.398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8.406.594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9.313.043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10.884.957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8.406.594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9.313.043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10.884.957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8.406.594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9.313.043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10.884.957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8.406.594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9.313.043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9.639.937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9.119.858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3.026.375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1.496.740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2.176.991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1.681.319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997.826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2.176.991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-782</w:t>
      </w:r>
      <w:r>
        <w:t xml:space="preserve">% </w:t>
      </w:r>
      <w:r>
        <w:t xml:space="preserve">đến</w:t>
      </w:r>
      <w:r>
        <w:t xml:space="preserve"> </w:t>
      </w:r>
      <w:r>
        <w:t xml:space="preserve">5,7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8.406.594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2.802.758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9.313.043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3.104.037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9.639.937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3.212.991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9.119.786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9.100.000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9.100.000</w:t>
      </w:r>
      <w:r>
        <w:rPr>
          <w:b/>
          <w:bCs/>
          <w:color w:val="000000" w:themeColor="text1"/>
        </w:rPr>
        <w:t xml:space="preserve"> </w:t>
      </w:r>
      <w:r>
        <w:rPr>
          <w:b/>
          <w:bCs/>
        </w:rPr>
        <w:t xml:space="preserve">đồng</w:t>
      </w:r>
      <w:r>
        <w:rPr>
          <w:b/>
          <w:bCs/>
        </w:rPr>
        <w:t xml:space="preserve">/m².</w:t>
      </w:r>
      <w:r>
        <w:rPr>
          <w:b/>
          <w:bCs/>
        </w:rPr>
      </w:r>
      <w:r>
        <w:rPr>
          <w:b/>
          <w:bCs/>
        </w:rPr>
      </w:r>
    </w:p>
    <w:p>
      <w:pPr>
        <w:pStyle w:val="994"/>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pPr>
      <w:r>
        <w:rPr>
          <w:rFonts w:ascii="Times New Roman" w:hAnsi="Times New Roman" w:eastAsia="Times New Roman" w:cs="Times New Roman"/>
          <w:b/>
          <w:color w:val="000000"/>
          <w:sz w:val="24"/>
        </w:rPr>
        <w:t xml:space="preserve">Công thức xác định giá trị ước tính công trình xây dựng trên đất:</w:t>
      </w:r>
      <w:r/>
    </w:p>
    <w:tbl>
      <w:tblPr>
        <w:tblStyle w:val="998"/>
        <w:tblInd w:w="630" w:type="dxa"/>
        <w:tblW w:w="465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38145"/>
        <w:gridCol w:w="10630"/>
        <w:gridCol w:w="32815"/>
        <w:gridCol w:w="9143"/>
        <w:gridCol w:w="49504"/>
      </w:tblGrid>
      <w:tr>
        <w:trPr/>
        <w:tc>
          <w:tcPr>
            <w:tcBorders/>
            <w:tcMar>
              <w:left w:w="0" w:type="dxa"/>
              <w:top w:w="0" w:type="dxa"/>
              <w:right w:w="0" w:type="dxa"/>
              <w:bottom w:w="0" w:type="dxa"/>
            </w:tcMar>
            <w:tcW w:w="38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ước tính tài sản thẩm định giá</w:t>
            </w:r>
            <w:r/>
          </w:p>
        </w:tc>
        <w:tc>
          <w:tcPr>
            <w:tcBorders/>
            <w:tcMar>
              <w:left w:w="0" w:type="dxa"/>
              <w:top w:w="0" w:type="dxa"/>
              <w:right w:w="0" w:type="dxa"/>
              <w:bottom w:w="0" w:type="dxa"/>
            </w:tcMar>
            <w:tcW w:w="106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32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(đã bao gồm lợi nhuận của nhà sản xuất/ nhà đầu tư)</w:t>
            </w:r>
            <w:r/>
          </w:p>
        </w:tc>
        <w:tc>
          <w:tcPr>
            <w:tcBorders/>
            <w:tcMar>
              <w:left w:w="0" w:type="dxa"/>
              <w:top w:w="0" w:type="dxa"/>
              <w:right w:w="0" w:type="dxa"/>
              <w:bottom w:w="0" w:type="dxa"/>
            </w:tcMar>
            <w:tcW w:w="91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495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giá trị hao mòn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(không bao gồm phần giá trị hao mòn chức năng của tài sản thẩm định giá đã được phản ánh trong chi phí thay thế</w:t>
            </w:r>
            <w:r/>
          </w:p>
        </w:tc>
      </w:tr>
    </w:tbl>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chi phí thay thế</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06 tầng, cân nhắc và xem xét với mức độ hoàn thiện của công trình xây dựng hiện có, Tổ thẩm định nhận thấy đơn giá vận dụng theo Quyết định số 409/QĐ-BXD ngày 11 tháng 4 năm 2025 của</w:t>
      </w:r>
      <w:r>
        <w:rPr>
          <w:rFonts w:ascii="Times New Roman" w:hAnsi="Times New Roman" w:eastAsia="Times New Roman" w:cs="Times New Roman"/>
          <w:color w:val="000000"/>
          <w:sz w:val="24"/>
        </w:rPr>
        <w:t xml:space="preserve"> Bộ Xây dựng về việc công bố suất vốn đầu tư xây dựng và giá xây dựng tổng hợp bộ phận kết cấu công trình năm 2024 là khá phù hợp với thị trường, theo đó: </w:t>
      </w:r>
      <w:r/>
    </w:p>
    <w:p>
      <w:pPr>
        <w:pBdr/>
        <w:spacing w:after="60" w:before="60"/>
        <w:ind/>
        <w:jc w:val="left"/>
        <w:rPr>
          <w:sz w:val="22"/>
          <w:szCs w:val="22"/>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4 đến 5 tầng, kết cấu khung chịu lực BTCT; tường bao xây gạch; sàn, mái BTCT đổ tại chỗ không có tầng hầm có diện tích xây dựng từ 50 m² đến dưới 70m² là 8.350.000 đồng/m² sàn, hệ số vùng 1 – Tỉnh Bắc Kạn là 0,935, tương đương đơn giá: </w:t>
      </w:r>
      <w:r>
        <w:rPr>
          <w:i/>
          <w:iCs/>
          <w:sz w:val="22"/>
          <w:szCs w:val="22"/>
        </w:rPr>
        <w:t xml:space="preserve">7.807.250</w:t>
      </w:r>
      <w:r>
        <w:rPr>
          <w:rFonts w:ascii="Times New Roman" w:hAnsi="Times New Roman" w:eastAsia="Times New Roman" w:cs="Times New Roman"/>
          <w:i/>
          <w:color w:val="000000"/>
          <w:sz w:val="24"/>
        </w:rPr>
        <w:t xml:space="preserve"> đồng/m²</w:t>
      </w:r>
      <w:r>
        <w:rPr>
          <w:rFonts w:ascii="Times New Roman" w:hAnsi="Times New Roman" w:eastAsia="Times New Roman" w:cs="Times New Roman"/>
          <w:color w:val="000000"/>
          <w:sz w:val="24"/>
        </w:rPr>
        <w:t xml:space="preserve">. </w:t>
      </w:r>
      <w:r>
        <w:rPr>
          <w:sz w:val="22"/>
          <w:szCs w:val="22"/>
        </w:rPr>
      </w:r>
      <w:r>
        <w:rPr>
          <w:sz w:val="22"/>
          <w:szCs w:val="22"/>
        </w:rPr>
      </w:r>
    </w:p>
    <w:tbl>
      <w:tblPr>
        <w:tblStyle w:val="99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80"/>
        <w:gridCol w:w="1984"/>
        <w:gridCol w:w="2975"/>
        <w:gridCol w:w="2409"/>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06 tầng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spacing w:after="60" w:before="60"/>
              <w:ind/>
              <w:jc w:val="center"/>
              <w:rPr>
                <w:sz w:val="22"/>
                <w:szCs w:val="22"/>
              </w:rPr>
            </w:pPr>
            <w:r>
              <w:rPr>
                <w:sz w:val="22"/>
                <w:szCs w:val="22"/>
              </w:rPr>
              <w:t xml:space="preserve">367,8</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tcPr>
          <w:p>
            <w:pPr>
              <w:pBdr/>
              <w:spacing w:after="60" w:before="60"/>
              <w:ind/>
              <w:jc w:val="center"/>
              <w:rPr>
                <w:sz w:val="22"/>
                <w:szCs w:val="22"/>
              </w:rPr>
            </w:pPr>
            <w:r>
              <w:rPr>
                <w:sz w:val="22"/>
                <w:szCs w:val="22"/>
              </w:rPr>
              <w:t xml:space="preserve">7.807.250</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tcPr>
          <w:p>
            <w:pPr>
              <w:pBdr/>
              <w:spacing w:after="60" w:before="60"/>
              <w:ind/>
              <w:jc w:val="center"/>
              <w:rPr>
                <w:sz w:val="22"/>
                <w:szCs w:val="22"/>
              </w:rPr>
            </w:pPr>
            <w:r>
              <w:rPr>
                <w:sz w:val="22"/>
                <w:szCs w:val="22"/>
              </w:rPr>
              <w:t xml:space="preserve">2.871.506.550</w:t>
            </w:r>
            <w:r>
              <w:rPr>
                <w:sz w:val="22"/>
                <w:szCs w:val="22"/>
              </w:rPr>
            </w:r>
            <w:r>
              <w:rPr>
                <w:sz w:val="22"/>
                <w:szCs w:val="22"/>
              </w:rPr>
            </w:r>
          </w:p>
        </w:tc>
      </w:tr>
    </w:tbl>
    <w:p>
      <w:pPr>
        <w:numPr>
          <w:ilvl w:val="0"/>
          <w:numId w:val="41"/>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quả/Tuổi đời kinh tế</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color w:val="000000"/>
          <w:spacing w:val="2"/>
          <w:sz w:val="24"/>
          <w:szCs w:val="24"/>
          <w:highlight w:val="yellow"/>
        </w:rPr>
      </w:pPr>
      <w:r>
        <w:rPr>
          <w:rFonts w:ascii="Times New Roman" w:hAnsi="Times New Roman" w:eastAsia="Times New Roman" w:cs="Times New Roman"/>
          <w:color w:val="000000"/>
          <w:spacing w:val="2"/>
          <w:sz w:val="24"/>
        </w:rPr>
        <w:t xml:space="preserve">Theo thông tin khách hàng cung cấp, </w:t>
      </w:r>
      <w:r>
        <w:rPr>
          <w:rFonts w:ascii="Times New Roman" w:hAnsi="Times New Roman" w:eastAsia="Times New Roman" w:cs="Times New Roman"/>
          <w:color w:val="000000"/>
          <w:spacing w:val="2"/>
          <w:sz w:val="24"/>
          <w:highlight w:val="yellow"/>
        </w:rPr>
        <w:t xml:space="preserve">Công trình hoàn thiện năm 2025</w:t>
      </w:r>
      <w:r>
        <w:rPr>
          <w:rFonts w:ascii="Times New Roman" w:hAnsi="Times New Roman" w:eastAsia="Times New Roman" w:cs="Times New Roman"/>
          <w:color w:val="000000"/>
          <w:spacing w:val="2"/>
          <w:sz w:val="24"/>
          <w:highlight w:val="yellow"/>
        </w:rPr>
        <w:t xml:space="preserve">, do đó, Tổ thẩm định ước tính tuổi đời hiệu quả của công trình là 1 năm.</w:t>
      </w:r>
      <w:r/>
      <w:r>
        <w:rPr>
          <w:rFonts w:ascii="Times New Roman" w:hAnsi="Times New Roman" w:eastAsia="Times New Roman" w:cs="Times New Roman"/>
          <w:color w:val="000000"/>
          <w:spacing w:val="2"/>
          <w:sz w:val="24"/>
          <w:szCs w:val="24"/>
          <w:highlight w:val="yellow"/>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pacing w:val="2"/>
          <w:sz w:val="24"/>
        </w:rPr>
        <w:t xml:space="preserve">ông trình, Tổ thẩm định xác định tuổi đời kinh tế của tài sản thẩm định là 50 năm</w:t>
      </w:r>
      <w:r>
        <w:rPr>
          <w:rFonts w:ascii="Times New Roman" w:hAnsi="Times New Roman" w:eastAsia="Times New Roman" w:cs="Times New Roman"/>
          <w:color w:val="000000"/>
          <w:sz w:val="24"/>
        </w:rPr>
        <w:t xml:space="preserve">.</w:t>
      </w:r>
      <w:r/>
    </w:p>
    <w:tbl>
      <w:tblPr>
        <w:tblStyle w:val="99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24669"/>
        <w:gridCol w:w="24669"/>
        <w:gridCol w:w="24699"/>
        <w:gridCol w:w="24669"/>
        <w:gridCol w:w="24669"/>
        <w:gridCol w:w="24700"/>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70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06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700" w:type="dxa"/>
            <w:vAlign w:val="top"/>
            <w:textDirection w:val="lrTb"/>
            <w:noWrap w:val="false"/>
          </w:tcPr>
          <w:p>
            <w:pPr>
              <w:pBdr/>
              <w:spacing w:after="60" w:before="60"/>
              <w:ind/>
              <w:jc w:val="center"/>
              <w:rPr>
                <w:sz w:val="22"/>
                <w:szCs w:val="22"/>
              </w:rPr>
            </w:pPr>
            <w:r>
              <w:rPr>
                <w:sz w:val="22"/>
                <w:szCs w:val="22"/>
              </w:rPr>
              <w:t xml:space="preserve">57.430.131</w:t>
            </w:r>
            <w:r>
              <w:rPr>
                <w:sz w:val="22"/>
                <w:szCs w:val="22"/>
              </w:rPr>
            </w:r>
            <w:r>
              <w:rPr>
                <w:sz w:val="22"/>
                <w:szCs w:val="22"/>
              </w:rPr>
            </w:r>
          </w:p>
        </w:tc>
      </w:tr>
    </w:tbl>
    <w:p>
      <w:pPr>
        <w:pStyle w:val="994"/>
        <w:numPr>
          <w:ilvl w:val="0"/>
          <w:numId w:val="42"/>
        </w:numPr>
        <w:pBdr/>
        <w:spacing w:after="120" w:before="120" w:line="276" w:lineRule="auto"/>
        <w:ind/>
        <w:jc w:val="both"/>
        <w:rPr>
          <w:b/>
          <w:bCs/>
        </w:rPr>
      </w:pPr>
      <w:r>
        <w:rPr>
          <w:b/>
          <w:bCs/>
          <w:highlight w:val="none"/>
        </w:rPr>
        <w:t xml:space="preserve">Xác định giá trị công trình xây dựng</w:t>
      </w:r>
      <w:r>
        <w:rPr>
          <w:b/>
          <w:bCs/>
        </w:rPr>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w:t>
            </w:r>
            <w:r>
              <w:rPr>
                <w:b/>
                <w:bCs/>
                <w:sz w:val="22"/>
                <w:szCs w:val="22"/>
              </w:rPr>
              <w:t xml:space="preserve">sàn</w:t>
            </w:r>
            <w:r>
              <w:rPr>
                <w:b/>
                <w:bCs/>
                <w:sz w:val="22"/>
                <w:szCs w:val="22"/>
              </w:rPr>
              <w:t xml:space="preserve">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xây</w:t>
            </w:r>
            <w:r>
              <w:rPr>
                <w:b/>
                <w:bCs/>
                <w:sz w:val="22"/>
                <w:szCs w:val="22"/>
              </w:rPr>
              <w:t xml:space="preserve"> </w:t>
            </w:r>
            <w:r>
              <w:rPr>
                <w:b/>
                <w:bCs/>
                <w:sz w:val="22"/>
                <w:szCs w:val="22"/>
              </w:rPr>
              <w:t xml:space="preserve">dựng</w:t>
            </w:r>
            <w:r>
              <w:rPr>
                <w:b/>
                <w:bCs/>
                <w:sz w:val="22"/>
                <w:szCs w:val="22"/>
              </w:rPr>
              <w:t xml:space="preserve"> </w:t>
            </w:r>
            <w:r>
              <w:rPr>
                <w:b/>
                <w:bCs/>
                <w:sz w:val="22"/>
                <w:szCs w:val="22"/>
              </w:rPr>
              <w:t xml:space="preserve">mới</w:t>
            </w:r>
            <w:r>
              <w:rPr>
                <w:b/>
                <w:bCs/>
                <w:sz w:val="22"/>
                <w:szCs w:val="22"/>
              </w:rPr>
              <w:t xml:space="preserve"> (</w:t>
            </w:r>
            <w:r>
              <w:rPr>
                <w:b/>
                <w:bCs/>
                <w:sz w:val="22"/>
                <w:szCs w:val="22"/>
              </w:rPr>
              <w:t xml:space="preserve">đồng</w:t>
            </w:r>
            <w:r>
              <w:rPr>
                <w:b/>
                <w:bCs/>
                <w:sz w:val="22"/>
                <w:szCs w:val="22"/>
              </w:rPr>
              <w:t xml:space="preserve">/m² </w:t>
            </w:r>
            <w:r>
              <w:rPr>
                <w:b/>
                <w:bCs/>
                <w:sz w:val="22"/>
                <w:szCs w:val="22"/>
              </w:rPr>
              <w:t xml:space="preserve">sàn</w:t>
            </w:r>
            <w:r>
              <w:rPr>
                <w:b/>
                <w:bCs/>
                <w:sz w:val="22"/>
                <w:szCs w:val="22"/>
              </w:rPr>
              <w:t xml:space="preserve">)</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w:t>
            </w:r>
            <w:r>
              <w:rPr>
                <w:b/>
                <w:bCs/>
                <w:sz w:val="22"/>
                <w:szCs w:val="22"/>
              </w:rPr>
              <w:t xml:space="preserve">phí</w:t>
            </w:r>
            <w:r>
              <w:rPr>
                <w:b/>
                <w:bCs/>
                <w:sz w:val="22"/>
                <w:szCs w:val="22"/>
              </w:rPr>
              <w:t xml:space="preserve"> </w:t>
            </w:r>
            <w:r>
              <w:rPr>
                <w:b/>
                <w:bCs/>
                <w:sz w:val="22"/>
                <w:szCs w:val="22"/>
              </w:rPr>
              <w:t xml:space="preserve">thay</w:t>
            </w:r>
            <w:r>
              <w:rPr>
                <w:b/>
                <w:bCs/>
                <w:sz w:val="22"/>
                <w:szCs w:val="22"/>
              </w:rPr>
              <w:t xml:space="preserve"> </w:t>
            </w:r>
            <w:r>
              <w:rPr>
                <w:b/>
                <w:bCs/>
                <w:sz w:val="22"/>
                <w:szCs w:val="22"/>
              </w:rPr>
              <w:t xml:space="preserve">thế</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w:t>
            </w:r>
            <w:r>
              <w:rPr>
                <w:b/>
                <w:bCs/>
                <w:sz w:val="22"/>
                <w:szCs w:val="22"/>
              </w:rPr>
              <w:t xml:space="preserve"> </w:t>
            </w:r>
            <w:r>
              <w:rPr>
                <w:b/>
                <w:bCs/>
                <w:sz w:val="22"/>
                <w:szCs w:val="22"/>
              </w:rPr>
              <w:t xml:space="preserve">lệ</w:t>
            </w:r>
            <w:r>
              <w:rPr>
                <w:b/>
                <w:bCs/>
                <w:sz w:val="22"/>
                <w:szCs w:val="22"/>
              </w:rPr>
              <w:t xml:space="preserve"> hao </w:t>
            </w:r>
            <w:r>
              <w:rPr>
                <w:b/>
                <w:bCs/>
                <w:sz w:val="22"/>
                <w:szCs w:val="22"/>
              </w:rPr>
              <w:t xml:space="preserve">mòn</w:t>
            </w:r>
            <w:r>
              <w:rPr>
                <w:b/>
                <w:bCs/>
                <w:sz w:val="22"/>
                <w:szCs w:val="22"/>
              </w:rPr>
              <w:t xml:space="preserve">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hao </w:t>
            </w:r>
            <w:r>
              <w:rPr>
                <w:b/>
                <w:bCs/>
                <w:sz w:val="22"/>
                <w:szCs w:val="22"/>
              </w:rPr>
              <w:t xml:space="preserve">mòn</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tại</w:t>
            </w:r>
            <w:r>
              <w:rPr>
                <w:b/>
                <w:bCs/>
                <w:sz w:val="22"/>
                <w:szCs w:val="22"/>
              </w:rPr>
              <w:t xml:space="preserve"> </w:t>
            </w:r>
            <w:r>
              <w:rPr>
                <w:b/>
                <w:bCs/>
                <w:sz w:val="22"/>
                <w:szCs w:val="22"/>
              </w:rPr>
              <w:t xml:space="preserve">thời</w:t>
            </w:r>
            <w:r>
              <w:rPr>
                <w:b/>
                <w:bCs/>
                <w:sz w:val="22"/>
                <w:szCs w:val="22"/>
              </w:rPr>
              <w:t xml:space="preserve"> </w:t>
            </w:r>
            <w:r>
              <w:rPr>
                <w:b/>
                <w:bCs/>
                <w:sz w:val="22"/>
                <w:szCs w:val="22"/>
              </w:rPr>
              <w:t xml:space="preserve">điểm</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06 tầng</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367,8</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7.807.250</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2.871.506.550</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2%</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57.430.131</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2.814.076.419</w:t>
            </w:r>
            <w:r>
              <w:rPr>
                <w:sz w:val="22"/>
                <w:szCs w:val="22"/>
              </w:rPr>
            </w:r>
            <w:r>
              <w:rPr>
                <w:sz w:val="22"/>
                <w:szCs w:val="22"/>
              </w:rPr>
            </w:r>
          </w:p>
        </w:tc>
      </w:tr>
    </w:tbl>
    <w:p>
      <w:pPr>
        <w:pStyle w:val="99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99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yellow"/>
              </w:rPr>
            </w:pPr>
            <w:r>
              <w:rPr>
                <w:color w:val="000000"/>
                <w:highlight w:val="yellow"/>
              </w:rPr>
            </w:r>
            <w:r>
              <w:rPr>
                <w:color w:val="000000" w:themeColor="text1"/>
              </w:rPr>
              <w:t xml:space="preserve">Q</w:t>
            </w:r>
            <w:r>
              <w:rPr>
                <w:color w:val="000000" w:themeColor="text1"/>
              </w:rPr>
              <w:t xml:space="preserve">uyền sử dụng đất và tài sản gắn liền với đất tại thửa đất số: 47, tờ bản đồ số 68</w:t>
            </w:r>
            <w:r>
              <w:rPr>
                <w:color w:val="000000" w:themeColor="text1"/>
              </w:rPr>
              <w:t xml:space="preserve"> có địa chỉ: </w:t>
            </w:r>
            <w:r>
              <w:rPr>
                <w:color w:val="000000" w:themeColor="text1"/>
              </w:rPr>
              <w:t xml:space="preserve">Xóm 1, xã Chợ Mới, tỉnh Thái Nguyên</w:t>
            </w:r>
            <w:r>
              <w:rPr>
                <w:color w:val="000000" w:themeColor="text1"/>
              </w:rPr>
              <w:t xml:space="preserve"> theo Giấy chứng nhận quyền sử dụng đất, quyền sở hữu nhà ở và tài sản khá</w:t>
            </w:r>
            <w:r>
              <w:rPr>
                <w:color w:val="000000" w:themeColor="text1"/>
              </w:rPr>
              <w:t xml:space="preserve">c gắn liền với đ</w:t>
            </w:r>
            <w:r>
              <w:rPr>
                <w:color w:val="000000" w:themeColor="text1"/>
                <w:highlight w:val="yellow"/>
              </w:rPr>
              <w:t xml:space="preserve">ất số</w:t>
            </w:r>
            <w:r>
              <w:rPr>
                <w:color w:val="000000" w:themeColor="text1"/>
              </w:rPr>
              <w:t xml:space="preserve">: CI 605946, số vào sổ cấp GCN: CH01476 do UBND Huyện Chợ Mới cấp ngày 14/11/2018; Chủ sử dụng đất là Bà Vũ Thị Hoa</w:t>
            </w:r>
            <w:r/>
            <w:r>
              <w:rPr>
                <w:color w:val="000000"/>
                <w:highlight w:val="yellow"/>
              </w:rPr>
            </w:r>
            <w:r>
              <w:rPr>
                <w:b/>
                <w:bCs/>
                <w:highlight w:val="yellow"/>
              </w:rPr>
              <w:t xml:space="preserve">.</w:t>
            </w:r>
            <w:r>
              <w:rPr>
                <w:b/>
                <w:bCs/>
                <w:highlight w:val="yellow"/>
              </w:rPr>
            </w:r>
            <w:r>
              <w:rPr>
                <w:b/>
                <w:bCs/>
                <w:highlight w:val="yellow"/>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61,3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9.120.000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559.056.000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Nhà 06 tầng</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367,8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2.814.076.419</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3.373.132.419</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3.373.100.000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ba trăm bảy mươi ba triệu một trăm nghìn đồng</w:t>
            </w:r>
            <w:r>
              <w:rPr>
                <w:b/>
                <w:bCs/>
                <w:i/>
                <w:iCs/>
                <w:color w:val="000000"/>
              </w:rPr>
              <w:t xml:space="preserve">./.)</w:t>
            </w:r>
            <w:r>
              <w:rPr>
                <w:b/>
                <w:bCs/>
                <w:i/>
                <w:iCs/>
                <w:color w:val="000000"/>
              </w:rPr>
            </w:r>
            <w:r>
              <w:rPr>
                <w:b/>
                <w:bCs/>
                <w:i/>
                <w:iCs/>
                <w:color w:val="000000"/>
              </w:rPr>
            </w:r>
          </w:p>
        </w:tc>
      </w:tr>
    </w:tbl>
    <w:p>
      <w:pPr>
        <w:pStyle w:val="99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99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99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99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99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99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99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99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99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99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99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99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99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99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99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99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99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99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99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99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994"/>
        <w:numPr>
          <w:ilvl w:val="0"/>
          <w:numId w:val="4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w:t>
      </w:r>
      <w:r>
        <w:rPr>
          <w:rFonts w:ascii="Times New Roman" w:hAnsi="Times New Roman" w:eastAsia="Times New Roman" w:cs="Times New Roman"/>
          <w:color w:val="000000"/>
          <w:sz w:val="24"/>
        </w:rPr>
        <w:t xml:space="preserve">thời điểm khảo sát dưới sự hướng dẫn của khách hàng, trên đất có CTXD Nhà 06 tầng, diện tích xây dựng khoảng 61,3m2, tổng diện tích sàn khoảng 367,8m2, kết cấu tưởng gạch, bê tông cốt thép, trần bê tổng, ngoại quan còn mới. Công trình hoàn thiện năm 20</w:t>
      </w:r>
      <w:r>
        <w:rPr>
          <w:rFonts w:ascii="Times New Roman" w:hAnsi="Times New Roman" w:eastAsia="Times New Roman" w:cs="Times New Roman"/>
          <w:color w:val="000000"/>
          <w:sz w:val="24"/>
        </w:rPr>
        <w:t xml:space="preserve">25. Công trình chưa được chứng nhận trên GCN số: CI 605946</w:t>
      </w:r>
      <w:r>
        <w:rPr>
          <w:rFonts w:ascii="Times New Roman" w:hAnsi="Times New Roman" w:eastAsia="Times New Roman" w:cs="Times New Roman"/>
          <w:color w:val="000000"/>
          <w:sz w:val="24"/>
        </w:rPr>
        <w:t xml:space="preserve">. Đồng thời, Tổ thẩm định không nhận được các hồ sơ pháp lý khác liên quan đến công trình xây dựng. Do vậy, theo yêu cầu của Ngân hàng/khách hàng, Tổ thẩm định ước tính giá trị của công trình xây </w:t>
      </w:r>
      <w:r>
        <w:rPr>
          <w:rFonts w:ascii="Times New Roman" w:hAnsi="Times New Roman" w:eastAsia="Times New Roman" w:cs="Times New Roman"/>
          <w:color w:val="000000"/>
          <w:sz w:val="24"/>
        </w:rPr>
        <w:t xml:space="preserve">dựng theo khảo sát và đo đạc thực tế với giả định thông số đo đạc được là chính xác, giá trị công trình xây dựng chỉ mang tính chất tham khảo. Ngoài ra, Tổ thẩm định không có trách nhiệm xác minh chủ sở hữu công trình xây dựng trên. Kính đề nghị đơn vị sử </w:t>
      </w:r>
      <w:r>
        <w:rPr>
          <w:rFonts w:ascii="Times New Roman" w:hAnsi="Times New Roman" w:eastAsia="Times New Roman" w:cs="Times New Roman"/>
          <w:color w:val="000000"/>
          <w:sz w:val="24"/>
        </w:rPr>
        <w:t xml:space="preserve">dụng kết quả lưu ý</w:t>
      </w:r>
      <w:r>
        <w:rPr>
          <w:spacing w:val="-2"/>
          <w:highlight w:val="none"/>
          <w:lang w:val="pt-BR"/>
        </w:rPr>
        <w:t xml:space="preserve">.</w:t>
      </w:r>
      <w:r>
        <w:rPr>
          <w:spacing w:val="-2"/>
          <w:lang w:val="pt-BR"/>
        </w:rPr>
      </w:r>
      <w:r>
        <w:rPr>
          <w:spacing w:val="-2"/>
          <w:lang w:val="pt-BR"/>
        </w:rPr>
      </w:r>
    </w:p>
    <w:p>
      <w:pPr>
        <w:pStyle w:val="99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99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99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994"/>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99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99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994"/>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275/2026/0295/VFI-CT.44.A</w:t>
      </w:r>
      <w:r>
        <w:rPr>
          <w:color w:val="ff0000"/>
          <w:lang w:val="vi-VN"/>
        </w:rPr>
        <w:t xml:space="preserve"> </w:t>
      </w:r>
      <w:r>
        <w:rPr>
          <w:color w:val="000000" w:themeColor="text1"/>
        </w:rPr>
        <w:t xml:space="preserve">ngày 9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275/2026/0295/VFI-BC.44.A</w:t>
      </w:r>
      <w:r>
        <w:rPr>
          <w:i/>
        </w:rPr>
        <w:t xml:space="preserve"> </w:t>
      </w:r>
      <w:r>
        <w:rPr>
          <w:i/>
        </w:rPr>
        <w:t xml:space="preserve">ngày</w:t>
      </w:r>
      <w:r>
        <w:rPr>
          <w:i/>
          <w:lang w:val="pt-BR"/>
        </w:rPr>
        <w:t xml:space="preserve">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99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493554" cy="3231382"/>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97209" name=""/>
                              <pic:cNvPicPr>
                                <a:picLocks noChangeAspect="1"/>
                              </pic:cNvPicPr>
                              <pic:nvPr/>
                            </pic:nvPicPr>
                            <pic:blipFill rotWithShape="1">
                              <a:blip r:embed="rId16"/>
                              <a:stretch/>
                            </pic:blipFill>
                            <pic:spPr bwMode="auto">
                              <a:xfrm flipH="0" flipV="0">
                                <a:off x="0" y="0"/>
                                <a:ext cx="1493554" cy="32313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17.60pt;height:254.44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16392" cy="322185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58314" name=""/>
                              <pic:cNvPicPr>
                                <a:picLocks noChangeAspect="1"/>
                              </pic:cNvPicPr>
                              <pic:nvPr/>
                            </pic:nvPicPr>
                            <pic:blipFill rotWithShape="1">
                              <a:blip r:embed="rId17"/>
                              <a:stretch/>
                            </pic:blipFill>
                            <pic:spPr bwMode="auto">
                              <a:xfrm flipH="0" flipV="0">
                                <a:off x="0" y="0"/>
                                <a:ext cx="2416392" cy="32218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90.27pt;height:253.69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87736" cy="17908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31993" name=""/>
                              <pic:cNvPicPr>
                                <a:picLocks noChangeAspect="1"/>
                              </pic:cNvPicPr>
                              <pic:nvPr/>
                            </pic:nvPicPr>
                            <pic:blipFill rotWithShape="1">
                              <a:blip r:embed="rId18"/>
                              <a:stretch/>
                            </pic:blipFill>
                            <pic:spPr bwMode="auto">
                              <a:xfrm flipH="0" flipV="0">
                                <a:off x="0" y="0"/>
                                <a:ext cx="2387735" cy="17908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8.01pt;height:141.01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2299" cy="206422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54870" name=""/>
                              <pic:cNvPicPr>
                                <a:picLocks noChangeAspect="1"/>
                              </pic:cNvPicPr>
                              <pic:nvPr/>
                            </pic:nvPicPr>
                            <pic:blipFill rotWithShape="1">
                              <a:blip r:embed="rId19"/>
                              <a:stretch/>
                            </pic:blipFill>
                            <pic:spPr bwMode="auto">
                              <a:xfrm flipH="0" flipV="0">
                                <a:off x="0" y="0"/>
                                <a:ext cx="2752298" cy="2064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72pt;height:162.5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47781" cy="198583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90476" name=""/>
                              <pic:cNvPicPr>
                                <a:picLocks noChangeAspect="1"/>
                              </pic:cNvPicPr>
                              <pic:nvPr/>
                            </pic:nvPicPr>
                            <pic:blipFill rotWithShape="1">
                              <a:blip r:embed="rId20"/>
                              <a:stretch/>
                            </pic:blipFill>
                            <pic:spPr bwMode="auto">
                              <a:xfrm flipH="0" flipV="0">
                                <a:off x="0" y="0"/>
                                <a:ext cx="2647780" cy="19858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49pt;height:156.37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1531" cy="205614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55260" name=""/>
                              <pic:cNvPicPr>
                                <a:picLocks noChangeAspect="1"/>
                              </pic:cNvPicPr>
                              <pic:nvPr/>
                            </pic:nvPicPr>
                            <pic:blipFill rotWithShape="1">
                              <a:blip r:embed="rId21"/>
                              <a:stretch/>
                            </pic:blipFill>
                            <pic:spPr bwMode="auto">
                              <a:xfrm flipH="0" flipV="0">
                                <a:off x="0" y="0"/>
                                <a:ext cx="2741529" cy="2056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5.87pt;height:161.9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mc:AlternateContent>
          <mc:Choice Requires="wpg">
            <w:drawing>
              <wp:inline xmlns:wp="http://schemas.openxmlformats.org/drawingml/2006/wordprocessingDrawing" distT="0" distB="0" distL="0" distR="0">
                <wp:extent cx="2880824" cy="622881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64569" name=""/>
                        <pic:cNvPicPr>
                          <a:picLocks noChangeAspect="1"/>
                        </pic:cNvPicPr>
                        <pic:nvPr/>
                      </pic:nvPicPr>
                      <pic:blipFill rotWithShape="1">
                        <a:blip r:embed="rId22"/>
                        <a:stretch/>
                      </pic:blipFill>
                      <pic:spPr bwMode="auto">
                        <a:xfrm flipH="0" flipV="0">
                          <a:off x="0" y="0"/>
                          <a:ext cx="2880824" cy="62288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84pt;height:490.46pt;mso-wrap-distance-left:0.00pt;mso-wrap-distance-top:0.00pt;mso-wrap-distance-right:0.00pt;mso-wrap-distance-bottom:0.00pt;z-index:1;" stroked="false">
                <v:imagedata r:id="rId22" o:title=""/>
                <o:lock v:ext="edit" rotation="t"/>
              </v:shape>
            </w:pict>
          </mc:Fallback>
        </mc:AlternateContent>
      </w:r>
      <w:r>
        <mc:AlternateContent>
          <mc:Choice Requires="wpg">
            <w:drawing>
              <wp:inline xmlns:wp="http://schemas.openxmlformats.org/drawingml/2006/wordprocessingDrawing" distT="0" distB="0" distL="0" distR="0">
                <wp:extent cx="2823555" cy="61049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327889" name=""/>
                        <pic:cNvPicPr>
                          <a:picLocks noChangeAspect="1"/>
                        </pic:cNvPicPr>
                        <pic:nvPr/>
                      </pic:nvPicPr>
                      <pic:blipFill rotWithShape="1">
                        <a:blip r:embed="rId23"/>
                        <a:stretch/>
                      </pic:blipFill>
                      <pic:spPr bwMode="auto">
                        <a:xfrm flipH="0" flipV="0">
                          <a:off x="0" y="0"/>
                          <a:ext cx="2823555" cy="6104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33pt;height:480.71pt;mso-wrap-distance-left:0.00pt;mso-wrap-distance-top:0.00pt;mso-wrap-distance-right:0.00pt;mso-wrap-distance-bottom:0.00pt;z-index:1;" stroked="false">
                <v:imagedata r:id="rId23" o:title=""/>
                <o:lock v:ext="edit" rotation="t"/>
              </v:shape>
            </w:pict>
          </mc:Fallback>
        </mc:AlternateContent>
      </w:r>
      <w:r/>
    </w:p>
    <w:p>
      <w:pPr>
        <w:pBdr/>
        <w:spacing w:after="200" w:line="276" w:lineRule="auto"/>
        <w:ind/>
        <w:rPr>
          <w:highlight w:val="none"/>
        </w:rPr>
      </w:pPr>
      <w:r>
        <w:br w:type="page" w:clear="all"/>
      </w:r>
      <w:r>
        <w:rPr>
          <w:highlight w:val="none"/>
        </w:rPr>
      </w:r>
      <w:r>
        <w:rPr>
          <w:highlight w:val="none"/>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2924878" cy="632406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07291" name=""/>
                        <pic:cNvPicPr>
                          <a:picLocks noChangeAspect="1"/>
                        </pic:cNvPicPr>
                        <pic:nvPr/>
                      </pic:nvPicPr>
                      <pic:blipFill rotWithShape="1">
                        <a:blip r:embed="rId24"/>
                        <a:stretch/>
                      </pic:blipFill>
                      <pic:spPr bwMode="auto">
                        <a:xfrm flipH="0" flipV="0">
                          <a:off x="0" y="0"/>
                          <a:ext cx="2924877" cy="6324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0.31pt;height:497.96pt;mso-wrap-distance-left:0.00pt;mso-wrap-distance-top:0.00pt;mso-wrap-distance-right:0.00pt;mso-wrap-distance-bottom:0.00pt;z-index:1;" stroked="false">
                <v:imagedata r:id="rId24" o:title=""/>
                <o:lock v:ext="edit" rotation="t"/>
              </v:shape>
            </w:pict>
          </mc:Fallback>
        </mc:AlternateContent>
      </w:r>
      <w:r>
        <mc:AlternateContent>
          <mc:Choice Requires="wpg">
            <w:drawing>
              <wp:inline xmlns:wp="http://schemas.openxmlformats.org/drawingml/2006/wordprocessingDrawing" distT="0" distB="0" distL="0" distR="0">
                <wp:extent cx="2951310" cy="638121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24214" name=""/>
                        <pic:cNvPicPr>
                          <a:picLocks noChangeAspect="1"/>
                        </pic:cNvPicPr>
                        <pic:nvPr/>
                      </pic:nvPicPr>
                      <pic:blipFill rotWithShape="1">
                        <a:blip r:embed="rId25"/>
                        <a:stretch/>
                      </pic:blipFill>
                      <pic:spPr bwMode="auto">
                        <a:xfrm flipH="0" flipV="0">
                          <a:off x="0" y="0"/>
                          <a:ext cx="2951309" cy="6381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2.39pt;height:502.46pt;mso-wrap-distance-left:0.00pt;mso-wrap-distance-top:0.00pt;mso-wrap-distance-right:0.00pt;mso-wrap-distance-bottom:0.00pt;z-index:1;" stroked="false">
                <v:imagedata r:id="rId25" o:title=""/>
                <o:lock v:ext="edit" rotation="t"/>
              </v:shape>
            </w:pict>
          </mc:Fallback>
        </mc:AlternateContent>
      </w:r>
      <w:r>
        <w:rPr>
          <w:highlight w:val="none"/>
        </w:rPr>
      </w:r>
      <w:r/>
    </w:p>
    <w:p>
      <w:pPr>
        <w:pBdr/>
        <w:shd w:val="nil" w:color="auto"/>
        <w:spacing/>
        <w:ind/>
        <w:rPr>
          <w:bCs/>
          <w:i/>
          <w:lang w:val="pt-BR"/>
        </w:rPr>
      </w:pPr>
      <w:r>
        <w:rPr>
          <w:b/>
          <w:highlight w:val="none"/>
        </w:rPr>
        <w:br w:type="page" w:clear="all"/>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w:t>
      </w:r>
      <w:r>
        <w:rPr>
          <w:b/>
          <w:lang w:val="vi-VN"/>
        </w:rPr>
        <w:t xml:space="preserve"> THU THẬP T</w:t>
      </w:r>
      <w:r>
        <w:rPr>
          <w:b/>
          <w:lang w:val="vi-VN"/>
        </w:rPr>
        <w:t xml:space="preserve">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275/2026/0295/VFI-BC.44.A</w:t>
      </w:r>
      <w:r>
        <w:rPr>
          <w:i/>
        </w:rPr>
        <w:t xml:space="preserve"> </w:t>
      </w:r>
      <w:r>
        <w:rPr>
          <w:i/>
        </w:rPr>
        <w:t xml:space="preserve">ngày</w:t>
      </w:r>
      <w:r>
        <w:rPr>
          <w:i/>
          <w:lang w:val="pt-BR"/>
        </w:rPr>
        <w:t xml:space="preserve">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https://www.facebook.com/share/p/1C9CZUVuN5/</w:t>
            </w:r>
            <w:r>
              <w:rPr>
                <w:color w:val="000000" w:themeColor="text1"/>
                <w:sz w:val="22"/>
                <w:szCs w:val="22"/>
              </w:rPr>
              <w:br/>
              <w:t xml:space="preserve">0346099887</w:t>
            </w:r>
            <w:r>
              <w:rPr>
                <w:sz w:val="22"/>
                <w:szCs w:val="22"/>
              </w:rPr>
              <w:t xml:space="preserve"> </w:t>
            </w:r>
            <w:r>
              <w:rPr>
                <w:sz w:val="22"/>
                <w:szCs w:val="22"/>
              </w:rPr>
              <w:br/>
              <w:t xml:space="preserve">(Đinh Trịnh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(140 m²), Đất trồng cây hàng năm khác (</w:t>
            </w:r>
            <w:r>
              <w:rPr>
                <w:color w:val="000000" w:themeColor="text1"/>
                <w:sz w:val="22"/>
                <w:szCs w:val="22"/>
                <w:highlight w:val="yellow"/>
              </w:rPr>
              <w:t xml:space="preserve">87,5 m²</w:t>
            </w: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hàng năm khác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QL3, xã Chợ Mới,</w:t>
            </w:r>
            <w:r>
              <w:rPr>
                <w:color w:val="000000" w:themeColor="text1"/>
                <w:sz w:val="22"/>
                <w:szCs w:val="22"/>
                <w:highlight w:val="yellow"/>
              </w:rPr>
              <w:t xml:space="preserve"> tỉnh Thái Nguyên</w:t>
            </w:r>
            <w:r>
              <w:rPr>
                <w:color w:val="000000" w:themeColor="text1"/>
                <w:sz w:val="22"/>
                <w:szCs w:val="22"/>
              </w:rPr>
              <w:t xml:space="preserve">;  độ rộng đường trước mặt tài sản: 15m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227,5</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10,13</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4634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6463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65.8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97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9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ind/>
        <w:jc w:val="center"/>
        <w:rPr/>
      </w:pPr>
      <w:r>
        <w:rPr>
          <w:b/>
          <w:bCs/>
          <w:iCs/>
          <w:lang w:val="pt-BR"/>
        </w:rPr>
        <w:t xml:space="preserve">TSSS2</w:t>
      </w:r>
      <w:r>
        <w:rPr>
          <w:b/>
          <w:bCs/>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0967945394</w:t>
            </w:r>
            <w:r>
              <w:rPr>
                <w:sz w:val="22"/>
                <w:szCs w:val="22"/>
              </w:rPr>
              <w:t xml:space="preserve"> </w:t>
            </w:r>
            <w:r>
              <w:rPr>
                <w:sz w:val="22"/>
                <w:szCs w:val="22"/>
              </w:rPr>
              <w:br/>
              <w:t xml:space="preserve">(Nguyễn Nga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color w:val="000000" w:themeColor="text1"/>
                <w:sz w:val="22"/>
                <w:szCs w:val="22"/>
                <w:highlight w:val="yellow"/>
              </w:rPr>
              <w:t xml:space="preserve"> (77,5 m²), Đất trồng cây lâu năm (14,5 </w:t>
            </w:r>
            <w:r>
              <w:rPr>
                <w:color w:val="000000" w:themeColor="text1"/>
                <w:sz w:val="22"/>
                <w:szCs w:val="22"/>
              </w:rPr>
              <w:t xml:space="preserve">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QL3, xã Chợ Mới, </w:t>
            </w:r>
            <w:r>
              <w:rPr>
                <w:color w:val="000000" w:themeColor="text1"/>
                <w:sz w:val="22"/>
                <w:szCs w:val="22"/>
                <w:highlight w:val="yellow"/>
              </w:rPr>
              <w:t xml:space="preserve">tỉnh Thái Nguyên</w:t>
            </w:r>
            <w:r>
              <w:rPr>
                <w:color w:val="000000" w:themeColor="text1"/>
                <w:sz w:val="22"/>
                <w:szCs w:val="22"/>
              </w:rPr>
              <w:t xml:space="preserve">;  độ rộng đường trước mặt tài sản: 15m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4105545" cy="272678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85520" name=""/>
                              <pic:cNvPicPr>
                                <a:picLocks noChangeAspect="1"/>
                              </pic:cNvPicPr>
                              <pic:nvPr/>
                            </pic:nvPicPr>
                            <pic:blipFill rotWithShape="1">
                              <a:blip r:embed="rId28"/>
                              <a:stretch/>
                            </pic:blipFill>
                            <pic:spPr bwMode="auto">
                              <a:xfrm flipH="0" flipV="0">
                                <a:off x="0" y="0"/>
                                <a:ext cx="4105545" cy="2726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23.27pt;height:214.71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2328553" cy="310798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01074" name=""/>
                              <pic:cNvPicPr>
                                <a:picLocks noChangeAspect="1"/>
                              </pic:cNvPicPr>
                              <pic:nvPr/>
                            </pic:nvPicPr>
                            <pic:blipFill rotWithShape="1">
                              <a:blip r:embed="rId29"/>
                              <a:stretch/>
                            </pic:blipFill>
                            <pic:spPr bwMode="auto">
                              <a:xfrm flipH="0" flipV="0">
                                <a:off x="0" y="0"/>
                                <a:ext cx="2328553" cy="31079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3.35pt;height:244.72pt;mso-wrap-distance-left:0.00pt;mso-wrap-distance-top:0.00pt;mso-wrap-distance-right:0.00pt;mso-wrap-distance-bottom:0.00pt;z-index:1;" stroked="false">
                      <v:imagedata r:id="rId29" o:title=""/>
                      <o:lock v:ext="edit" rotation="t"/>
                    </v:shape>
                  </w:pict>
                </mc:Fallback>
              </mc:AlternateContent>
            </w:r>
            <w:r>
              <mc:AlternateContent>
                <mc:Choice Requires="wpg">
                  <w:drawing>
                    <wp:inline xmlns:wp="http://schemas.openxmlformats.org/drawingml/2006/wordprocessingDrawing" distT="0" distB="0" distL="0" distR="0">
                      <wp:extent cx="2372369" cy="316646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350287" name=""/>
                              <pic:cNvPicPr>
                                <a:picLocks noChangeAspect="1"/>
                              </pic:cNvPicPr>
                              <pic:nvPr/>
                            </pic:nvPicPr>
                            <pic:blipFill rotWithShape="1">
                              <a:blip r:embed="rId30"/>
                              <a:stretch/>
                            </pic:blipFill>
                            <pic:spPr bwMode="auto">
                              <a:xfrm flipH="0" flipV="0">
                                <a:off x="0" y="0"/>
                                <a:ext cx="2372369" cy="31664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6.80pt;height:249.33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
          <w:lang w:val="pt-BR"/>
        </w:rPr>
      </w:pPr>
      <w:r>
        <w:rPr>
          <w:i/>
          <w:lang w:val="pt-BR"/>
        </w:rPr>
      </w:r>
      <w:r>
        <w:rPr>
          <w:i/>
          <w:lang w:val="pt-BR"/>
        </w:rPr>
      </w:r>
      <w:r>
        <w:rPr>
          <w:i/>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0378666555</w:t>
            </w:r>
            <w:r>
              <w:rPr>
                <w:sz w:val="22"/>
                <w:szCs w:val="22"/>
              </w:rPr>
              <w:t xml:space="preserve"> </w:t>
            </w:r>
            <w:r>
              <w:rPr>
                <w:sz w:val="22"/>
                <w:szCs w:val="22"/>
              </w:rPr>
              <w:br/>
              <w:t xml:space="preserve">(Giang Nhược Lam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(40 m²), Đất trồng cây lâu năm (6</w:t>
            </w:r>
            <w:r>
              <w:rPr>
                <w:color w:val="000000" w:themeColor="text1"/>
                <w:sz w:val="22"/>
                <w:szCs w:val="22"/>
                <w:highlight w:val="yellow"/>
              </w:rPr>
              <w:t xml:space="preserve">0,4 </w:t>
            </w:r>
            <w:r>
              <w:rPr>
                <w:color w:val="000000" w:themeColor="text1"/>
                <w:sz w:val="22"/>
                <w:szCs w:val="22"/>
              </w:rPr>
              <w:t xml:space="preserve">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QL3, xã Chợ Mới,</w:t>
            </w:r>
            <w:r>
              <w:rPr>
                <w:color w:val="000000" w:themeColor="text1"/>
                <w:sz w:val="22"/>
                <w:szCs w:val="22"/>
                <w:highlight w:val="yellow"/>
              </w:rPr>
              <w:t xml:space="preserve"> tỉnh Thái Nguyên</w:t>
            </w:r>
            <w:r>
              <w:rPr>
                <w:color w:val="000000" w:themeColor="text1"/>
                <w:sz w:val="22"/>
                <w:szCs w:val="22"/>
              </w:rPr>
              <w:t xml:space="preserve">;  độ rộng đường trước mặt tài sản: 15m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highlight w:val="none"/>
              </w:rPr>
            </w:pPr>
            <w:r>
              <w:rPr>
                <w:b/>
                <w:bCs/>
                <w:color w:val="000000"/>
                <w:sz w:val="22"/>
                <w:szCs w:val="22"/>
              </w:rPr>
              <w:t xml:space="preserve"> </w:t>
            </w:r>
            <w:r>
              <mc:AlternateContent>
                <mc:Choice Requires="wpg">
                  <w:drawing>
                    <wp:inline xmlns:wp="http://schemas.openxmlformats.org/drawingml/2006/wordprocessingDrawing" distT="0" distB="0" distL="0" distR="0">
                      <wp:extent cx="2685441" cy="612721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64200" name=""/>
                              <pic:cNvPicPr>
                                <a:picLocks noChangeAspect="1"/>
                              </pic:cNvPicPr>
                              <pic:nvPr/>
                            </pic:nvPicPr>
                            <pic:blipFill rotWithShape="1">
                              <a:blip r:embed="rId31"/>
                              <a:stretch/>
                            </pic:blipFill>
                            <pic:spPr bwMode="auto">
                              <a:xfrm flipH="0" flipV="0">
                                <a:off x="0" y="0"/>
                                <a:ext cx="2685440" cy="6127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1.45pt;height:482.46pt;mso-wrap-distance-left:0.00pt;mso-wrap-distance-top:0.00pt;mso-wrap-distance-right:0.00pt;mso-wrap-distance-bottom:0.00pt;z-index:1;" stroked="false">
                      <v:imagedata r:id="rId31" o:title=""/>
                      <o:lock v:ext="edit" rotation="t"/>
                    </v:shape>
                  </w:pict>
                </mc:Fallback>
              </mc:AlternateContent>
            </w:r>
            <w:r>
              <mc:AlternateContent>
                <mc:Choice Requires="wpg">
                  <w:drawing>
                    <wp:inline xmlns:wp="http://schemas.openxmlformats.org/drawingml/2006/wordprocessingDrawing" distT="0" distB="0" distL="0" distR="0">
                      <wp:extent cx="2752235" cy="627961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14672" name=""/>
                              <pic:cNvPicPr>
                                <a:picLocks noChangeAspect="1"/>
                              </pic:cNvPicPr>
                              <pic:nvPr/>
                            </pic:nvPicPr>
                            <pic:blipFill rotWithShape="1">
                              <a:blip r:embed="rId32"/>
                              <a:stretch/>
                            </pic:blipFill>
                            <pic:spPr bwMode="auto">
                              <a:xfrm flipH="0" flipV="0">
                                <a:off x="0" y="0"/>
                                <a:ext cx="2752235" cy="6279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6.71pt;height:494.46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pacing w:line="276" w:lineRule="auto"/>
              <w:ind/>
              <w:jc w:val="center"/>
              <w:rPr>
                <w:b/>
                <w:bCs/>
                <w:color w:val="000000"/>
                <w:sz w:val="22"/>
                <w:szCs w:val="22"/>
              </w:rPr>
            </w:pPr>
            <w:r>
              <w:rPr>
                <w:highlight w:val="none"/>
              </w:rPr>
            </w:r>
            <w:r>
              <mc:AlternateContent>
                <mc:Choice Requires="wpg">
                  <w:drawing>
                    <wp:inline xmlns:wp="http://schemas.openxmlformats.org/drawingml/2006/wordprocessingDrawing" distT="0" distB="0" distL="0" distR="0">
                      <wp:extent cx="3864465" cy="68701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62999" name=""/>
                              <pic:cNvPicPr>
                                <a:picLocks noChangeAspect="1"/>
                              </pic:cNvPicPr>
                              <pic:nvPr/>
                            </pic:nvPicPr>
                            <pic:blipFill rotWithShape="1">
                              <a:blip r:embed="rId33"/>
                              <a:stretch/>
                            </pic:blipFill>
                            <pic:spPr bwMode="auto">
                              <a:xfrm flipH="0" flipV="0">
                                <a:off x="0" y="0"/>
                                <a:ext cx="3864464" cy="6870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04.29pt;height:540.96pt;mso-wrap-distance-left:0.00pt;mso-wrap-distance-top:0.00pt;mso-wrap-distance-right:0.00pt;mso-wrap-distance-bottom:0.00pt;z-index:1;" stroked="false">
                      <v:imagedata r:id="rId33"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Lê Đình Duy</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iCs/>
          <w:highlight w:val="none"/>
          <w:lang w:val="pt-BR"/>
        </w:rPr>
      </w:pPr>
      <w:r>
        <w:rPr>
          <w:iCs/>
          <w:lang w:val="pt-BR"/>
        </w:rPr>
        <w:t xml:space="preserve">Biên bản khảo sát</w:t>
      </w:r>
      <w:r>
        <w:rPr>
          <w:iCs/>
          <w:highlight w:val="none"/>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91178"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lang w:val="pt-BR"/>
        </w:rPr>
      </w:r>
      <w:r>
        <w:rPr>
          <w:lang w:val="pt-BR"/>
        </w:rPr>
      </w:r>
    </w:p>
    <w:sectPr>
      <w:footerReference w:type="even" r:id="rId10"/>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9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9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05989F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1E54B5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704AAB7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33008316"/>
    <w:lvl w:ilvl="0">
      <w:isLgl w:val="false"/>
      <w:lvlJc w:val="left"/>
      <w:lvlText w:val=""/>
      <w:numFmt w:val="bullet"/>
      <w:pPr>
        <w:pBdr/>
        <w:spacing/>
        <w:ind w:hanging="360" w:left="1066"/>
      </w:pPr>
      <w:rPr>
        <w:rFonts w:ascii="Wingdings" w:hAnsi="Wingdings"/>
        <w:vertAlign w:val="baseline"/>
      </w:rPr>
      <w:start w:val="1"/>
      <w:suff w:val="tab"/>
    </w:lvl>
    <w:lvl w:ilvl="1">
      <w:isLgl w:val="false"/>
      <w:lvlJc w:val="left"/>
      <w:lvlText w:val="o"/>
      <w:numFmt w:val="bullet"/>
      <w:pPr>
        <w:pBdr/>
        <w:spacing/>
        <w:ind w:hanging="360" w:left="1786"/>
      </w:pPr>
      <w:rPr>
        <w:rFonts w:hint="default" w:ascii="Courier New" w:hAnsi="Courier New" w:eastAsia="Courier New" w:cs="Courier New"/>
      </w:rPr>
      <w:start w:val="1"/>
      <w:suff w:val="tab"/>
    </w:lvl>
    <w:lvl w:ilvl="2">
      <w:isLgl w:val="false"/>
      <w:lvlJc w:val="left"/>
      <w:lvlText w:val="§"/>
      <w:numFmt w:val="bullet"/>
      <w:pPr>
        <w:pBdr/>
        <w:spacing/>
        <w:ind w:hanging="360" w:left="2506"/>
      </w:pPr>
      <w:rPr>
        <w:rFonts w:hint="default" w:ascii="Wingdings" w:hAnsi="Wingdings" w:eastAsia="Wingdings" w:cs="Wingdings"/>
      </w:rPr>
      <w:start w:val="1"/>
      <w:suff w:val="tab"/>
    </w:lvl>
    <w:lvl w:ilvl="3">
      <w:isLgl w:val="false"/>
      <w:lvlJc w:val="left"/>
      <w:lvlText w:val="·"/>
      <w:numFmt w:val="bullet"/>
      <w:pPr>
        <w:pBdr/>
        <w:spacing/>
        <w:ind w:hanging="360" w:left="3226"/>
      </w:pPr>
      <w:rPr>
        <w:rFonts w:hint="default" w:ascii="Symbol" w:hAnsi="Symbol" w:eastAsia="Symbol" w:cs="Symbol"/>
      </w:rPr>
      <w:start w:val="1"/>
      <w:suff w:val="tab"/>
    </w:lvl>
    <w:lvl w:ilvl="4">
      <w:isLgl w:val="false"/>
      <w:lvlJc w:val="left"/>
      <w:lvlText w:val="o"/>
      <w:numFmt w:val="bullet"/>
      <w:pPr>
        <w:pBdr/>
        <w:spacing/>
        <w:ind w:hanging="360" w:left="3946"/>
      </w:pPr>
      <w:rPr>
        <w:rFonts w:hint="default" w:ascii="Courier New" w:hAnsi="Courier New" w:eastAsia="Courier New" w:cs="Courier New"/>
      </w:rPr>
      <w:start w:val="1"/>
      <w:suff w:val="tab"/>
    </w:lvl>
    <w:lvl w:ilvl="5">
      <w:isLgl w:val="false"/>
      <w:lvlJc w:val="left"/>
      <w:lvlText w:val="§"/>
      <w:numFmt w:val="bullet"/>
      <w:pPr>
        <w:pBdr/>
        <w:spacing/>
        <w:ind w:hanging="360" w:left="4666"/>
      </w:pPr>
      <w:rPr>
        <w:rFonts w:hint="default" w:ascii="Wingdings" w:hAnsi="Wingdings" w:eastAsia="Wingdings" w:cs="Wingdings"/>
      </w:rPr>
      <w:start w:val="1"/>
      <w:suff w:val="tab"/>
    </w:lvl>
    <w:lvl w:ilvl="6">
      <w:isLgl w:val="false"/>
      <w:lvlJc w:val="left"/>
      <w:lvlText w:val="·"/>
      <w:numFmt w:val="bullet"/>
      <w:pPr>
        <w:pBdr/>
        <w:spacing/>
        <w:ind w:hanging="360" w:left="5386"/>
      </w:pPr>
      <w:rPr>
        <w:rFonts w:hint="default" w:ascii="Symbol" w:hAnsi="Symbol" w:eastAsia="Symbol" w:cs="Symbol"/>
      </w:rPr>
      <w:start w:val="1"/>
      <w:suff w:val="tab"/>
    </w:lvl>
    <w:lvl w:ilvl="7">
      <w:isLgl w:val="false"/>
      <w:lvlJc w:val="left"/>
      <w:lvlText w:val="o"/>
      <w:numFmt w:val="bullet"/>
      <w:pPr>
        <w:pBdr/>
        <w:spacing/>
        <w:ind w:hanging="360" w:left="6106"/>
      </w:pPr>
      <w:rPr>
        <w:rFonts w:hint="default" w:ascii="Courier New" w:hAnsi="Courier New" w:eastAsia="Courier New" w:cs="Courier New"/>
      </w:rPr>
      <w:start w:val="1"/>
      <w:suff w:val="tab"/>
    </w:lvl>
    <w:lvl w:ilvl="8">
      <w:isLgl w:val="false"/>
      <w:lvlJc w:val="left"/>
      <w:lvlText w:val="§"/>
      <w:numFmt w:val="bullet"/>
      <w:pPr>
        <w:pBdr/>
        <w:spacing/>
        <w:ind w:hanging="360" w:left="6826"/>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06">
    <w:name w:val="Table Grid Light"/>
    <w:basedOn w:val="97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Plain Table 1"/>
    <w:basedOn w:val="97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Plain Table 2"/>
    <w:basedOn w:val="97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Plain Table 3"/>
    <w:basedOn w:val="97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Plain Table 4"/>
    <w:basedOn w:val="97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Plain Table 5"/>
    <w:basedOn w:val="97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1 Light"/>
    <w:basedOn w:val="97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1 Light - Accent 1"/>
    <w:basedOn w:val="97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1 Light - Accent 2"/>
    <w:basedOn w:val="97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1 Light - Accent 3"/>
    <w:basedOn w:val="97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1 Light - Accent 4"/>
    <w:basedOn w:val="97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1 Light - Accent 5"/>
    <w:basedOn w:val="97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1 Light - Accent 6"/>
    <w:basedOn w:val="97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2"/>
    <w:basedOn w:val="97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2 - Accent 1"/>
    <w:basedOn w:val="97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2 - Accent 2"/>
    <w:basedOn w:val="97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2 - Accent 3"/>
    <w:basedOn w:val="97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2 - Accent 4"/>
    <w:basedOn w:val="97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2 - Accent 5"/>
    <w:basedOn w:val="97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2 - Accent 6"/>
    <w:basedOn w:val="97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3"/>
    <w:basedOn w:val="97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3 - Accent 1"/>
    <w:basedOn w:val="97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3 - Accent 2"/>
    <w:basedOn w:val="97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3 - Accent 3"/>
    <w:basedOn w:val="97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3 - Accent 4"/>
    <w:basedOn w:val="97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3 - Accent 5"/>
    <w:basedOn w:val="97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3 - Accent 6"/>
    <w:basedOn w:val="97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4"/>
    <w:basedOn w:val="97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4 - Accent 1"/>
    <w:basedOn w:val="97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4 - Accent 2"/>
    <w:basedOn w:val="97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4 - Accent 3"/>
    <w:basedOn w:val="97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4 - Accent 4"/>
    <w:basedOn w:val="97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4 - Accent 5"/>
    <w:basedOn w:val="97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4 - Accent 6"/>
    <w:basedOn w:val="97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5 Dark"/>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5 Dark- Accent 1"/>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5 Dark - Accent 2"/>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5 Dark - Accent 3"/>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5 Dark- Accent 4"/>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5 Dark - Accent 5"/>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5 Dark - Accent 6"/>
    <w:basedOn w:val="97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6 Colorful"/>
    <w:basedOn w:val="97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48">
    <w:name w:val="Grid Table 6 Colorful - Accent 1"/>
    <w:basedOn w:val="97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49">
    <w:name w:val="Grid Table 6 Colorful - Accent 2"/>
    <w:basedOn w:val="97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50">
    <w:name w:val="Grid Table 6 Colorful - Accent 3"/>
    <w:basedOn w:val="97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51">
    <w:name w:val="Grid Table 6 Colorful - Accent 4"/>
    <w:basedOn w:val="97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52">
    <w:name w:val="Grid Table 6 Colorful - Accent 5"/>
    <w:basedOn w:val="97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3">
    <w:name w:val="Grid Table 6 Colorful - Accent 6"/>
    <w:basedOn w:val="97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4">
    <w:name w:val="Grid Table 7 Colorful"/>
    <w:basedOn w:val="97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7 Colorful - Accent 1"/>
    <w:basedOn w:val="97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7 Colorful - Accent 2"/>
    <w:basedOn w:val="97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7 Colorful - Accent 3"/>
    <w:basedOn w:val="97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7 Colorful - Accent 4"/>
    <w:basedOn w:val="97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7 Colorful - Accent 5"/>
    <w:basedOn w:val="97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7 Colorful - Accent 6"/>
    <w:basedOn w:val="97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1 Light"/>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1 Light - Accent 1"/>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1 Light - Accent 2"/>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1 Light - Accent 3"/>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1 Light - Accent 4"/>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1 Light - Accent 5"/>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1 Light - Accent 6"/>
    <w:basedOn w:val="97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2"/>
    <w:basedOn w:val="97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2 - Accent 1"/>
    <w:basedOn w:val="97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2 - Accent 2"/>
    <w:basedOn w:val="97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2 - Accent 3"/>
    <w:basedOn w:val="97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2 - Accent 4"/>
    <w:basedOn w:val="97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2 - Accent 5"/>
    <w:basedOn w:val="97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2 - Accent 6"/>
    <w:basedOn w:val="97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3"/>
    <w:basedOn w:val="97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3 - Accent 1"/>
    <w:basedOn w:val="97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3 - Accent 2"/>
    <w:basedOn w:val="97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3 - Accent 3"/>
    <w:basedOn w:val="97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3 - Accent 4"/>
    <w:basedOn w:val="97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3 - Accent 5"/>
    <w:basedOn w:val="97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3 - Accent 6"/>
    <w:basedOn w:val="97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4"/>
    <w:basedOn w:val="97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4 - Accent 1"/>
    <w:basedOn w:val="97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4 - Accent 2"/>
    <w:basedOn w:val="97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4 - Accent 3"/>
    <w:basedOn w:val="97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4 - Accent 4"/>
    <w:basedOn w:val="97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4 - Accent 5"/>
    <w:basedOn w:val="97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4 - Accent 6"/>
    <w:basedOn w:val="97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5 Dark"/>
    <w:basedOn w:val="97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0">
    <w:name w:val="List Table 5 Dark - Accent 1"/>
    <w:basedOn w:val="97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1">
    <w:name w:val="List Table 5 Dark - Accent 2"/>
    <w:basedOn w:val="97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2">
    <w:name w:val="List Table 5 Dark - Accent 3"/>
    <w:basedOn w:val="97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3">
    <w:name w:val="List Table 5 Dark - Accent 4"/>
    <w:basedOn w:val="97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4">
    <w:name w:val="List Table 5 Dark - Accent 5"/>
    <w:basedOn w:val="97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5">
    <w:name w:val="List Table 5 Dark - Accent 6"/>
    <w:basedOn w:val="97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6">
    <w:name w:val="List Table 6 Colorful"/>
    <w:basedOn w:val="97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6 Colorful - Accent 1"/>
    <w:basedOn w:val="97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6 Colorful - Accent 2"/>
    <w:basedOn w:val="97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6 Colorful - Accent 3"/>
    <w:basedOn w:val="97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6 Colorful - Accent 4"/>
    <w:basedOn w:val="97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6 Colorful - Accent 5"/>
    <w:basedOn w:val="97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6 Colorful - Accent 6"/>
    <w:basedOn w:val="97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7 Colorful"/>
    <w:basedOn w:val="97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04">
    <w:name w:val="List Table 7 Colorful - Accent 1"/>
    <w:basedOn w:val="97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05">
    <w:name w:val="List Table 7 Colorful - Accent 2"/>
    <w:basedOn w:val="97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06">
    <w:name w:val="List Table 7 Colorful - Accent 3"/>
    <w:basedOn w:val="97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07">
    <w:name w:val="List Table 7 Colorful - Accent 4"/>
    <w:basedOn w:val="97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08">
    <w:name w:val="List Table 7 Colorful - Accent 5"/>
    <w:basedOn w:val="97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09">
    <w:name w:val="List Table 7 Colorful - Accent 6"/>
    <w:basedOn w:val="97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10">
    <w:name w:val="Lined - Accent"/>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ned - Accent 1"/>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ned - Accent 2"/>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ned - Accent 3"/>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ned - Accent 4"/>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ned - Accent 5"/>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ned - Accent 6"/>
    <w:basedOn w:val="97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Bordered &amp; Lined - Accent"/>
    <w:basedOn w:val="97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Bordered &amp; Lined - Accent 1"/>
    <w:basedOn w:val="97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amp; Lined - Accent 2"/>
    <w:basedOn w:val="97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amp; Lined - Accent 3"/>
    <w:basedOn w:val="97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Bordered &amp; Lined - Accent 4"/>
    <w:basedOn w:val="97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Bordered &amp; Lined - Accent 5"/>
    <w:basedOn w:val="97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Bordered &amp; Lined - Accent 6"/>
    <w:basedOn w:val="97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Bordered"/>
    <w:basedOn w:val="97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Bordered - Accent 1"/>
    <w:basedOn w:val="97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Bordered - Accent 2"/>
    <w:basedOn w:val="97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Bordered - Accent 3"/>
    <w:basedOn w:val="97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Bordered - Accent 4"/>
    <w:basedOn w:val="97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Bordered - Accent 5"/>
    <w:basedOn w:val="97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Bordered - Accent 6"/>
    <w:basedOn w:val="97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31">
    <w:name w:val="Heading 5"/>
    <w:basedOn w:val="972"/>
    <w:next w:val="972"/>
    <w:link w:val="93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32">
    <w:name w:val="Heading 6"/>
    <w:basedOn w:val="972"/>
    <w:next w:val="972"/>
    <w:link w:val="93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33">
    <w:name w:val="Heading 7"/>
    <w:basedOn w:val="972"/>
    <w:next w:val="972"/>
    <w:link w:val="93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34">
    <w:name w:val="Heading 8"/>
    <w:basedOn w:val="972"/>
    <w:next w:val="972"/>
    <w:link w:val="93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35">
    <w:name w:val="Heading 9"/>
    <w:basedOn w:val="972"/>
    <w:next w:val="972"/>
    <w:link w:val="94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36">
    <w:name w:val="Heading 5 Char"/>
    <w:basedOn w:val="977"/>
    <w:link w:val="931"/>
    <w:uiPriority w:val="9"/>
    <w:pPr>
      <w:pBdr/>
      <w:spacing/>
      <w:ind/>
    </w:pPr>
    <w:rPr>
      <w:rFonts w:ascii="Arial" w:hAnsi="Arial" w:eastAsia="Arial" w:cs="Arial"/>
      <w:color w:val="0f4761" w:themeColor="accent1" w:themeShade="BF"/>
    </w:rPr>
  </w:style>
  <w:style w:type="character" w:styleId="937">
    <w:name w:val="Heading 6 Char"/>
    <w:basedOn w:val="977"/>
    <w:link w:val="932"/>
    <w:uiPriority w:val="9"/>
    <w:pPr>
      <w:pBdr/>
      <w:spacing/>
      <w:ind/>
    </w:pPr>
    <w:rPr>
      <w:rFonts w:ascii="Arial" w:hAnsi="Arial" w:eastAsia="Arial" w:cs="Arial"/>
      <w:i/>
      <w:iCs/>
      <w:color w:val="595959" w:themeColor="text1" w:themeTint="A6"/>
    </w:rPr>
  </w:style>
  <w:style w:type="character" w:styleId="938">
    <w:name w:val="Heading 7 Char"/>
    <w:basedOn w:val="977"/>
    <w:link w:val="933"/>
    <w:uiPriority w:val="9"/>
    <w:pPr>
      <w:pBdr/>
      <w:spacing/>
      <w:ind/>
    </w:pPr>
    <w:rPr>
      <w:rFonts w:ascii="Arial" w:hAnsi="Arial" w:eastAsia="Arial" w:cs="Arial"/>
      <w:color w:val="595959" w:themeColor="text1" w:themeTint="A6"/>
    </w:rPr>
  </w:style>
  <w:style w:type="character" w:styleId="939">
    <w:name w:val="Heading 8 Char"/>
    <w:basedOn w:val="977"/>
    <w:link w:val="934"/>
    <w:uiPriority w:val="9"/>
    <w:pPr>
      <w:pBdr/>
      <w:spacing/>
      <w:ind/>
    </w:pPr>
    <w:rPr>
      <w:rFonts w:ascii="Arial" w:hAnsi="Arial" w:eastAsia="Arial" w:cs="Arial"/>
      <w:i/>
      <w:iCs/>
      <w:color w:val="272727" w:themeColor="text1" w:themeTint="D8"/>
    </w:rPr>
  </w:style>
  <w:style w:type="character" w:styleId="940">
    <w:name w:val="Heading 9 Char"/>
    <w:basedOn w:val="977"/>
    <w:link w:val="935"/>
    <w:uiPriority w:val="9"/>
    <w:pPr>
      <w:pBdr/>
      <w:spacing/>
      <w:ind/>
    </w:pPr>
    <w:rPr>
      <w:rFonts w:ascii="Arial" w:hAnsi="Arial" w:eastAsia="Arial" w:cs="Arial"/>
      <w:i/>
      <w:iCs/>
      <w:color w:val="272727" w:themeColor="text1" w:themeTint="D8"/>
    </w:rPr>
  </w:style>
  <w:style w:type="paragraph" w:styleId="941">
    <w:name w:val="Subtitle"/>
    <w:basedOn w:val="972"/>
    <w:next w:val="972"/>
    <w:link w:val="942"/>
    <w:uiPriority w:val="11"/>
    <w:qFormat/>
    <w:pPr>
      <w:numPr>
        <w:ilvl w:val="1"/>
      </w:numPr>
      <w:pBdr/>
      <w:spacing/>
      <w:ind/>
    </w:pPr>
    <w:rPr>
      <w:color w:val="595959" w:themeColor="text1" w:themeTint="A6"/>
      <w:spacing w:val="15"/>
      <w:sz w:val="28"/>
      <w:szCs w:val="28"/>
    </w:rPr>
  </w:style>
  <w:style w:type="character" w:styleId="942">
    <w:name w:val="Subtitle Char"/>
    <w:basedOn w:val="977"/>
    <w:link w:val="941"/>
    <w:uiPriority w:val="11"/>
    <w:pPr>
      <w:pBdr/>
      <w:spacing/>
      <w:ind/>
    </w:pPr>
    <w:rPr>
      <w:color w:val="595959" w:themeColor="text1" w:themeTint="A6"/>
      <w:spacing w:val="15"/>
      <w:sz w:val="28"/>
      <w:szCs w:val="28"/>
    </w:rPr>
  </w:style>
  <w:style w:type="paragraph" w:styleId="943">
    <w:name w:val="Quote"/>
    <w:basedOn w:val="972"/>
    <w:next w:val="972"/>
    <w:link w:val="944"/>
    <w:uiPriority w:val="29"/>
    <w:qFormat/>
    <w:pPr>
      <w:pBdr/>
      <w:spacing w:before="160"/>
      <w:ind/>
      <w:jc w:val="center"/>
    </w:pPr>
    <w:rPr>
      <w:i/>
      <w:iCs/>
      <w:color w:val="404040" w:themeColor="text1" w:themeTint="BF"/>
    </w:rPr>
  </w:style>
  <w:style w:type="character" w:styleId="944">
    <w:name w:val="Quote Char"/>
    <w:basedOn w:val="977"/>
    <w:link w:val="943"/>
    <w:uiPriority w:val="29"/>
    <w:pPr>
      <w:pBdr/>
      <w:spacing/>
      <w:ind/>
    </w:pPr>
    <w:rPr>
      <w:i/>
      <w:iCs/>
      <w:color w:val="404040" w:themeColor="text1" w:themeTint="BF"/>
    </w:rPr>
  </w:style>
  <w:style w:type="character" w:styleId="945">
    <w:name w:val="Intense Emphasis"/>
    <w:basedOn w:val="977"/>
    <w:uiPriority w:val="21"/>
    <w:qFormat/>
    <w:pPr>
      <w:pBdr/>
      <w:spacing/>
      <w:ind/>
    </w:pPr>
    <w:rPr>
      <w:i/>
      <w:iCs/>
      <w:color w:val="0f4761" w:themeColor="accent1" w:themeShade="BF"/>
    </w:rPr>
  </w:style>
  <w:style w:type="paragraph" w:styleId="946">
    <w:name w:val="Intense Quote"/>
    <w:basedOn w:val="972"/>
    <w:next w:val="972"/>
    <w:link w:val="94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47">
    <w:name w:val="Intense Quote Char"/>
    <w:basedOn w:val="977"/>
    <w:link w:val="946"/>
    <w:uiPriority w:val="30"/>
    <w:pPr>
      <w:pBdr/>
      <w:spacing/>
      <w:ind/>
    </w:pPr>
    <w:rPr>
      <w:i/>
      <w:iCs/>
      <w:color w:val="0f4761" w:themeColor="accent1" w:themeShade="BF"/>
    </w:rPr>
  </w:style>
  <w:style w:type="character" w:styleId="948">
    <w:name w:val="Intense Reference"/>
    <w:basedOn w:val="977"/>
    <w:uiPriority w:val="32"/>
    <w:qFormat/>
    <w:pPr>
      <w:pBdr/>
      <w:spacing/>
      <w:ind/>
    </w:pPr>
    <w:rPr>
      <w:b/>
      <w:bCs/>
      <w:smallCaps/>
      <w:color w:val="0f4761" w:themeColor="accent1" w:themeShade="BF"/>
      <w:spacing w:val="5"/>
    </w:rPr>
  </w:style>
  <w:style w:type="paragraph" w:styleId="949">
    <w:name w:val="No Spacing"/>
    <w:basedOn w:val="972"/>
    <w:uiPriority w:val="1"/>
    <w:qFormat/>
    <w:pPr>
      <w:pBdr/>
      <w:spacing w:after="0" w:line="240" w:lineRule="auto"/>
      <w:ind/>
    </w:pPr>
  </w:style>
  <w:style w:type="character" w:styleId="950">
    <w:name w:val="Subtle Emphasis"/>
    <w:basedOn w:val="977"/>
    <w:uiPriority w:val="19"/>
    <w:qFormat/>
    <w:pPr>
      <w:pBdr/>
      <w:spacing/>
      <w:ind/>
    </w:pPr>
    <w:rPr>
      <w:i/>
      <w:iCs/>
      <w:color w:val="404040" w:themeColor="text1" w:themeTint="BF"/>
    </w:rPr>
  </w:style>
  <w:style w:type="character" w:styleId="951">
    <w:name w:val="Subtle Reference"/>
    <w:basedOn w:val="977"/>
    <w:uiPriority w:val="31"/>
    <w:qFormat/>
    <w:pPr>
      <w:pBdr/>
      <w:spacing/>
      <w:ind/>
    </w:pPr>
    <w:rPr>
      <w:smallCaps/>
      <w:color w:val="5a5a5a" w:themeColor="text1" w:themeTint="A5"/>
    </w:rPr>
  </w:style>
  <w:style w:type="character" w:styleId="952">
    <w:name w:val="Book Title"/>
    <w:basedOn w:val="977"/>
    <w:uiPriority w:val="33"/>
    <w:qFormat/>
    <w:pPr>
      <w:pBdr/>
      <w:spacing/>
      <w:ind/>
    </w:pPr>
    <w:rPr>
      <w:b/>
      <w:bCs/>
      <w:i/>
      <w:iCs/>
      <w:spacing w:val="5"/>
    </w:rPr>
  </w:style>
  <w:style w:type="paragraph" w:styleId="953">
    <w:name w:val="Caption"/>
    <w:basedOn w:val="972"/>
    <w:next w:val="972"/>
    <w:uiPriority w:val="35"/>
    <w:unhideWhenUsed/>
    <w:qFormat/>
    <w:pPr>
      <w:pBdr/>
      <w:spacing w:after="200" w:line="240" w:lineRule="auto"/>
      <w:ind/>
    </w:pPr>
    <w:rPr>
      <w:i/>
      <w:iCs/>
      <w:color w:val="0e2841" w:themeColor="text2"/>
      <w:sz w:val="18"/>
      <w:szCs w:val="18"/>
    </w:rPr>
  </w:style>
  <w:style w:type="paragraph" w:styleId="954">
    <w:name w:val="footnote text"/>
    <w:basedOn w:val="972"/>
    <w:link w:val="955"/>
    <w:uiPriority w:val="99"/>
    <w:semiHidden/>
    <w:unhideWhenUsed/>
    <w:pPr>
      <w:pBdr/>
      <w:spacing w:after="0" w:line="240" w:lineRule="auto"/>
      <w:ind/>
    </w:pPr>
    <w:rPr>
      <w:sz w:val="20"/>
      <w:szCs w:val="20"/>
    </w:rPr>
  </w:style>
  <w:style w:type="character" w:styleId="955">
    <w:name w:val="Footnote Text Char"/>
    <w:basedOn w:val="977"/>
    <w:link w:val="954"/>
    <w:uiPriority w:val="99"/>
    <w:semiHidden/>
    <w:pPr>
      <w:pBdr/>
      <w:spacing/>
      <w:ind/>
    </w:pPr>
    <w:rPr>
      <w:sz w:val="20"/>
      <w:szCs w:val="20"/>
    </w:rPr>
  </w:style>
  <w:style w:type="character" w:styleId="956">
    <w:name w:val="footnote reference"/>
    <w:basedOn w:val="977"/>
    <w:uiPriority w:val="99"/>
    <w:semiHidden/>
    <w:unhideWhenUsed/>
    <w:pPr>
      <w:pBdr/>
      <w:spacing/>
      <w:ind/>
    </w:pPr>
    <w:rPr>
      <w:vertAlign w:val="superscript"/>
    </w:rPr>
  </w:style>
  <w:style w:type="paragraph" w:styleId="957">
    <w:name w:val="endnote text"/>
    <w:basedOn w:val="972"/>
    <w:link w:val="958"/>
    <w:uiPriority w:val="99"/>
    <w:semiHidden/>
    <w:unhideWhenUsed/>
    <w:pPr>
      <w:pBdr/>
      <w:spacing w:after="0" w:line="240" w:lineRule="auto"/>
      <w:ind/>
    </w:pPr>
    <w:rPr>
      <w:sz w:val="20"/>
      <w:szCs w:val="20"/>
    </w:rPr>
  </w:style>
  <w:style w:type="character" w:styleId="958">
    <w:name w:val="Endnote Text Char"/>
    <w:basedOn w:val="977"/>
    <w:link w:val="957"/>
    <w:uiPriority w:val="99"/>
    <w:semiHidden/>
    <w:pPr>
      <w:pBdr/>
      <w:spacing/>
      <w:ind/>
    </w:pPr>
    <w:rPr>
      <w:sz w:val="20"/>
      <w:szCs w:val="20"/>
    </w:rPr>
  </w:style>
  <w:style w:type="character" w:styleId="959">
    <w:name w:val="endnote reference"/>
    <w:basedOn w:val="977"/>
    <w:uiPriority w:val="99"/>
    <w:semiHidden/>
    <w:unhideWhenUsed/>
    <w:pPr>
      <w:pBdr/>
      <w:spacing/>
      <w:ind/>
    </w:pPr>
    <w:rPr>
      <w:vertAlign w:val="superscript"/>
    </w:rPr>
  </w:style>
  <w:style w:type="paragraph" w:styleId="960">
    <w:name w:val="toc 1"/>
    <w:basedOn w:val="972"/>
    <w:next w:val="972"/>
    <w:uiPriority w:val="39"/>
    <w:unhideWhenUsed/>
    <w:pPr>
      <w:pBdr/>
      <w:spacing w:after="100"/>
      <w:ind/>
    </w:pPr>
  </w:style>
  <w:style w:type="paragraph" w:styleId="961">
    <w:name w:val="toc 2"/>
    <w:basedOn w:val="972"/>
    <w:next w:val="972"/>
    <w:uiPriority w:val="39"/>
    <w:unhideWhenUsed/>
    <w:pPr>
      <w:pBdr/>
      <w:spacing w:after="100"/>
      <w:ind w:left="220"/>
    </w:pPr>
  </w:style>
  <w:style w:type="paragraph" w:styleId="962">
    <w:name w:val="toc 3"/>
    <w:basedOn w:val="972"/>
    <w:next w:val="972"/>
    <w:uiPriority w:val="39"/>
    <w:unhideWhenUsed/>
    <w:pPr>
      <w:pBdr/>
      <w:spacing w:after="100"/>
      <w:ind w:left="440"/>
    </w:pPr>
  </w:style>
  <w:style w:type="paragraph" w:styleId="963">
    <w:name w:val="toc 4"/>
    <w:basedOn w:val="972"/>
    <w:next w:val="972"/>
    <w:uiPriority w:val="39"/>
    <w:unhideWhenUsed/>
    <w:pPr>
      <w:pBdr/>
      <w:spacing w:after="100"/>
      <w:ind w:left="660"/>
    </w:pPr>
  </w:style>
  <w:style w:type="paragraph" w:styleId="964">
    <w:name w:val="toc 5"/>
    <w:basedOn w:val="972"/>
    <w:next w:val="972"/>
    <w:uiPriority w:val="39"/>
    <w:unhideWhenUsed/>
    <w:pPr>
      <w:pBdr/>
      <w:spacing w:after="100"/>
      <w:ind w:left="880"/>
    </w:pPr>
  </w:style>
  <w:style w:type="paragraph" w:styleId="965">
    <w:name w:val="toc 6"/>
    <w:basedOn w:val="972"/>
    <w:next w:val="972"/>
    <w:uiPriority w:val="39"/>
    <w:unhideWhenUsed/>
    <w:pPr>
      <w:pBdr/>
      <w:spacing w:after="100"/>
      <w:ind w:left="1100"/>
    </w:pPr>
  </w:style>
  <w:style w:type="paragraph" w:styleId="966">
    <w:name w:val="toc 7"/>
    <w:basedOn w:val="972"/>
    <w:next w:val="972"/>
    <w:uiPriority w:val="39"/>
    <w:unhideWhenUsed/>
    <w:pPr>
      <w:pBdr/>
      <w:spacing w:after="100"/>
      <w:ind w:left="1320"/>
    </w:pPr>
  </w:style>
  <w:style w:type="paragraph" w:styleId="967">
    <w:name w:val="toc 8"/>
    <w:basedOn w:val="972"/>
    <w:next w:val="972"/>
    <w:uiPriority w:val="39"/>
    <w:unhideWhenUsed/>
    <w:pPr>
      <w:pBdr/>
      <w:spacing w:after="100"/>
      <w:ind w:left="1540"/>
    </w:pPr>
  </w:style>
  <w:style w:type="paragraph" w:styleId="968">
    <w:name w:val="toc 9"/>
    <w:basedOn w:val="972"/>
    <w:next w:val="972"/>
    <w:uiPriority w:val="39"/>
    <w:unhideWhenUsed/>
    <w:pPr>
      <w:pBdr/>
      <w:spacing w:after="100"/>
      <w:ind w:left="1760"/>
    </w:pPr>
  </w:style>
  <w:style w:type="character" w:styleId="969">
    <w:name w:val="Placeholder Text"/>
    <w:basedOn w:val="977"/>
    <w:uiPriority w:val="99"/>
    <w:semiHidden/>
    <w:pPr>
      <w:pBdr/>
      <w:spacing/>
      <w:ind/>
    </w:pPr>
    <w:rPr>
      <w:color w:val="666666"/>
    </w:rPr>
  </w:style>
  <w:style w:type="paragraph" w:styleId="970">
    <w:name w:val="TOC Heading"/>
    <w:uiPriority w:val="39"/>
    <w:unhideWhenUsed/>
    <w:pPr>
      <w:pBdr/>
      <w:spacing/>
      <w:ind/>
    </w:pPr>
  </w:style>
  <w:style w:type="paragraph" w:styleId="971">
    <w:name w:val="table of figures"/>
    <w:basedOn w:val="972"/>
    <w:next w:val="972"/>
    <w:uiPriority w:val="99"/>
    <w:unhideWhenUsed/>
    <w:pPr>
      <w:pBdr/>
      <w:spacing w:after="0" w:afterAutospacing="0"/>
      <w:ind/>
    </w:pPr>
  </w:style>
  <w:style w:type="paragraph" w:styleId="972" w:default="1">
    <w:name w:val="Normal"/>
    <w:qFormat/>
    <w:pPr>
      <w:pBdr/>
      <w:spacing w:after="0" w:line="240" w:lineRule="auto"/>
      <w:ind/>
    </w:pPr>
    <w:rPr>
      <w:rFonts w:ascii="Times New Roman" w:hAnsi="Times New Roman" w:eastAsia="Times New Roman" w:cs="Times New Roman"/>
      <w:sz w:val="24"/>
      <w:szCs w:val="24"/>
    </w:rPr>
  </w:style>
  <w:style w:type="paragraph" w:styleId="973">
    <w:name w:val="Heading 1"/>
    <w:basedOn w:val="972"/>
    <w:next w:val="972"/>
    <w:link w:val="980"/>
    <w:qFormat/>
    <w:pPr>
      <w:keepNext w:val="true"/>
      <w:pBdr/>
      <w:spacing w:after="120" w:before="120"/>
      <w:ind/>
      <w:jc w:val="center"/>
      <w:outlineLvl w:val="0"/>
    </w:pPr>
    <w:rPr>
      <w:b/>
      <w:bCs/>
      <w:sz w:val="27"/>
      <w:szCs w:val="27"/>
    </w:rPr>
  </w:style>
  <w:style w:type="paragraph" w:styleId="974">
    <w:name w:val="Heading 2"/>
    <w:basedOn w:val="972"/>
    <w:next w:val="972"/>
    <w:link w:val="98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75">
    <w:name w:val="Heading 3"/>
    <w:basedOn w:val="972"/>
    <w:next w:val="972"/>
    <w:link w:val="982"/>
    <w:qFormat/>
    <w:pPr>
      <w:keepNext w:val="true"/>
      <w:pBdr/>
      <w:spacing w:before="60"/>
      <w:ind/>
      <w:outlineLvl w:val="2"/>
    </w:pPr>
    <w:rPr>
      <w:sz w:val="28"/>
      <w:szCs w:val="28"/>
    </w:rPr>
  </w:style>
  <w:style w:type="paragraph" w:styleId="976">
    <w:name w:val="Heading 4"/>
    <w:basedOn w:val="972"/>
    <w:next w:val="972"/>
    <w:link w:val="983"/>
    <w:qFormat/>
    <w:pPr>
      <w:keepNext w:val="true"/>
      <w:pBdr/>
      <w:spacing/>
      <w:ind/>
      <w:jc w:val="center"/>
      <w:outlineLvl w:val="3"/>
    </w:pPr>
    <w:rPr>
      <w:b/>
      <w:bCs/>
    </w:rPr>
  </w:style>
  <w:style w:type="character" w:styleId="977" w:default="1">
    <w:name w:val="Default Paragraph Font"/>
    <w:uiPriority w:val="1"/>
    <w:semiHidden/>
    <w:unhideWhenUsed/>
    <w:pPr>
      <w:pBdr/>
      <w:spacing/>
      <w:ind/>
    </w:pPr>
  </w:style>
  <w:style w:type="table" w:styleId="97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79" w:default="1">
    <w:name w:val="No List"/>
    <w:uiPriority w:val="99"/>
    <w:semiHidden/>
    <w:unhideWhenUsed/>
    <w:pPr>
      <w:pBdr/>
      <w:spacing/>
      <w:ind/>
    </w:pPr>
  </w:style>
  <w:style w:type="character" w:styleId="980" w:customStyle="1">
    <w:name w:val="Heading 1 Char"/>
    <w:basedOn w:val="977"/>
    <w:link w:val="973"/>
    <w:pPr>
      <w:pBdr/>
      <w:spacing/>
      <w:ind/>
    </w:pPr>
    <w:rPr>
      <w:rFonts w:ascii="Times New Roman" w:hAnsi="Times New Roman" w:eastAsia="Times New Roman" w:cs="Times New Roman"/>
      <w:b/>
      <w:bCs/>
      <w:sz w:val="27"/>
      <w:szCs w:val="27"/>
    </w:rPr>
  </w:style>
  <w:style w:type="character" w:styleId="981" w:customStyle="1">
    <w:name w:val="Heading 2 Char"/>
    <w:basedOn w:val="977"/>
    <w:link w:val="974"/>
    <w:uiPriority w:val="9"/>
    <w:pPr>
      <w:pBdr/>
      <w:spacing/>
      <w:ind/>
    </w:pPr>
    <w:rPr>
      <w:rFonts w:asciiTheme="majorHAnsi" w:hAnsiTheme="majorHAnsi" w:eastAsiaTheme="majorEastAsia" w:cstheme="majorBidi"/>
      <w:color w:val="365f91" w:themeColor="accent1" w:themeShade="BF"/>
      <w:sz w:val="26"/>
      <w:szCs w:val="26"/>
    </w:rPr>
  </w:style>
  <w:style w:type="character" w:styleId="982" w:customStyle="1">
    <w:name w:val="Heading 3 Char"/>
    <w:basedOn w:val="977"/>
    <w:link w:val="975"/>
    <w:pPr>
      <w:pBdr/>
      <w:spacing/>
      <w:ind/>
    </w:pPr>
    <w:rPr>
      <w:rFonts w:ascii="Times New Roman" w:hAnsi="Times New Roman" w:eastAsia="Times New Roman" w:cs="Times New Roman"/>
      <w:sz w:val="28"/>
      <w:szCs w:val="28"/>
    </w:rPr>
  </w:style>
  <w:style w:type="character" w:styleId="983" w:customStyle="1">
    <w:name w:val="Heading 4 Char"/>
    <w:basedOn w:val="977"/>
    <w:link w:val="976"/>
    <w:pPr>
      <w:pBdr/>
      <w:spacing/>
      <w:ind/>
    </w:pPr>
    <w:rPr>
      <w:rFonts w:ascii="Times New Roman" w:hAnsi="Times New Roman" w:eastAsia="Times New Roman" w:cs="Times New Roman"/>
      <w:b/>
      <w:bCs/>
      <w:sz w:val="24"/>
      <w:szCs w:val="24"/>
    </w:rPr>
  </w:style>
  <w:style w:type="character" w:styleId="984">
    <w:name w:val="Hyperlink"/>
    <w:uiPriority w:val="99"/>
    <w:pPr>
      <w:pBdr/>
      <w:spacing/>
      <w:ind/>
    </w:pPr>
    <w:rPr>
      <w:color w:val="000000"/>
      <w:u w:val="single"/>
    </w:rPr>
  </w:style>
  <w:style w:type="character" w:styleId="985">
    <w:name w:val="Strong"/>
    <w:uiPriority w:val="22"/>
    <w:qFormat/>
    <w:pPr>
      <w:pBdr/>
      <w:spacing/>
      <w:ind/>
    </w:pPr>
    <w:rPr>
      <w:b/>
      <w:bCs/>
    </w:rPr>
  </w:style>
  <w:style w:type="paragraph" w:styleId="986">
    <w:name w:val="Balloon Text"/>
    <w:basedOn w:val="972"/>
    <w:link w:val="987"/>
    <w:uiPriority w:val="99"/>
    <w:semiHidden/>
    <w:unhideWhenUsed/>
    <w:pPr>
      <w:pBdr/>
      <w:spacing/>
      <w:ind/>
    </w:pPr>
    <w:rPr>
      <w:rFonts w:ascii="Tahoma" w:hAnsi="Tahoma" w:cs="Tahoma"/>
      <w:sz w:val="16"/>
      <w:szCs w:val="16"/>
    </w:rPr>
  </w:style>
  <w:style w:type="character" w:styleId="987" w:customStyle="1">
    <w:name w:val="Balloon Text Char"/>
    <w:basedOn w:val="977"/>
    <w:link w:val="986"/>
    <w:uiPriority w:val="99"/>
    <w:semiHidden/>
    <w:pPr>
      <w:pBdr/>
      <w:spacing/>
      <w:ind/>
    </w:pPr>
    <w:rPr>
      <w:rFonts w:ascii="Tahoma" w:hAnsi="Tahoma" w:eastAsia="Times New Roman" w:cs="Tahoma"/>
      <w:sz w:val="16"/>
      <w:szCs w:val="16"/>
    </w:rPr>
  </w:style>
  <w:style w:type="paragraph" w:styleId="988">
    <w:name w:val="Header"/>
    <w:basedOn w:val="972"/>
    <w:link w:val="989"/>
    <w:unhideWhenUsed/>
    <w:pPr>
      <w:pBdr/>
      <w:tabs>
        <w:tab w:val="center" w:leader="none" w:pos="4680"/>
        <w:tab w:val="right" w:leader="none" w:pos="9360"/>
      </w:tabs>
      <w:spacing/>
      <w:ind/>
    </w:pPr>
  </w:style>
  <w:style w:type="character" w:styleId="989" w:customStyle="1">
    <w:name w:val="Header Char"/>
    <w:basedOn w:val="977"/>
    <w:link w:val="988"/>
    <w:pPr>
      <w:pBdr/>
      <w:spacing/>
      <w:ind/>
    </w:pPr>
    <w:rPr>
      <w:rFonts w:ascii="Times New Roman" w:hAnsi="Times New Roman" w:eastAsia="Times New Roman" w:cs="Times New Roman"/>
      <w:sz w:val="24"/>
      <w:szCs w:val="24"/>
    </w:rPr>
  </w:style>
  <w:style w:type="paragraph" w:styleId="990">
    <w:name w:val="Footer"/>
    <w:basedOn w:val="972"/>
    <w:link w:val="991"/>
    <w:uiPriority w:val="99"/>
    <w:unhideWhenUsed/>
    <w:pPr>
      <w:pBdr/>
      <w:tabs>
        <w:tab w:val="center" w:leader="none" w:pos="4680"/>
        <w:tab w:val="right" w:leader="none" w:pos="9360"/>
      </w:tabs>
      <w:spacing/>
      <w:ind/>
    </w:pPr>
  </w:style>
  <w:style w:type="character" w:styleId="991" w:customStyle="1">
    <w:name w:val="Footer Char"/>
    <w:basedOn w:val="977"/>
    <w:link w:val="990"/>
    <w:uiPriority w:val="99"/>
    <w:pPr>
      <w:pBdr/>
      <w:spacing/>
      <w:ind/>
    </w:pPr>
    <w:rPr>
      <w:rFonts w:ascii="Times New Roman" w:hAnsi="Times New Roman" w:eastAsia="Times New Roman" w:cs="Times New Roman"/>
      <w:sz w:val="24"/>
      <w:szCs w:val="24"/>
    </w:rPr>
  </w:style>
  <w:style w:type="character" w:styleId="992" w:customStyle="1">
    <w:name w:val="normal-h1"/>
    <w:pPr>
      <w:pBdr/>
      <w:spacing/>
      <w:ind/>
    </w:pPr>
    <w:rPr>
      <w:rFonts w:hint="default" w:ascii=".VnTime" w:hAnsi=".VnTime"/>
      <w:color w:val="0000ff"/>
      <w:sz w:val="24"/>
      <w:szCs w:val="24"/>
    </w:rPr>
  </w:style>
  <w:style w:type="paragraph" w:styleId="993" w:customStyle="1">
    <w:name w:val="normal-p"/>
    <w:basedOn w:val="972"/>
    <w:pPr>
      <w:pBdr/>
      <w:spacing/>
      <w:ind/>
      <w:jc w:val="both"/>
    </w:pPr>
    <w:rPr>
      <w:sz w:val="20"/>
      <w:szCs w:val="20"/>
    </w:rPr>
  </w:style>
  <w:style w:type="paragraph" w:styleId="994">
    <w:name w:val="List Paragraph"/>
    <w:basedOn w:val="972"/>
    <w:link w:val="1081"/>
    <w:uiPriority w:val="34"/>
    <w:qFormat/>
    <w:pPr>
      <w:pBdr/>
      <w:spacing/>
      <w:ind w:left="720"/>
    </w:pPr>
  </w:style>
  <w:style w:type="paragraph" w:styleId="995">
    <w:name w:val="Normal (Web)"/>
    <w:basedOn w:val="972"/>
    <w:uiPriority w:val="99"/>
    <w:pPr>
      <w:pBdr/>
      <w:spacing w:after="100" w:afterAutospacing="1" w:before="100" w:beforeAutospacing="1"/>
      <w:ind/>
    </w:pPr>
  </w:style>
  <w:style w:type="paragraph" w:styleId="996">
    <w:name w:val="Body Text"/>
    <w:basedOn w:val="972"/>
    <w:link w:val="997"/>
    <w:pPr>
      <w:pBdr/>
      <w:spacing w:after="120"/>
      <w:ind/>
      <w:jc w:val="both"/>
    </w:pPr>
  </w:style>
  <w:style w:type="character" w:styleId="997" w:customStyle="1">
    <w:name w:val="Body Text Char"/>
    <w:basedOn w:val="977"/>
    <w:link w:val="996"/>
    <w:pPr>
      <w:pBdr/>
      <w:spacing/>
      <w:ind/>
    </w:pPr>
    <w:rPr>
      <w:rFonts w:ascii="Times New Roman" w:hAnsi="Times New Roman" w:eastAsia="Times New Roman" w:cs="Times New Roman"/>
      <w:sz w:val="24"/>
      <w:szCs w:val="24"/>
    </w:rPr>
  </w:style>
  <w:style w:type="table" w:styleId="998">
    <w:name w:val="Table Grid"/>
    <w:basedOn w:val="97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00">
    <w:name w:val="annotation reference"/>
    <w:basedOn w:val="977"/>
    <w:uiPriority w:val="99"/>
    <w:semiHidden/>
    <w:unhideWhenUsed/>
    <w:pPr>
      <w:pBdr/>
      <w:spacing/>
      <w:ind/>
    </w:pPr>
    <w:rPr>
      <w:sz w:val="16"/>
      <w:szCs w:val="16"/>
    </w:rPr>
  </w:style>
  <w:style w:type="paragraph" w:styleId="1001">
    <w:name w:val="annotation text"/>
    <w:basedOn w:val="972"/>
    <w:link w:val="1002"/>
    <w:uiPriority w:val="99"/>
    <w:unhideWhenUsed/>
    <w:pPr>
      <w:pBdr/>
      <w:spacing/>
      <w:ind/>
    </w:pPr>
    <w:rPr>
      <w:sz w:val="20"/>
      <w:szCs w:val="20"/>
    </w:rPr>
  </w:style>
  <w:style w:type="character" w:styleId="1002" w:customStyle="1">
    <w:name w:val="Comment Text Char"/>
    <w:basedOn w:val="977"/>
    <w:link w:val="1001"/>
    <w:uiPriority w:val="99"/>
    <w:pPr>
      <w:pBdr/>
      <w:spacing/>
      <w:ind/>
    </w:pPr>
    <w:rPr>
      <w:rFonts w:ascii="Times New Roman" w:hAnsi="Times New Roman" w:eastAsia="Times New Roman" w:cs="Times New Roman"/>
      <w:sz w:val="20"/>
      <w:szCs w:val="20"/>
    </w:rPr>
  </w:style>
  <w:style w:type="paragraph" w:styleId="1003">
    <w:name w:val="annotation subject"/>
    <w:basedOn w:val="1001"/>
    <w:next w:val="1001"/>
    <w:link w:val="1004"/>
    <w:uiPriority w:val="99"/>
    <w:semiHidden/>
    <w:unhideWhenUsed/>
    <w:pPr>
      <w:pBdr/>
      <w:spacing/>
      <w:ind/>
    </w:pPr>
    <w:rPr>
      <w:b/>
      <w:bCs/>
    </w:rPr>
  </w:style>
  <w:style w:type="character" w:styleId="1004" w:customStyle="1">
    <w:name w:val="Comment Subject Char"/>
    <w:basedOn w:val="1002"/>
    <w:link w:val="1003"/>
    <w:uiPriority w:val="99"/>
    <w:semiHidden/>
    <w:pPr>
      <w:pBdr/>
      <w:spacing/>
      <w:ind/>
    </w:pPr>
    <w:rPr>
      <w:rFonts w:ascii="Times New Roman" w:hAnsi="Times New Roman" w:eastAsia="Times New Roman" w:cs="Times New Roman"/>
      <w:b/>
      <w:bCs/>
      <w:sz w:val="20"/>
      <w:szCs w:val="20"/>
    </w:rPr>
  </w:style>
  <w:style w:type="paragraph" w:styleId="1005" w:customStyle="1">
    <w:name w:val="font5"/>
    <w:basedOn w:val="972"/>
    <w:pPr>
      <w:pBdr/>
      <w:spacing w:after="100" w:afterAutospacing="1" w:before="100" w:beforeAutospacing="1"/>
      <w:ind/>
    </w:pPr>
    <w:rPr>
      <w:rFonts w:ascii="Tahoma" w:hAnsi="Tahoma" w:cs="Tahoma"/>
      <w:color w:val="000000"/>
      <w:sz w:val="18"/>
      <w:szCs w:val="18"/>
    </w:rPr>
  </w:style>
  <w:style w:type="paragraph" w:styleId="1006" w:customStyle="1">
    <w:name w:val="font6"/>
    <w:basedOn w:val="972"/>
    <w:pPr>
      <w:pBdr/>
      <w:spacing w:after="100" w:afterAutospacing="1" w:before="100" w:beforeAutospacing="1"/>
      <w:ind/>
    </w:pPr>
    <w:rPr>
      <w:rFonts w:ascii="Tahoma" w:hAnsi="Tahoma" w:cs="Tahoma"/>
      <w:b/>
      <w:bCs/>
      <w:color w:val="000000"/>
      <w:sz w:val="18"/>
      <w:szCs w:val="18"/>
    </w:rPr>
  </w:style>
  <w:style w:type="paragraph" w:styleId="1007" w:customStyle="1">
    <w:name w:val="xl233"/>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08" w:customStyle="1">
    <w:name w:val="xl234"/>
    <w:basedOn w:val="972"/>
    <w:pPr>
      <w:pBdr/>
      <w:spacing w:after="100" w:afterAutospacing="1" w:before="100" w:beforeAutospacing="1"/>
      <w:ind/>
      <w:jc w:val="center"/>
    </w:pPr>
  </w:style>
  <w:style w:type="paragraph" w:styleId="1009" w:customStyle="1">
    <w:name w:val="xl235"/>
    <w:basedOn w:val="972"/>
    <w:pPr>
      <w:pBdr/>
      <w:spacing w:after="100" w:afterAutospacing="1" w:before="100" w:beforeAutospacing="1"/>
      <w:ind/>
      <w:jc w:val="center"/>
    </w:pPr>
    <w:rPr>
      <w:b/>
      <w:bCs/>
    </w:rPr>
  </w:style>
  <w:style w:type="paragraph" w:styleId="1010" w:customStyle="1">
    <w:name w:val="xl236"/>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11" w:customStyle="1">
    <w:name w:val="xl237"/>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2" w:customStyle="1">
    <w:name w:val="xl238"/>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3" w:customStyle="1">
    <w:name w:val="xl239"/>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14" w:customStyle="1">
    <w:name w:val="xl240"/>
    <w:basedOn w:val="972"/>
    <w:pPr>
      <w:pBdr/>
      <w:spacing w:after="100" w:afterAutospacing="1" w:before="100" w:beforeAutospacing="1"/>
      <w:ind/>
    </w:pPr>
  </w:style>
  <w:style w:type="paragraph" w:styleId="1015" w:customStyle="1">
    <w:name w:val="xl241"/>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6" w:customStyle="1">
    <w:name w:val="xl242"/>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7" w:customStyle="1">
    <w:name w:val="xl243"/>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8" w:customStyle="1">
    <w:name w:val="xl244"/>
    <w:basedOn w:val="972"/>
    <w:pPr>
      <w:pBdr/>
      <w:spacing w:after="100" w:afterAutospacing="1" w:before="100" w:beforeAutospacing="1"/>
      <w:ind/>
    </w:pPr>
    <w:rPr>
      <w:b/>
      <w:bCs/>
    </w:rPr>
  </w:style>
  <w:style w:type="paragraph" w:styleId="1019" w:customStyle="1">
    <w:name w:val="xl245"/>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0" w:customStyle="1">
    <w:name w:val="xl246"/>
    <w:basedOn w:val="97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1" w:customStyle="1">
    <w:name w:val="xl247"/>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22" w:customStyle="1">
    <w:name w:val="xl248"/>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23" w:customStyle="1">
    <w:name w:val="xl249"/>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24" w:customStyle="1">
    <w:name w:val="xl250"/>
    <w:basedOn w:val="97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25" w:customStyle="1">
    <w:name w:val="xl251"/>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26" w:customStyle="1">
    <w:name w:val="xl252"/>
    <w:basedOn w:val="97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7" w:customStyle="1">
    <w:name w:val="xl253"/>
    <w:basedOn w:val="97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8" w:customStyle="1">
    <w:name w:val="xl254"/>
    <w:basedOn w:val="97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9" w:customStyle="1">
    <w:name w:val="xl255"/>
    <w:basedOn w:val="97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30" w:customStyle="1">
    <w:name w:val="xl256"/>
    <w:basedOn w:val="97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31" w:customStyle="1">
    <w:name w:val="xl257"/>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2" w:customStyle="1">
    <w:name w:val="xl258"/>
    <w:basedOn w:val="97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3" w:customStyle="1">
    <w:name w:val="xl259"/>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4" w:customStyle="1">
    <w:name w:val="xl260"/>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5" w:customStyle="1">
    <w:name w:val="xl261"/>
    <w:basedOn w:val="97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6" w:customStyle="1">
    <w:name w:val="xl262"/>
    <w:basedOn w:val="97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7" w:customStyle="1">
    <w:name w:val="xl263"/>
    <w:basedOn w:val="972"/>
    <w:pPr>
      <w:pBdr/>
      <w:shd w:val="clear" w:color="000000" w:fill="ffffff"/>
      <w:spacing w:after="100" w:afterAutospacing="1" w:before="100" w:beforeAutospacing="1"/>
      <w:ind/>
    </w:pPr>
  </w:style>
  <w:style w:type="paragraph" w:styleId="1038" w:customStyle="1">
    <w:name w:val="xl264"/>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9" w:customStyle="1">
    <w:name w:val="xl265"/>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66"/>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41" w:customStyle="1">
    <w:name w:val="xl267"/>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2" w:customStyle="1">
    <w:name w:val="xl268"/>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69"/>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70"/>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5" w:customStyle="1">
    <w:name w:val="xl271"/>
    <w:basedOn w:val="97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46" w:customStyle="1">
    <w:name w:val="xl272"/>
    <w:basedOn w:val="97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73"/>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74"/>
    <w:basedOn w:val="97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75"/>
    <w:basedOn w:val="972"/>
    <w:pPr>
      <w:pBdr/>
      <w:spacing w:after="100" w:afterAutospacing="1" w:before="100" w:beforeAutospacing="1"/>
      <w:ind/>
    </w:pPr>
  </w:style>
  <w:style w:type="paragraph" w:styleId="1050" w:customStyle="1">
    <w:name w:val="xl276"/>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1" w:customStyle="1">
    <w:name w:val="xl277"/>
    <w:basedOn w:val="97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78"/>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79"/>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80"/>
    <w:basedOn w:val="97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81"/>
    <w:basedOn w:val="97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6" w:customStyle="1">
    <w:name w:val="xl282"/>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83"/>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8" w:customStyle="1">
    <w:name w:val="xl284"/>
    <w:basedOn w:val="972"/>
    <w:pPr>
      <w:pBdr>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85"/>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86"/>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87"/>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2" w:customStyle="1">
    <w:name w:val="xl288"/>
    <w:basedOn w:val="972"/>
    <w:pPr>
      <w:pBdr>
        <w:top w:val="single" w:color="000000" w:sz="4" w:space="0"/>
        <w:left w:val="single" w:color="000000" w:sz="4" w:space="0"/>
        <w:right w:val="single" w:color="000000" w:sz="4" w:space="0"/>
      </w:pBdr>
      <w:spacing w:after="100" w:afterAutospacing="1" w:before="100" w:beforeAutospacing="1"/>
      <w:ind/>
    </w:pPr>
  </w:style>
  <w:style w:type="paragraph" w:styleId="1063" w:customStyle="1">
    <w:name w:val="xl289"/>
    <w:basedOn w:val="972"/>
    <w:pPr>
      <w:pBdr>
        <w:left w:val="single" w:color="000000" w:sz="4" w:space="0"/>
        <w:right w:val="single" w:color="000000" w:sz="4" w:space="0"/>
      </w:pBdr>
      <w:spacing w:after="100" w:afterAutospacing="1" w:before="100" w:beforeAutospacing="1"/>
      <w:ind/>
    </w:pPr>
    <w:rPr>
      <w:b/>
      <w:bCs/>
    </w:rPr>
  </w:style>
  <w:style w:type="paragraph" w:styleId="1064" w:customStyle="1">
    <w:name w:val="xl290"/>
    <w:basedOn w:val="97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91"/>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92"/>
    <w:basedOn w:val="972"/>
    <w:pPr>
      <w:pBdr>
        <w:top w:val="single" w:color="000000" w:sz="4" w:space="0"/>
        <w:left w:val="single" w:color="000000" w:sz="4" w:space="0"/>
        <w:right w:val="single" w:color="000000" w:sz="4" w:space="0"/>
      </w:pBdr>
      <w:spacing w:after="100" w:afterAutospacing="1" w:before="100" w:beforeAutospacing="1"/>
      <w:ind/>
    </w:pPr>
  </w:style>
  <w:style w:type="paragraph" w:styleId="1067" w:customStyle="1">
    <w:name w:val="xl293"/>
    <w:basedOn w:val="972"/>
    <w:pPr>
      <w:pBdr>
        <w:left w:val="single" w:color="000000" w:sz="4" w:space="0"/>
        <w:bottom w:val="single" w:color="000000" w:sz="4" w:space="0"/>
        <w:right w:val="single" w:color="000000" w:sz="4" w:space="0"/>
      </w:pBdr>
      <w:spacing w:after="100" w:afterAutospacing="1" w:before="100" w:beforeAutospacing="1"/>
      <w:ind/>
    </w:pPr>
  </w:style>
  <w:style w:type="paragraph" w:styleId="1068" w:customStyle="1">
    <w:name w:val="xl294"/>
    <w:basedOn w:val="97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name w:val="Title"/>
    <w:basedOn w:val="972"/>
    <w:link w:val="1070"/>
    <w:qFormat/>
    <w:pPr>
      <w:pBdr/>
      <w:spacing/>
      <w:ind/>
      <w:jc w:val="center"/>
    </w:pPr>
    <w:rPr>
      <w:b/>
      <w:bCs/>
      <w:sz w:val="32"/>
      <w:szCs w:val="26"/>
    </w:rPr>
  </w:style>
  <w:style w:type="character" w:styleId="1070" w:customStyle="1">
    <w:name w:val="Title Char"/>
    <w:basedOn w:val="977"/>
    <w:link w:val="1069"/>
    <w:pPr>
      <w:pBdr/>
      <w:spacing/>
      <w:ind/>
    </w:pPr>
    <w:rPr>
      <w:rFonts w:ascii="Times New Roman" w:hAnsi="Times New Roman" w:eastAsia="Times New Roman" w:cs="Times New Roman"/>
      <w:b/>
      <w:bCs/>
      <w:sz w:val="32"/>
      <w:szCs w:val="26"/>
    </w:rPr>
  </w:style>
  <w:style w:type="character" w:styleId="1071" w:customStyle="1">
    <w:name w:val="Unresolved Mention1"/>
    <w:basedOn w:val="977"/>
    <w:uiPriority w:val="99"/>
    <w:semiHidden/>
    <w:unhideWhenUsed/>
    <w:pPr>
      <w:pBdr/>
      <w:spacing/>
      <w:ind/>
    </w:pPr>
    <w:rPr>
      <w:color w:val="605e5c"/>
      <w:shd w:val="clear" w:color="auto" w:fill="e1dfdd"/>
    </w:rPr>
  </w:style>
  <w:style w:type="character" w:styleId="1072" w:customStyle="1">
    <w:name w:val="Body text (3)_"/>
    <w:link w:val="1073"/>
    <w:pPr>
      <w:pBdr/>
      <w:spacing/>
      <w:ind/>
    </w:pPr>
    <w:rPr>
      <w:rFonts w:ascii="Times New Roman" w:hAnsi="Times New Roman" w:cs="Times New Roman"/>
      <w:i/>
      <w:iCs/>
      <w:spacing w:val="4"/>
      <w:shd w:val="clear" w:color="auto" w:fill="ffffff"/>
    </w:rPr>
  </w:style>
  <w:style w:type="paragraph" w:styleId="1073" w:customStyle="1">
    <w:name w:val="Body text (3)1"/>
    <w:basedOn w:val="972"/>
    <w:link w:val="107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74" w:customStyle="1">
    <w:name w:val="t-j"/>
    <w:basedOn w:val="972"/>
    <w:pPr>
      <w:pBdr/>
      <w:spacing w:after="100" w:afterAutospacing="1" w:before="100" w:beforeAutospacing="1"/>
      <w:ind/>
    </w:pPr>
  </w:style>
  <w:style w:type="character" w:styleId="1075" w:customStyle="1">
    <w:name w:val="Unresolved Mention2"/>
    <w:basedOn w:val="977"/>
    <w:uiPriority w:val="99"/>
    <w:semiHidden/>
    <w:unhideWhenUsed/>
    <w:pPr>
      <w:pBdr/>
      <w:spacing/>
      <w:ind/>
    </w:pPr>
    <w:rPr>
      <w:color w:val="605e5c"/>
      <w:shd w:val="clear" w:color="auto" w:fill="e1dfdd"/>
    </w:rPr>
  </w:style>
  <w:style w:type="character" w:styleId="1076">
    <w:name w:val="FollowedHyperlink"/>
    <w:basedOn w:val="977"/>
    <w:uiPriority w:val="99"/>
    <w:semiHidden/>
    <w:unhideWhenUsed/>
    <w:pPr>
      <w:pBdr/>
      <w:spacing/>
      <w:ind/>
    </w:pPr>
    <w:rPr>
      <w:color w:val="800080" w:themeColor="followedHyperlink"/>
      <w:u w:val="single"/>
    </w:rPr>
  </w:style>
  <w:style w:type="character" w:styleId="1077" w:customStyle="1">
    <w:name w:val="text"/>
    <w:basedOn w:val="977"/>
    <w:pPr>
      <w:pBdr/>
      <w:spacing/>
      <w:ind/>
    </w:pPr>
  </w:style>
  <w:style w:type="character" w:styleId="1078" w:customStyle="1">
    <w:name w:val="card-send-time__sendtime"/>
    <w:basedOn w:val="977"/>
    <w:pPr>
      <w:pBdr/>
      <w:spacing/>
      <w:ind/>
    </w:pPr>
  </w:style>
  <w:style w:type="character" w:styleId="1079" w:customStyle="1">
    <w:name w:val="Đề cập Chưa giải quyết1"/>
    <w:basedOn w:val="977"/>
    <w:uiPriority w:val="99"/>
    <w:semiHidden/>
    <w:unhideWhenUsed/>
    <w:pPr>
      <w:pBdr/>
      <w:spacing/>
      <w:ind/>
    </w:pPr>
    <w:rPr>
      <w:color w:val="605e5c"/>
      <w:shd w:val="clear" w:color="auto" w:fill="e1dfdd"/>
    </w:rPr>
  </w:style>
  <w:style w:type="paragraph" w:styleId="1080" w:customStyle="1">
    <w:name w:val="nqtitle"/>
    <w:basedOn w:val="972"/>
    <w:pPr>
      <w:pBdr/>
      <w:spacing w:after="100" w:afterAutospacing="1" w:before="100" w:beforeAutospacing="1"/>
      <w:ind/>
    </w:pPr>
    <w:rPr>
      <w:lang w:val="vi-VN" w:eastAsia="vi-VN"/>
    </w:rPr>
  </w:style>
  <w:style w:type="character" w:styleId="1081" w:customStyle="1">
    <w:name w:val="List Paragraph Char"/>
    <w:link w:val="994"/>
    <w:uiPriority w:val="34"/>
    <w:qFormat/>
    <w:pPr>
      <w:pBdr/>
      <w:spacing/>
      <w:ind/>
    </w:pPr>
    <w:rPr>
      <w:rFonts w:ascii="Times New Roman" w:hAnsi="Times New Roman" w:eastAsia="Times New Roman" w:cs="Times New Roman"/>
      <w:sz w:val="24"/>
      <w:szCs w:val="24"/>
    </w:rPr>
  </w:style>
  <w:style w:type="character" w:styleId="1082" w:customStyle="1">
    <w:name w:val="Đề cập Chưa giải quyết2"/>
    <w:basedOn w:val="977"/>
    <w:uiPriority w:val="99"/>
    <w:semiHidden/>
    <w:unhideWhenUsed/>
    <w:pPr>
      <w:pBdr/>
      <w:spacing/>
      <w:ind/>
    </w:pPr>
    <w:rPr>
      <w:color w:val="605e5c"/>
      <w:shd w:val="clear" w:color="auto" w:fill="e1dfdd"/>
    </w:rPr>
  </w:style>
  <w:style w:type="character" w:styleId="1083" w:customStyle="1">
    <w:name w:val="Unresolved Mention3"/>
    <w:basedOn w:val="977"/>
    <w:uiPriority w:val="99"/>
    <w:semiHidden/>
    <w:unhideWhenUsed/>
    <w:pPr>
      <w:pBdr/>
      <w:spacing/>
      <w:ind/>
    </w:pPr>
    <w:rPr>
      <w:color w:val="605e5c"/>
      <w:shd w:val="clear" w:color="auto" w:fill="e1dfdd"/>
    </w:rPr>
  </w:style>
  <w:style w:type="character" w:styleId="1084" w:customStyle="1">
    <w:name w:val="copy"/>
    <w:basedOn w:val="977"/>
    <w:pPr>
      <w:pBdr/>
      <w:spacing/>
      <w:ind/>
    </w:pPr>
  </w:style>
  <w:style w:type="paragraph" w:styleId="1085" w:customStyle="1">
    <w:name w:val="align-justify"/>
    <w:basedOn w:val="972"/>
    <w:pPr>
      <w:pBdr/>
      <w:spacing w:after="100" w:afterAutospacing="1" w:before="100" w:beforeAutospacing="1"/>
      <w:ind/>
    </w:pPr>
  </w:style>
  <w:style w:type="character" w:styleId="1086" w:customStyle="1">
    <w:name w:val="btn"/>
    <w:basedOn w:val="977"/>
    <w:pPr>
      <w:pBdr/>
      <w:spacing/>
      <w:ind/>
    </w:pPr>
  </w:style>
  <w:style w:type="character" w:styleId="1087" w:customStyle="1">
    <w:name w:val="hide_mobile"/>
    <w:basedOn w:val="977"/>
    <w:pPr>
      <w:pBdr/>
      <w:spacing/>
      <w:ind/>
    </w:pPr>
  </w:style>
  <w:style w:type="character" w:styleId="1088">
    <w:name w:val="Emphasis"/>
    <w:basedOn w:val="977"/>
    <w:uiPriority w:val="20"/>
    <w:qFormat/>
    <w:pPr>
      <w:pBdr/>
      <w:spacing/>
      <w:ind/>
    </w:pPr>
    <w:rPr>
      <w:i/>
      <w:iCs/>
    </w:rPr>
  </w:style>
  <w:style w:type="character" w:styleId="1089" w:customStyle="1">
    <w:name w:val="t1"/>
    <w:basedOn w:val="977"/>
    <w:pPr>
      <w:pBdr/>
      <w:spacing/>
      <w:ind/>
    </w:pPr>
  </w:style>
  <w:style w:type="character" w:styleId="1090" w:customStyle="1">
    <w:name w:val="Unresolved Mention4"/>
    <w:basedOn w:val="977"/>
    <w:uiPriority w:val="99"/>
    <w:semiHidden/>
    <w:unhideWhenUsed/>
    <w:pPr>
      <w:pBdr/>
      <w:spacing/>
      <w:ind/>
    </w:pPr>
    <w:rPr>
      <w:color w:val="605e5c"/>
      <w:shd w:val="clear" w:color="auto" w:fill="e1dfdd"/>
    </w:rPr>
  </w:style>
  <w:style w:type="character" w:styleId="1091">
    <w:name w:val="Unresolved Mention"/>
    <w:basedOn w:val="97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jpg"/><Relationship Id="rId13" Type="http://schemas.openxmlformats.org/officeDocument/2006/relationships/hyperlink" Target="mailto:ilotus.contact@gmail.com" TargetMode="External"/><Relationship Id="rId14" Type="http://schemas.openxmlformats.org/officeDocument/2006/relationships/hyperlink" Target="mailto:ilotus.contact@gmail.com"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511</cp:revision>
  <dcterms:created xsi:type="dcterms:W3CDTF">2025-09-15T02:01:00Z</dcterms:created>
  <dcterms:modified xsi:type="dcterms:W3CDTF">2026-02-10T09:28:23Z</dcterms:modified>
</cp:coreProperties>
</file>