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730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30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ĐIỆN MÁY TÂM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952, tờ bản đồ số 36, địa chỉ: Thôn Trung Thành, xã Định Trung, thành phố Vĩnh Yên, Vĩnh Phúc (</w:t>
                            </w:r>
                            <w:r>
                              <w:rPr>
                                <w:i/>
                                <w:iCs/>
                                <w:color w:val="000000"/>
                              </w:rPr>
                              <w:t xml:space="preserve">Nay là Phường Vĩn</w:t>
                            </w:r>
                            <w:r>
                              <w:rPr>
                                <w:i/>
                                <w:iCs/>
                                <w:color w:val="000000"/>
                              </w:rPr>
                              <w:t xml:space="preserve">h Phúc, tỉnh Phú Thọ</w:t>
                            </w:r>
                            <w:r>
                              <w:rPr>
                                <w:color w:val="000000"/>
                              </w:rPr>
                              <w:t xml:space="preserve">) theo Giấy chứng nhận quyền sử dụng đất, quyền sở hữu nhà ở và tài sản khác gắn liền với đất  số: CE 726948</w:t>
                            </w:r>
                            <w:r>
                              <w:rPr>
                                <w:color w:val="000000"/>
                              </w:rPr>
                              <w:t xml:space="preserve"> do Sở Tài nguyên và Môi trường tỉnh Vĩnh Phúc cấp ngày 12/12/2016; Chủ sử dụng đất là Ông Nguyễn Văn Thịnh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9.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275/2026/0309/VFI-CT.53.A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ĐIỆN MÁY TÂM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952, tờ bản đồ số 36, địa chỉ: Thôn Trung Thành, xã Định Trung, thành phố Vĩnh Yên, Vĩnh Phúc (</w:t>
                      </w:r>
                      <w:r>
                        <w:rPr>
                          <w:i/>
                          <w:iCs/>
                          <w:color w:val="000000"/>
                        </w:rPr>
                        <w:t xml:space="preserve">Nay là Phường Vĩn</w:t>
                      </w:r>
                      <w:r>
                        <w:rPr>
                          <w:i/>
                          <w:iCs/>
                          <w:color w:val="000000"/>
                        </w:rPr>
                        <w:t xml:space="preserve">h Phúc, tỉnh Phú Thọ</w:t>
                      </w:r>
                      <w:r>
                        <w:rPr>
                          <w:color w:val="000000"/>
                        </w:rPr>
                        <w:t xml:space="preserve">) theo Giấy chứng nhận quyền sử dụng đất, quyền sở hữu nhà ở và tài sản khác gắn liền với đất  số: CE 726948</w:t>
                      </w:r>
                      <w:r>
                        <w:rPr>
                          <w:color w:val="000000"/>
                        </w:rPr>
                        <w:t xml:space="preserve"> do Sở Tài nguyên và Môi trường tỉnh Vĩnh Phúc cấp ngày 12/12/2016; Chủ sử dụng đất là Ông Nguyễn Văn Thịnh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22-31</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96" w:type="dxa"/>
        <w:tblBorders/>
        <w:tblLayout w:type="fixed"/>
        <w:tblLook w:val="04A0" w:firstRow="1" w:lastRow="0" w:firstColumn="1" w:lastColumn="0" w:noHBand="0" w:noVBand="1"/>
      </w:tblPr>
      <w:tblGrid>
        <w:gridCol w:w="29"/>
        <w:gridCol w:w="3118"/>
        <w:gridCol w:w="6803"/>
        <w:gridCol w:w="46"/>
      </w:tblGrid>
      <w:tr>
        <w:trPr>
          <w:trHeight w:val="1152"/>
        </w:trPr>
        <w:tc>
          <w:tcPr>
            <w:gridSpan w:val="2"/>
            <w:tcBorders/>
            <w:tcW w:w="314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684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shd w:val="clear" w:color="auto" w:fill="auto"/>
            <w:tcBorders/>
            <w:tcMar>
              <w:left w:w="108" w:type="dxa"/>
              <w:top w:w="0" w:type="dxa"/>
              <w:right w:w="108" w:type="dxa"/>
              <w:bottom w:w="0" w:type="dxa"/>
            </w:tcMar>
            <w:tcW w:w="311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275/2026/0309/VFI-CT.53.A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803"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ĐIỆN MÁY TÂM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275/2026/0309/VFI-HĐTĐ.53.A</w:t>
      </w:r>
      <w:r>
        <w:rPr>
          <w:spacing w:val="-4"/>
          <w:lang w:val="vi-VN"/>
        </w:rPr>
        <w:t xml:space="preserve"> ký ngày </w:t>
      </w:r>
      <w:r>
        <w:rPr>
          <w:color w:val="000000" w:themeColor="text1"/>
          <w:spacing w:val="-4"/>
        </w:rPr>
        <w:t xml:space="preserve">09 tháng 02 năm 2026</w:t>
      </w:r>
      <w:r>
        <w:rPr>
          <w:spacing w:val="-4"/>
          <w:lang w:val="vi-VN"/>
        </w:rPr>
        <w:t xml:space="preserve"> </w:t>
      </w:r>
      <w:r>
        <w:rPr>
          <w:spacing w:val="-4"/>
          <w:lang w:val="vi-VN"/>
        </w:rPr>
        <w:t xml:space="preserve">giữa </w:t>
      </w:r>
      <w:r>
        <w:rPr>
          <w:color w:val="000000" w:themeColor="text1"/>
          <w:spacing w:val="-4"/>
        </w:rPr>
        <w:t xml:space="preserve">Công ty TNHH Điện máy Tâm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275/2026/0309/VFI-BC.53.A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ĐIỆN MÁY TÂM HIỀN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2500603137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Đường Nguyễn Tất Thành, phường Liên Bảo, Thành phố Vĩnh Yên, Vĩnh Phúc (</w:t>
            </w:r>
            <w:r>
              <w:rPr>
                <w:i/>
                <w:iCs/>
                <w:color w:val="000000" w:themeColor="text1"/>
                <w:lang w:val="vi-VN"/>
              </w:rPr>
              <w:t xml:space="preserve">Nay là phường Vĩnh Phúc, tỉnh Phú Thọ</w:t>
            </w:r>
            <w:r>
              <w:rPr>
                <w:color w:val="000000" w:themeColor="text1"/>
                <w:lang w:val="vi-VN"/>
              </w:rPr>
              <w:t xml:space="preserve">).</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952, tờ bản đồ số 36, địa chỉ: Thôn Trung Thành, xã Định Trung, thành phố Vĩnh Yên, Vĩnh Phúc (</w:t>
      </w:r>
      <w:r>
        <w:rPr>
          <w:i/>
          <w:iCs/>
          <w:color w:val="000000"/>
        </w:rPr>
        <w:t xml:space="preserve">Nay là Phường Vĩn</w:t>
      </w:r>
      <w:r>
        <w:rPr>
          <w:i/>
          <w:iCs/>
          <w:color w:val="000000"/>
        </w:rPr>
        <w:t xml:space="preserve">h Phúc, tỉnh Phú Thọ</w:t>
      </w:r>
      <w:r>
        <w:rPr>
          <w:color w:val="000000"/>
        </w:rPr>
        <w:t xml:space="preserve">) theo Giấy chứng nhận quyền sử dụng đất, quyền sở hữu nhà ở và tài sản khác gắn liền với đất  số: CE 726948</w:t>
      </w:r>
      <w:r>
        <w:rPr>
          <w:color w:val="000000"/>
        </w:rPr>
        <w:t xml:space="preserve"> do Sở Tài nguyên và Môi trường tỉnh Vĩnh Phúc cấp ngày 12/12/2016; Chủ sử dụng đất là Ông Nguyễn Văn Thịnh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26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801"/>
        <w:gridCol w:w="1802"/>
        <w:gridCol w:w="2581"/>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184"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952, tờ bản đồ số 36, địa chỉ: Thôn Trung Thành, xã Định Trung, thành phố Vĩnh Yên, Vĩnh Phúc (</w:t>
            </w:r>
            <w:r>
              <w:rPr>
                <w:b/>
                <w:bCs/>
                <w:i/>
                <w:iCs/>
                <w:color w:val="000000"/>
              </w:rPr>
              <w:t xml:space="preserve">Nay là Phường Vĩn</w:t>
            </w:r>
            <w:r>
              <w:rPr>
                <w:b/>
                <w:bCs/>
                <w:i/>
                <w:iCs/>
                <w:color w:val="000000"/>
              </w:rPr>
              <w:t xml:space="preserve">h Phúc, tỉnh Phú Thọ</w:t>
            </w:r>
            <w:r>
              <w:rPr>
                <w:b/>
                <w:bCs/>
                <w:color w:val="000000"/>
              </w:rPr>
              <w:t xml:space="preserve">) theo Giấy chứng nhận quyền sử dụng đất, quyền sở hữu nhà ở và tài sản khác gắn liền với đất  số: CE 726948</w:t>
            </w:r>
            <w:r>
              <w:rPr>
                <w:b/>
                <w:bCs/>
                <w:color w:val="000000"/>
              </w:rPr>
              <w:t xml:space="preserve"> do Sở Tài nguyên và Môi trường tỉnh Vĩnh Phúc cấp ngày 12/12/2016; Chủ sử dụng đất là Ông Nguyễn Văn Thịnh</w:t>
            </w:r>
            <w:r>
              <w:rPr>
                <w:b/>
                <w:bCs/>
                <w:i/>
                <w:i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146"/>
        </w:trPr>
        <w:tc>
          <w:tcPr>
            <w:shd w:val="clear" w:color="000000" w:fill="ffffff"/>
            <w:tcBorders/>
            <w:tcW w:w="675" w:type="dxa"/>
            <w:vAlign w:val="center"/>
            <w:textDirection w:val="lrTb"/>
            <w:noWrap w:val="false"/>
          </w:tcPr>
          <w:p>
            <w:pPr>
              <w:pBdr/>
              <w:spacing w:after="40" w:before="40" w:line="276"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76"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76" w:lineRule="auto"/>
              <w:ind/>
              <w:jc w:val="center"/>
              <w:rPr>
                <w:color w:val="000000"/>
              </w:rPr>
            </w:pPr>
            <w:r>
              <w:rPr>
                <w:color w:val="000000" w:themeColor="text1"/>
              </w:rPr>
              <w:t xml:space="preserve">70,0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szCs w:val="24"/>
              </w:rPr>
              <w:t xml:space="preserve">18.738.428 </w:t>
            </w:r>
            <w:r>
              <w:rPr>
                <w:b w:val="0"/>
                <w:bCs w:val="0"/>
              </w:rPr>
            </w:r>
            <w:r>
              <w:rPr>
                <w:b w:val="0"/>
                <w:bCs w:val="0"/>
              </w:rPr>
            </w:r>
          </w:p>
        </w:tc>
        <w:tc>
          <w:tcPr>
            <w:shd w:val="clear" w:color="000000" w:fill="ffffff"/>
            <w:tcBorders/>
            <w:tcW w:w="216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1.311.689.960</w:t>
            </w:r>
            <w:r/>
          </w:p>
        </w:tc>
      </w:tr>
      <w:tr>
        <w:trPr>
          <w:trHeight w:val="385"/>
        </w:trPr>
        <w:tc>
          <w:tcPr>
            <w:shd w:val="clear" w:color="000000" w:fill="ffffff"/>
            <w:tcBorders/>
            <w:tcW w:w="675" w:type="dxa"/>
            <w:vAlign w:val="center"/>
            <w:textDirection w:val="lrTb"/>
            <w:noWrap w:val="false"/>
          </w:tcPr>
          <w:p>
            <w:pPr>
              <w:pBdr/>
              <w:spacing w:after="40" w:before="40" w:line="276"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76"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76" w:lineRule="auto"/>
              <w:ind/>
              <w:jc w:val="center"/>
              <w:rPr>
                <w:color w:val="000000"/>
              </w:rPr>
            </w:pPr>
            <w:r>
              <w:rPr>
                <w:color w:val="000000" w:themeColor="text1"/>
              </w:rPr>
              <w:t xml:space="preserve">415,5</w:t>
            </w:r>
            <w:r>
              <w:rPr>
                <w:color w:val="000000"/>
              </w:rPr>
            </w:r>
            <w:r>
              <w:rPr>
                <w:color w:val="000000"/>
              </w:rPr>
            </w:r>
          </w:p>
        </w:tc>
        <w:tc>
          <w:tcPr>
            <w:shd w:val="clear" w:color="000000" w:fill="ffffff"/>
            <w:tcBorders/>
            <w:tcW w:w="2581" w:type="dxa"/>
            <w:vAlign w:val="center"/>
            <w:textDirection w:val="lrTb"/>
            <w:noWrap w:val="false"/>
          </w:tcPr>
          <w:p>
            <w:pPr>
              <w:pBdr/>
              <w:tabs>
                <w:tab w:val="right" w:leader="none" w:pos="2365"/>
              </w:tabs>
              <w:spacing w:after="40" w:before="40" w:line="288" w:lineRule="auto"/>
              <w:ind/>
              <w:jc w:val="center"/>
              <w:rPr>
                <w:b w:val="0"/>
                <w:bCs w:val="0"/>
              </w:rPr>
            </w:pPr>
            <w:r>
              <w:rPr>
                <w:b w:val="0"/>
                <w:bCs w:val="0"/>
                <w:color w:val="000000" w:themeColor="text1"/>
              </w:rPr>
              <w:t xml:space="preserve">          </w:t>
            </w:r>
            <w:r>
              <w:rPr>
                <w:rFonts w:ascii="Times New Roman" w:hAnsi="Times New Roman" w:eastAsia="Times New Roman" w:cs="Times New Roman"/>
                <w:b w:val="0"/>
                <w:bCs w:val="0"/>
                <w:color w:val="000000"/>
                <w:sz w:val="24"/>
                <w:szCs w:val="24"/>
              </w:rPr>
              <w:t xml:space="preserve"> 12.804.428</w:t>
            </w:r>
            <w:r>
              <w:rPr>
                <w:b w:val="0"/>
                <w:bCs w:val="0"/>
              </w:rPr>
              <w:tab/>
            </w:r>
            <w:r>
              <w:rPr>
                <w:b w:val="0"/>
                <w:bCs w:val="0"/>
              </w:rPr>
            </w:r>
            <w:r>
              <w:rPr>
                <w:b w:val="0"/>
                <w:bCs w:val="0"/>
              </w:rPr>
            </w:r>
          </w:p>
        </w:tc>
        <w:tc>
          <w:tcPr>
            <w:shd w:val="clear" w:color="000000" w:fill="ffffff"/>
            <w:tcBorders/>
            <w:tcW w:w="2164"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5.320.239.834</w:t>
            </w:r>
            <w:r/>
          </w:p>
        </w:tc>
      </w:tr>
      <w:tr>
        <w:trPr>
          <w:trHeight w:val="20"/>
        </w:trPr>
        <w:tc>
          <w:tcPr>
            <w:gridSpan w:val="4"/>
            <w:tcBorders/>
            <w:tcW w:w="78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6.631.929.794</w:t>
            </w:r>
            <w:r>
              <w:rPr>
                <w:b/>
                <w:bCs/>
                <w:color w:val="000000"/>
              </w:rPr>
            </w:r>
            <w:r>
              <w:rPr>
                <w:b/>
                <w:bCs/>
                <w:color w:val="000000"/>
              </w:rPr>
            </w:r>
          </w:p>
        </w:tc>
      </w:tr>
      <w:tr>
        <w:trPr>
          <w:trHeight w:val="20"/>
        </w:trPr>
        <w:tc>
          <w:tcPr>
            <w:gridSpan w:val="4"/>
            <w:tcBorders/>
            <w:tcW w:w="785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6.632.000.000</w:t>
            </w:r>
            <w:r>
              <w:rPr>
                <w:b/>
                <w:bCs/>
                <w:color w:val="000000"/>
              </w:rPr>
            </w:r>
            <w:r>
              <w:rPr>
                <w:b/>
                <w:bCs/>
                <w:color w:val="000000"/>
              </w:rPr>
            </w:r>
          </w:p>
        </w:tc>
      </w:tr>
      <w:tr>
        <w:trPr>
          <w:trHeight w:val="20"/>
        </w:trPr>
        <w:tc>
          <w:tcPr>
            <w:gridSpan w:val="5"/>
            <w:tcBorders/>
            <w:tcW w:w="10023"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sáu trăm ba mươi hai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08" w:type="dxa"/>
        <w:tblBorders/>
        <w:tblLayout w:type="fixed"/>
        <w:tblLook w:val="04A0" w:firstRow="1" w:lastRow="0" w:firstColumn="1" w:lastColumn="0" w:noHBand="0" w:noVBand="1"/>
      </w:tblPr>
      <w:tblGrid>
        <w:gridCol w:w="170"/>
        <w:gridCol w:w="3906"/>
        <w:gridCol w:w="5636"/>
        <w:gridCol w:w="96"/>
      </w:tblGrid>
      <w:tr>
        <w:trPr>
          <w:gridAfter w:val="1"/>
          <w:trHeight w:val="1152"/>
        </w:trPr>
        <w:tc>
          <w:tcPr>
            <w:gridSpan w:val="2"/>
            <w:tcBorders/>
            <w:tcW w:w="4077"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56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90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275/2026/0309/VFI-CT.53.A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5732" w:type="dxa"/>
            <w:textDirection w:val="lrTb"/>
            <w:noWrap w:val="false"/>
          </w:tcPr>
          <w:p>
            <w:pPr>
              <w:pStyle w:val="1030"/>
              <w:pBdr/>
              <w:spacing w:after="60"/>
              <w:ind w:right="-56"/>
              <w:jc w:val="center"/>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11 tháng 02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275/2026/0309/VFI-CT.53.A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TNHH ĐIỆN MÁY TÂM HIỀN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2500603137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Đường Nguyễn Tất Thành, phường Liên Bảo, Thành phố Vĩnh Yên, Vĩnh Phúc (</w:t>
            </w:r>
            <w:r>
              <w:rPr>
                <w:i/>
                <w:iCs/>
                <w:color w:val="000000" w:themeColor="text1"/>
                <w:lang w:val="vi-VN"/>
              </w:rPr>
              <w:t xml:space="preserve">Nay là phường Vĩnh Phúc, tỉnh Phú Thọ</w:t>
            </w:r>
            <w:r>
              <w:rPr>
                <w:color w:val="000000" w:themeColor="text1"/>
                <w:lang w:val="vi-VN"/>
              </w:rPr>
              <w:t xml:space="preserve">).</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val="0"/>
                <w:bCs w:val="0"/>
              </w:rPr>
            </w:pPr>
            <w:r>
              <w:rPr>
                <w:b w:val="0"/>
                <w:bCs w:val="0"/>
                <w:color w:val="000000"/>
              </w:rPr>
              <w:t xml:space="preserve">Quyền sử dụng đất tại thửa đất số: 952, tờ bản đồ số 36, địa chỉ: Thôn Trung Thành, xã Định Trung, thành phố Vĩnh Yên, Vĩnh Phúc (</w:t>
            </w:r>
            <w:r>
              <w:rPr>
                <w:b w:val="0"/>
                <w:bCs w:val="0"/>
                <w:i/>
                <w:iCs/>
                <w:color w:val="000000"/>
              </w:rPr>
              <w:t xml:space="preserve">Nay là Phường Vĩn</w:t>
            </w:r>
            <w:r>
              <w:rPr>
                <w:b w:val="0"/>
                <w:bCs w:val="0"/>
                <w:i/>
                <w:iCs/>
                <w:color w:val="000000"/>
              </w:rPr>
              <w:t xml:space="preserve">h Phúc, tỉnh Phú Thọ</w:t>
            </w:r>
            <w:r>
              <w:rPr>
                <w:b w:val="0"/>
                <w:bCs w:val="0"/>
                <w:color w:val="000000"/>
              </w:rPr>
              <w:t xml:space="preserve">) theo Giấy chứng nhận quyền sử dụng đất, quyền sở hữu nhà ở và tài sản khác gắn liền với đất  số: CE 726948</w:t>
            </w:r>
            <w:r>
              <w:rPr>
                <w:b w:val="0"/>
                <w:bCs w:val="0"/>
                <w:color w:val="000000"/>
              </w:rPr>
              <w:t xml:space="preserve"> do Sở Tài nguyên và Môi trường tỉnh Vĩnh Phúc cấp ngày 12/12/2016; Chủ sử dụng đất là Ông Nguyễn Văn Thịnh</w:t>
            </w:r>
            <w:r>
              <w:rPr>
                <w:b w:val="0"/>
                <w:bCs w:val="0"/>
                <w:i/>
                <w:iCs/>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Trung Thành, phường Vĩnh Phúc,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21.322771072388, 105.59195709229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color w:val="000000"/>
        </w:rPr>
        <w:t xml:space="preserve">Giấy chứng nhận quyền sử dụng đất, quyền sở hữu nhà ở và tài sản khác gắn liền với đất  số: CE 726948 </w:t>
      </w:r>
      <w:r>
        <w:rPr>
          <w:b w:val="0"/>
          <w:bCs w:val="0"/>
          <w:color w:val="000000"/>
        </w:rPr>
        <w:t xml:space="preserve">do Sở Tài nguyên và Môi trường tỉnh Vĩnh Phúc cấp ngày 12/12/2016; Chủ sử dụng đất là Ông Nguyễn Văn Thịnh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275/2026/0309/VFI-HĐTĐ.53.A ký ngày 09/02/2026 giữa Công ty TNHH Điện máy Tâm Hiền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highlight w:val="white"/>
          <w:lang w:val="pt-BR"/>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lang w:val="pt-BR"/>
        </w:rPr>
      </w:r>
    </w:p>
    <w:p>
      <w:pPr>
        <w:pBdr/>
        <w:tabs>
          <w:tab w:val="left" w:leader="none" w:pos="993"/>
        </w:tabs>
        <w:spacing w:after="120" w:before="120" w:line="380" w:lineRule="atLeast"/>
        <w:ind w:right="0" w:firstLine="283" w:left="0"/>
        <w:jc w:val="both"/>
        <w:rPr>
          <w:spacing w:val="-4"/>
          <w:lang w:val="pt-BR"/>
        </w:rPr>
      </w:pPr>
      <w:r>
        <w:rPr>
          <w:b/>
          <w:bCs/>
          <w:highlight w:val="white"/>
          <w:lang w:val="pt-BR"/>
        </w:rPr>
      </w:r>
      <w:r>
        <w:rPr>
          <w:spacing w:val="-4"/>
          <w:lang w:val="pt-BR"/>
        </w:rPr>
        <w:t xml:space="preserve">Sau khi sáp nhập Phú Thọ - Vĩnh Phúc - Hòa Bình, TP. Việt Trì sẽ trở thành trung tâm hành chính - chính trị của tỉnh mới. Đây sẽ là hạt nhân cho quá trình điều hành, quản lý, kết nối giữa các khu vực, giữ vai trò đầu tàu trong phát triển kinh tế - xã hội t</w:t>
      </w:r>
      <w:r>
        <w:rPr>
          <w:spacing w:val="-4"/>
          <w:lang w:val="pt-BR"/>
        </w:rPr>
        <w:t xml:space="preserve">oàn vùng Tây Bắc.</w:t>
      </w:r>
      <w:r>
        <w:rPr>
          <w:b/>
          <w:bCs/>
          <w:highlight w:val="white"/>
        </w:rPr>
      </w:r>
      <w:r>
        <w:rPr>
          <w:spacing w:val="-4"/>
          <w:lang w:val="pt-BR"/>
        </w:rPr>
      </w:r>
    </w:p>
    <w:p>
      <w:pPr>
        <w:pBdr/>
        <w:tabs>
          <w:tab w:val="left" w:leader="none" w:pos="993"/>
        </w:tabs>
        <w:spacing w:after="120" w:before="120" w:line="380" w:lineRule="atLeast"/>
        <w:ind w:right="0" w:firstLine="283" w:left="0"/>
        <w:jc w:val="both"/>
        <w:rPr>
          <w:spacing w:val="-4"/>
          <w:lang w:val="pt-BR"/>
        </w:rPr>
      </w:pPr>
      <w:r>
        <w:rPr>
          <w:spacing w:val="-4"/>
          <w:lang w:val="pt-BR"/>
        </w:rPr>
      </w:r>
      <w:r>
        <w:rPr>
          <w:spacing w:val="-4"/>
          <w:lang w:val="pt-BR"/>
        </w:rPr>
        <w:t xml:space="preserve">Quá trình sắp xếp gắn với cải cách hành chính, đi đôi với quy hoạch lại mạng lưới hạ tầng. Các trụ sở mới của chính quyền địa phương sẽ được đặt ở vị trí thuận lợi, đảm bảo giao thông kết nối liên vùng, phát triển cân đối giữa đô thị - nông thôn.</w:t>
      </w:r>
      <w:r>
        <w:rPr>
          <w:b/>
          <w:bCs/>
          <w:highlight w:val="white"/>
        </w:rPr>
      </w:r>
      <w:r>
        <w:rPr>
          <w:spacing w:val="-4"/>
          <w:lang w:val="pt-BR"/>
        </w:rPr>
      </w:r>
    </w:p>
    <w:p>
      <w:pPr>
        <w:pBdr/>
        <w:tabs>
          <w:tab w:val="left" w:leader="none" w:pos="993"/>
        </w:tabs>
        <w:spacing w:after="120" w:before="120" w:line="380" w:lineRule="atLeast"/>
        <w:ind w:right="0" w:firstLine="283" w:left="0"/>
        <w:jc w:val="both"/>
        <w:rPr>
          <w:spacing w:val="-4"/>
          <w:lang w:val="pt-BR"/>
        </w:rPr>
      </w:pPr>
      <w:r>
        <w:rPr>
          <w:spacing w:val="-4"/>
          <w:lang w:val="pt-BR"/>
        </w:rPr>
      </w:r>
      <w:r>
        <w:rPr>
          <w:spacing w:val="-4"/>
          <w:lang w:val="pt-BR"/>
        </w:rPr>
        <w:t xml:space="preserve">Ngoài ra, quá trình tinh giản đơn vị hành chính sẽ giải phóng đáng kể nguồn quỹ đất công và tạo điều kiện thuận lợi để xây dựng các khu đô thị mới, khu công nghiệp tập trung. Tiềm năng du lịch - nghỉ dưỡng cũng được kỳ vọng cao nhất là tại các vùng có lợi </w:t>
      </w:r>
      <w:r>
        <w:rPr>
          <w:spacing w:val="-4"/>
          <w:lang w:val="pt-BR"/>
        </w:rPr>
        <w:t xml:space="preserve">thế cảnh quan như Thanh Thủy, Tam Nông, Đoan Hùng…</w:t>
      </w:r>
      <w:r>
        <w:rPr>
          <w:b/>
          <w:bCs/>
          <w:highlight w:val="white"/>
        </w:rPr>
      </w:r>
      <w:r>
        <w:rPr>
          <w:spacing w:val="-4"/>
          <w:lang w:val="pt-BR"/>
        </w:rPr>
      </w:r>
    </w:p>
    <w:p>
      <w:pPr>
        <w:pBdr/>
        <w:tabs>
          <w:tab w:val="left" w:leader="none" w:pos="993"/>
        </w:tabs>
        <w:spacing w:after="120" w:before="120" w:line="380" w:lineRule="atLeast"/>
        <w:ind w:right="0" w:firstLine="283" w:left="0"/>
        <w:jc w:val="both"/>
        <w:rPr>
          <w:spacing w:val="-4"/>
          <w:lang w:val="pt-BR"/>
        </w:rPr>
      </w:pPr>
      <w:r>
        <w:rPr>
          <w:spacing w:val="-4"/>
          <w:lang w:val="pt-BR"/>
        </w:rPr>
      </w:r>
      <w:r>
        <w:rPr>
          <w:spacing w:val="-4"/>
          <w:lang w:val="pt-BR"/>
        </w:rPr>
        <w:t xml:space="preserve">Sự kiện Sáp nhập Phú Thọ - Vĩnh Phúc - Hòa Bình được đánh giá là cú hích mạnh mẽ với thị trường bất động sản khu vực. Nhiều nhà đầu tư đã bắt đầu dồn lực vào các khu vực ven TP. Việt Trì, các huyện đang được sáp nhập mạnh như Tam Nông, Thanh Sơn... kỳ vọng</w:t>
      </w:r>
      <w:r>
        <w:rPr>
          <w:spacing w:val="-4"/>
          <w:lang w:val="pt-BR"/>
        </w:rPr>
        <w:t xml:space="preserve"> vào sự tăng trưởng về giá trị và tiềm năng sinh lời từ đất nền, nhà ở thương mại.</w:t>
      </w:r>
      <w:r>
        <w:rPr>
          <w:b/>
          <w:bCs/>
          <w:highlight w:val="white"/>
        </w:rPr>
      </w:r>
      <w:r>
        <w:rPr>
          <w:spacing w:val="-4"/>
          <w:lang w:val="pt-BR"/>
        </w:rPr>
      </w:r>
    </w:p>
    <w:p>
      <w:pPr>
        <w:pBdr/>
        <w:tabs>
          <w:tab w:val="left" w:leader="none" w:pos="993"/>
        </w:tabs>
        <w:spacing w:after="120" w:before="120" w:line="380" w:lineRule="atLeast"/>
        <w:ind w:right="0" w:firstLine="283" w:left="0"/>
        <w:jc w:val="both"/>
        <w:rPr>
          <w:spacing w:val="-4"/>
          <w:lang w:val="pt-BR"/>
        </w:rPr>
      </w:pPr>
      <w:r>
        <w:rPr>
          <w:spacing w:val="-4"/>
          <w:lang w:val="pt-BR"/>
        </w:rPr>
      </w:r>
      <w:r>
        <w:rPr>
          <w:spacing w:val="-4"/>
          <w:lang w:val="pt-BR"/>
        </w:rPr>
        <w:t xml:space="preserve">Cải thiện và nâng cấp hạ tầng được tiến hành đồng bộ, định hướng phát triển đô thị vệ tinh và quỹ đất mở rộng. Các phân khúc như bất động sản nghỉ dưỡng, khu đô thị mới, đất nền vùng ven được dự báo sẽ bùng nổ từ 2025 - 2027.</w:t>
      </w:r>
      <w:r>
        <w:rPr>
          <w:b/>
          <w:bCs/>
          <w:highlight w:val="white"/>
        </w:rPr>
      </w:r>
      <w:r>
        <w:rPr>
          <w:spacing w:val="-4"/>
          <w:lang w:val="pt-BR"/>
        </w:rPr>
      </w:r>
    </w:p>
    <w:p>
      <w:pPr>
        <w:pBdr/>
        <w:tabs>
          <w:tab w:val="left" w:leader="none" w:pos="993"/>
        </w:tabs>
        <w:spacing w:after="120" w:before="120" w:line="380" w:lineRule="atLeast"/>
        <w:ind w:right="0" w:firstLine="283" w:left="0"/>
        <w:jc w:val="both"/>
        <w:rPr>
          <w:spacing w:val="-4"/>
          <w:lang w:val="pt-BR"/>
        </w:rPr>
      </w:pPr>
      <w:r>
        <w:rPr>
          <w:spacing w:val="-4"/>
          <w:lang w:val="pt-BR"/>
        </w:rPr>
      </w:r>
      <w:r>
        <w:rPr>
          <w:spacing w:val="-4"/>
          <w:lang w:val="pt-BR"/>
        </w:rPr>
        <w:t xml:space="preserve"> </w:t>
      </w:r>
      <w:r>
        <w:rPr>
          <w:spacing w:val="-4"/>
          <w:lang w:val="pt-BR"/>
        </w:rPr>
        <w:t xml:space="preserve">Việc sắp xếp cán bộ, công chức sau sáp nhập sẽ theo nguyên tắc không vượt quá tổng số hiện tại, phù hợp với vị trí việc làm. Nhà đầu tư cần lưu ý quá trình chuyển đổi, quy hoạch lại hạ tầng hành chính và dân cư sẽ dẫn tới thay đổi mặt bằng dân cư, cơ cấu t</w:t>
      </w:r>
      <w:r>
        <w:rPr>
          <w:spacing w:val="-4"/>
          <w:lang w:val="pt-BR"/>
        </w:rPr>
        <w:t xml:space="preserve">hị trường địa phương.</w:t>
      </w:r>
      <w:r>
        <w:rPr>
          <w:b/>
          <w:bCs/>
          <w:highlight w:val="white"/>
        </w:rPr>
      </w:r>
      <w:r>
        <w:rPr>
          <w:spacing w:val="-4"/>
          <w:lang w:val="pt-BR"/>
        </w:rPr>
      </w:r>
    </w:p>
    <w:p>
      <w:pPr>
        <w:pBdr/>
        <w:tabs>
          <w:tab w:val="left" w:leader="none" w:pos="993"/>
        </w:tabs>
        <w:spacing w:after="120" w:before="120" w:line="380" w:lineRule="atLeast"/>
        <w:ind w:right="0" w:firstLine="283" w:left="0"/>
        <w:jc w:val="both"/>
        <w:rPr>
          <w:b/>
          <w:bCs/>
          <w:highlight w:val="white"/>
        </w:rPr>
      </w:pPr>
      <w:r>
        <w:rPr>
          <w:spacing w:val="-4"/>
          <w:lang w:val="pt-BR"/>
        </w:rPr>
      </w:r>
      <w:r>
        <w:rPr>
          <w:spacing w:val="-4"/>
          <w:lang w:val="pt-BR"/>
        </w:rPr>
        <w:t xml:space="preserve">Trong ngắn hạn, một số khu vực có thể gặp khó khăn về thủ tục và tính ổn định của quy hoạch. Tuy nhiên, trong dài hạn đây là cơ hội vàng để đón đầu một chu kỳ tăng trưởng mới tại một trong những cực tăng trưởng quan trọng bậc nhất vùng Trung du và miền núi</w:t>
      </w:r>
      <w:r>
        <w:rPr>
          <w:spacing w:val="-4"/>
          <w:lang w:val="pt-BR"/>
        </w:rPr>
        <w:t xml:space="preserve"> Bắc Bộ.</w:t>
      </w:r>
      <w:r>
        <w:rPr>
          <w:b/>
          <w:bCs/>
          <w:highlight w:val="white"/>
        </w:rPr>
      </w:r>
      <w:r>
        <w:rPr>
          <w:b/>
          <w:bCs/>
          <w:highlight w:val="white"/>
        </w:rPr>
      </w:r>
    </w:p>
    <w:p>
      <w:pPr>
        <w:pBdr/>
        <w:tabs>
          <w:tab w:val="left" w:leader="none" w:pos="426"/>
        </w:tabs>
        <w:spacing w:after="120" w:before="120" w:line="276" w:lineRule="auto"/>
        <w:ind/>
        <w:jc w:val="center"/>
        <w:rPr>
          <w:bCs/>
          <w:i/>
          <w:u w:val="none"/>
        </w:rPr>
      </w:pPr>
      <w:r>
        <w:rPr>
          <w:i/>
          <w:iCs/>
          <w:u w:val="none"/>
          <w:lang w:val="pt-BR"/>
        </w:rPr>
        <w:t xml:space="preserve">(Nguồn: </w:t>
      </w:r>
      <w:r>
        <w:rPr>
          <w:i/>
          <w:iCs/>
          <w:u w:val="none"/>
          <w:lang w:val="pt-BR"/>
        </w:rPr>
        <w:t xml:space="preserve">https://onehousing.vn/blog/sap-nhap-phu-tho-vinh-phuc-hoa-binh-n17t</w:t>
      </w:r>
      <w:r>
        <w:rPr>
          <w:bCs/>
          <w:i/>
          <w:u w:val="none"/>
        </w:rPr>
        <w:t xml:space="preserve">)</w:t>
      </w:r>
      <w:r>
        <w:rPr>
          <w:bCs/>
          <w:i/>
          <w:u w:val="none"/>
        </w:rPr>
      </w:r>
      <w:r>
        <w:rPr>
          <w:bCs/>
          <w:i/>
          <w:u w:val="non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rPr>
            </w:pPr>
            <w:r>
              <w:rPr>
                <w:b/>
                <w:bCs/>
                <w:color w:val="000000"/>
              </w:rPr>
              <w:t xml:space="preserve">Quyền sử dụng đất tại thửa đất số: 952, tờ bản đồ số 36, địa chỉ: Thôn Trung Thành, xã Định Trung, thành phố Vĩnh Yên, Vĩnh Phúc (</w:t>
            </w:r>
            <w:r>
              <w:rPr>
                <w:b/>
                <w:bCs/>
                <w:i/>
                <w:iCs/>
                <w:color w:val="000000"/>
              </w:rPr>
              <w:t xml:space="preserve">Nay là Phường Vĩn</w:t>
            </w:r>
            <w:r>
              <w:rPr>
                <w:b/>
                <w:bCs/>
                <w:i/>
                <w:iCs/>
                <w:color w:val="000000"/>
              </w:rPr>
              <w:t xml:space="preserve">h Phúc, tỉnh Phú Thọ</w:t>
            </w:r>
            <w:r>
              <w:rPr>
                <w:b/>
                <w:bCs/>
                <w:color w:val="000000"/>
              </w:rPr>
              <w:t xml:space="preserve">) theo Giấy chứng nhận quyền sử dụng đất, quyền sở hữu nhà ở và tài sản khác gắn liền với đất  số: CE 726948,</w:t>
            </w:r>
            <w:r>
              <w:rPr>
                <w:b/>
                <w:bCs/>
                <w:color w:val="000000"/>
              </w:rPr>
              <w:t xml:space="preserve"> do Sở Tài nguyên và Môi trường tỉnh Vĩnh Phúc cấp ngày 12/12/2016; Chủ sử dụng đất là Ông Nguyễn Văn Thịnh</w:t>
            </w:r>
            <w:r>
              <w:rPr>
                <w:b/>
                <w:bCs/>
                <w:i/>
                <w:iCs/>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Trung Thành, xã Định Trung, thành phố Vĩnh Yên, Vĩnh Phúc (</w:t>
            </w:r>
            <w:r>
              <w:rPr>
                <w:i/>
                <w:iCs/>
                <w:color w:val="000000"/>
              </w:rPr>
              <w:t xml:space="preserve">nay là phường Vĩnh Phúc,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485,5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70m</w:t>
            </w:r>
            <w:r>
              <w:rPr>
                <w:color w:val="000000" w:themeColor="text1"/>
                <w:vertAlign w:val="superscript"/>
              </w:rPr>
              <w:t xml:space="preserve">2</w:t>
            </w:r>
            <w:r>
              <w:rPr>
                <w:color w:val="000000" w:themeColor="text1"/>
              </w:rPr>
              <w:t xml:space="preserve">; Đất CLN: 415,5m</w:t>
            </w:r>
            <w:r>
              <w:rPr>
                <w:color w:val="000000" w:themeColor="text1"/>
                <w:vertAlign w:val="superscript"/>
              </w:rPr>
              <w:t xml:space="preserve">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Đất ở: Lâu dài; Đất CLN: Sử dụng đến ngày 15/10/2043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tặng cho đất được công nhận Quyền sử dụng đất như Nhà nước giao đất có thu tiền sử dụng đất: 70m</w:t>
            </w:r>
            <w:r>
              <w:rPr>
                <w:color w:val="000000"/>
                <w:vertAlign w:val="superscript"/>
              </w:rPr>
              <w:t xml:space="preserve">2</w:t>
            </w:r>
            <w:r>
              <w:rPr>
                <w:color w:val="000000"/>
              </w:rPr>
              <w:t xml:space="preserve">; </w:t>
            </w:r>
            <w:r>
              <w:rPr>
                <w:color w:val="000000"/>
              </w:rPr>
              <w:t xml:space="preserve">Nhận tặng cho đất được công nhận Quyền sử dụng đất như Nhà nước giao đất không thu tiền sử dụng đất: 415,5m</w:t>
            </w:r>
            <w:r>
              <w:rPr>
                <w:color w:val="000000"/>
              </w:rPr>
              <w:t xml:space="preserve">2 (</w:t>
            </w:r>
            <w:r>
              <w:rPr>
                <w:i/>
                <w:iCs/>
                <w:color w:val="000000"/>
              </w:rPr>
              <w:t xml:space="preserve">Nhận tặng cho QSD đất từ ông Nguyễn Văn Đào và bà Đặng Thị An)</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nội xóm, cách đường Nguyễn Tất Thành khoảng 450m.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 Hướng Tây: Tiếp giáp đường nhựa 4,5m;</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 Các hướng còn lại: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21.322771072388</w:t>
            </w:r>
            <w:r>
              <w:rPr>
                <w:color w:val="000000"/>
              </w:rPr>
              <w:t xml:space="preserve">, </w:t>
            </w:r>
            <w:r>
              <w:rPr>
                <w:color w:val="000000"/>
              </w:rPr>
              <w:t xml:space="preserve">105.59195709229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247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2472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9.2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485,5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~15,89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36,96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highlight w:val="none"/>
              </w:rPr>
            </w:pPr>
            <w:r>
              <w:rPr>
                <w:color w:val="000000"/>
              </w:rPr>
              <w:t xml:space="preserve">Tại thời điểm thẩm định giá, tổ thẩm định thấy trên đất có:</w:t>
            </w:r>
            <w:r>
              <w:rPr>
                <w:color w:val="000000"/>
                <w:highlight w:val="none"/>
              </w:rPr>
            </w:r>
            <w:r>
              <w:rPr>
                <w:color w:val="000000"/>
                <w:highlight w:val="none"/>
              </w:rPr>
            </w:r>
          </w:p>
          <w:p>
            <w:pPr>
              <w:pBdr/>
              <w:spacing/>
              <w:ind/>
              <w:jc w:val="both"/>
              <w:rPr>
                <w:color w:val="000000"/>
                <w:highlight w:val="none"/>
              </w:rPr>
            </w:pPr>
            <w:r>
              <w:rPr>
                <w:color w:val="000000"/>
                <w:highlight w:val="none"/>
              </w:rPr>
              <w:t xml:space="preserve">+ 01 nhà 02 tầng xây năm 2011, diện tích 96m</w:t>
            </w:r>
            <w:r>
              <w:rPr>
                <w:color w:val="000000"/>
                <w:highlight w:val="none"/>
                <w:vertAlign w:val="superscript"/>
              </w:rPr>
              <w:t xml:space="preserve">2</w:t>
            </w:r>
            <w:r>
              <w:rPr>
                <w:color w:val="000000"/>
                <w:highlight w:val="none"/>
              </w:rPr>
              <w:t xml:space="preserve">/ sàn. Tổng diện tích sàn là 172m</w:t>
            </w:r>
            <w:r>
              <w:rPr>
                <w:color w:val="000000"/>
                <w:highlight w:val="none"/>
                <w:vertAlign w:val="superscript"/>
              </w:rPr>
              <w:t xml:space="preserve">2</w:t>
            </w:r>
            <w:r>
              <w:rPr>
                <w:color w:val="000000"/>
                <w:highlight w:val="none"/>
              </w:rPr>
              <w:t xml:space="preserve">.</w:t>
            </w:r>
            <w:r>
              <w:rPr>
                <w:color w:val="000000"/>
                <w:highlight w:val="none"/>
              </w:rPr>
            </w:r>
            <w:r>
              <w:rPr>
                <w:color w:val="000000"/>
                <w:highlight w:val="none"/>
              </w:rPr>
            </w:r>
          </w:p>
          <w:p>
            <w:pPr>
              <w:pBdr/>
              <w:spacing/>
              <w:ind/>
              <w:jc w:val="both"/>
              <w:rPr>
                <w:color w:val="000000"/>
              </w:rPr>
            </w:pPr>
            <w:r>
              <w:rPr>
                <w:color w:val="000000"/>
                <w:highlight w:val="none"/>
              </w:rPr>
              <w:t xml:space="preserve">+ 01 nhà cấp 4 cũ diện tích 45m</w:t>
            </w:r>
            <w:r>
              <w:rPr>
                <w:color w:val="000000"/>
                <w:highlight w:val="none"/>
                <w:vertAlign w:val="superscript"/>
              </w:rPr>
              <w:t xml:space="preserve">2</w:t>
            </w:r>
            <w:r>
              <w:rPr>
                <w:color w:val="000000"/>
                <w:highlight w:val="none"/>
              </w:rPr>
              <w:t xml:space="preserve">; và 01 nhà trọ cấp 4 diện tích xây dựng là 120m</w:t>
            </w:r>
            <w:r>
              <w:rPr>
                <w:color w:val="000000"/>
                <w:highlight w:val="none"/>
                <w:vertAlign w:val="superscript"/>
              </w:rPr>
              <w:t xml:space="preserve">2</w:t>
            </w:r>
            <w:r>
              <w:rPr>
                <w:color w:val="000000"/>
                <w:highlight w:val="none"/>
              </w:rPr>
              <w:t xml:space="preserve">. Hiện các công trình trên chưa được chứng nhận trên GCN số CE 726948.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highlight w:val="white"/>
        </w:rPr>
        <w:t xml:space="preserve">Tại thời điểm thẩm định giá, trên đất có công trình xây dựng là:</w:t>
      </w:r>
      <w:r>
        <w:rPr>
          <w:color w:val="000000"/>
          <w:highlight w:val="white"/>
        </w:rPr>
        <w:t xml:space="preserve"> 01 nhà 2 tầng xây năm 2011, diện tích 96m</w:t>
      </w:r>
      <w:r>
        <w:rPr>
          <w:color w:val="000000"/>
          <w:highlight w:val="white"/>
          <w:vertAlign w:val="superscript"/>
        </w:rPr>
        <w:t xml:space="preserve">2</w:t>
      </w:r>
      <w:r>
        <w:rPr>
          <w:color w:val="000000"/>
          <w:highlight w:val="white"/>
        </w:rPr>
        <w:t xml:space="preserve">/ sàn. Tổng diện tích sàn là 172m</w:t>
      </w:r>
      <w:r>
        <w:rPr>
          <w:color w:val="000000"/>
          <w:highlight w:val="white"/>
          <w:vertAlign w:val="superscript"/>
        </w:rPr>
        <w:t xml:space="preserve">2</w:t>
      </w:r>
      <w:r>
        <w:rPr>
          <w:color w:val="000000"/>
          <w:highlight w:val="white"/>
        </w:rPr>
        <w:t xml:space="preserve">; </w:t>
      </w:r>
      <w:r>
        <w:rPr>
          <w:color w:val="000000"/>
          <w:highlight w:val="white"/>
        </w:rPr>
        <w:t xml:space="preserve">01 nhà cấp 4 cũ diện tích 45m</w:t>
      </w:r>
      <w:r>
        <w:rPr>
          <w:color w:val="000000"/>
          <w:highlight w:val="white"/>
          <w:vertAlign w:val="superscript"/>
        </w:rPr>
        <w:t xml:space="preserve">2</w:t>
      </w:r>
      <w:r>
        <w:rPr>
          <w:color w:val="000000"/>
          <w:highlight w:val="white"/>
        </w:rPr>
        <w:t xml:space="preserve">; và 01 nhà trọ cấp 4 diện tích xây dựng là 120m2. Hiện các công  trình trên chưa được chứng nhận trên GCN số CE 726948.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w:t>
      </w:r>
      <w:r>
        <w:rPr>
          <w:rFonts w:ascii="Times New Roman" w:hAnsi="Times New Roman" w:eastAsia="Times New Roman" w:cs="Times New Roman"/>
          <w:color w:val="000000"/>
          <w:sz w:val="24"/>
          <w:highlight w:val="white"/>
        </w:rPr>
        <w:t xml:space="preserve"> trị của công trình xây dựng vào tổng giá trị, nhưng vẫn coi đó là phần không thể tách rời của tài sản thẩm định. Kính đề nghị đơn vị sử dụng kết quả lưu ý</w:t>
      </w:r>
      <w:r>
        <w:rPr>
          <w:color w:val="000000"/>
          <w:highlight w:val="none"/>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92"/>
        <w:gridCol w:w="169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3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PhườngVĩnh Phúc, tỉnh Phú Thọ</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PhườngVĩnh Phúc, tỉnh Phú Thọ</w:t>
            </w:r>
            <w:r>
              <w:rPr>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PhườngVĩnh Phúc, tỉnh Phú Thọ</w:t>
            </w:r>
            <w:r>
              <w:rPr>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PhườngVĩnh Phúc, tỉnh Phú Thọ</w:t>
            </w:r>
            <w:r>
              <w:rPr>
                <w:sz w:val="22"/>
                <w:szCs w:val="22"/>
              </w:rPr>
            </w:r>
            <w:r/>
          </w:p>
        </w:tc>
      </w:tr>
      <w:tr>
        <w:trPr>
          <w:trHeight w:val="50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0972.780664</w:t>
            </w:r>
            <w:r>
              <w:rPr>
                <w:sz w:val="22"/>
                <w:szCs w:val="22"/>
              </w:rPr>
              <w:t xml:space="preserve"> </w:t>
            </w:r>
            <w:r>
              <w:rPr>
                <w:sz w:val="22"/>
                <w:szCs w:val="22"/>
              </w:rPr>
              <w:br/>
              <w:t xml:space="preserve">(</w:t>
            </w:r>
            <w:r>
              <w:rPr>
                <w:sz w:val="22"/>
                <w:szCs w:val="22"/>
              </w:rPr>
              <w:t xml:space="preserve">Anh Tuấn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0942.422866</w:t>
            </w:r>
            <w:r>
              <w:rPr>
                <w:sz w:val="22"/>
                <w:szCs w:val="22"/>
              </w:rPr>
              <w:br/>
            </w:r>
            <w:r>
              <w:rPr>
                <w:sz w:val="22"/>
                <w:szCs w:val="22"/>
              </w:rPr>
              <w:t xml:space="preserve">(</w:t>
            </w:r>
            <w:r>
              <w:rPr>
                <w:sz w:val="22"/>
                <w:szCs w:val="22"/>
              </w:rPr>
              <w:t xml:space="preserve">Phong Đất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0904.556146</w:t>
            </w:r>
            <w:r>
              <w:rPr>
                <w:sz w:val="22"/>
                <w:szCs w:val="22"/>
              </w:rPr>
              <w:br/>
            </w:r>
            <w:r>
              <w:rPr>
                <w:sz w:val="22"/>
                <w:szCs w:val="22"/>
              </w:rPr>
              <w:t xml:space="preserve">(</w:t>
            </w:r>
            <w:r>
              <w:rPr>
                <w:sz w:val="22"/>
                <w:szCs w:val="22"/>
              </w:rPr>
              <w:t xml:space="preserve">Anh Tuấn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9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(70 m²), Đất trồng cây lâu năm (415,5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(52,8m2), Đất trồng cây lâu năm (45,8)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thôn(50m2), Đất trồng cây lâu năm(80,1m2)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(30m2)Đất trồng cây lâu năm(67,6m2)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450m.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nằm tiếp giáp đường nội xóm,cách trường THPT Trần Phú khoảng 450m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230m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130,1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97,6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26,34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19,92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2.180.000.000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2.475.000.000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1.962.000.000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2.403.000.000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2.475.000.000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1.962.000.000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24.371.197</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b/>
                <w:bCs/>
                <w:color w:val="000000"/>
                <w:sz w:val="22"/>
                <w:szCs w:val="22"/>
              </w:rPr>
            </w:pPr>
            <w:r>
              <w:rPr>
                <w:b/>
                <w:bCs/>
                <w:color w:val="000000" w:themeColor="text1"/>
                <w:sz w:val="22"/>
                <w:szCs w:val="22"/>
              </w:rPr>
              <w:t xml:space="preserve">19.023.828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b/>
                <w:bCs/>
                <w:color w:val="000000"/>
                <w:sz w:val="22"/>
                <w:szCs w:val="22"/>
              </w:rPr>
            </w:pPr>
            <w:r>
              <w:rPr>
                <w:b/>
                <w:bCs/>
                <w:color w:val="000000" w:themeColor="text1"/>
                <w:sz w:val="22"/>
                <w:szCs w:val="22"/>
              </w:rPr>
              <w:t xml:space="preserve">20.102.459</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2.403.000.000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2.475.000.000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1.962.000.000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24.371.197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19.023.828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20.102.459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24.371.197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19.023.828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20.102.459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(70 m²), Đất trồng cây lâu năm (415.5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(52,8m2), Đất trồng cây lâu năm (45,8)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thôn(50m2), Đất trồng cây lâu năm(80,1m2)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(30m2)Đất trồng cây lâu năm(67,6m2)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-3.655.680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-1.331.668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-1.005.123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20.715.517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17.692.160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19.097.336</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20.715.517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17.692.160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19.097.336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450m.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nằm tiếp giáp đường nội xóm,cách trường THPT Trần Phú khoảng 450m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230m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20.715.517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17.692.160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19.097.336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20.715.517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17.692.160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19.097.336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-731.136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570.715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603.074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19.984.381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18.262.875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19.700.410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-7.311.359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-4.755.957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-6.030.738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12.673.022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13.506.918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13.669.672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 (m)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3.168.256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2.412.295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15.841.278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15.789.777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16.081.967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15.841.278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15.789.777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16.081.967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-2.437.120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-2.282.859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-2.010.246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13.404.158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13.506.918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14.071.721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13.404.158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13.506.918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14.071.721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13.660.932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17.303.551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11.224.058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12.061.476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10.967.039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5.516.910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6.030.738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-1,88</w:t>
      </w:r>
      <w:r>
        <w:t xml:space="preserve">% </w:t>
      </w:r>
      <w:r>
        <w:t xml:space="preserve">đến</w:t>
      </w:r>
      <w:r>
        <w:t xml:space="preserve"> </w:t>
      </w:r>
      <w:r>
        <w:t xml:space="preserve"> </w:t>
      </w:r>
      <w:r>
        <w:t xml:space="preserve">3,01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13.404.158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4.468.946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13.506.918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4.501.856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14.071.721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4.690.105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13.660.907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13.660.000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13.660.000</w:t>
      </w:r>
      <w:r>
        <w:rPr>
          <w:b/>
          <w:bCs/>
          <w:color w:val="000000" w:themeColor="text1"/>
        </w:rPr>
        <w:t xml:space="preserve"> </w:t>
      </w:r>
      <w:r>
        <w:rPr>
          <w:b/>
          <w:bCs/>
        </w:rPr>
        <w:t xml:space="preserve">đồng</w:t>
      </w:r>
      <w:r>
        <w:rPr>
          <w:b/>
          <w:bCs/>
        </w:rPr>
        <w:t xml:space="preserve">/m².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đơn giá đất ở và đất trồng cây lâu năm:</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szCs w:val="24"/>
        </w:rPr>
        <w:t xml:space="preserve">Khu vực tài sản thẩm định tọa lạc hạn chế giao dịch đất trồng cây lâu năm và đất ở riêng biệt mà hầu như chỉ có các giao dịch đất hỗn hợp và đất ở đô thị, do vậy, cho mục đích định giá tại báo cáo này, Tổ thẩm định xác định giá trị đất trồng cây lâu năm và</w:t>
      </w:r>
      <w:r>
        <w:rPr>
          <w:rFonts w:ascii="Times New Roman" w:hAnsi="Times New Roman" w:eastAsia="Times New Roman" w:cs="Times New Roman"/>
          <w:color w:val="000000"/>
          <w:sz w:val="24"/>
          <w:szCs w:val="24"/>
        </w:rPr>
        <w:t xml:space="preserve"> đất ở theo tỉ lệ giữa giá đất trồng cây lâu năm với đất ở theo bảng giá UBND.</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rFonts w:ascii="Times New Roman" w:hAnsi="Times New Roman" w:cs="Times New Roman"/>
          <w:b w:val="0"/>
          <w:bCs w:val="0"/>
          <w:sz w:val="24"/>
          <w:szCs w:val="24"/>
          <w:highlight w:val="white"/>
        </w:rPr>
      </w:pPr>
      <w:r>
        <w:rPr>
          <w:rFonts w:ascii="Times New Roman" w:hAnsi="Times New Roman" w:eastAsia="Times New Roman" w:cs="Times New Roman"/>
          <w:b w:val="0"/>
          <w:bCs w:val="0"/>
          <w:color w:val="000000"/>
          <w:sz w:val="24"/>
          <w:szCs w:val="24"/>
          <w:highlight w:val="white"/>
        </w:rPr>
        <w:t xml:space="preserve">Áp dụng </w:t>
      </w:r>
      <w:r>
        <w:rPr>
          <w:rFonts w:ascii="Times New Roman" w:hAnsi="Times New Roman" w:eastAsia="Times New Roman" w:cs="Times New Roman"/>
          <w:b w:val="0"/>
          <w:bCs w:val="0"/>
          <w:color w:val="000000"/>
          <w:sz w:val="24"/>
          <w:szCs w:val="24"/>
          <w:highlight w:val="white"/>
        </w:rPr>
        <w:t xml:space="preserve">Bảng </w:t>
      </w:r>
      <w:r>
        <w:rPr>
          <w:rFonts w:ascii="Times New Roman" w:hAnsi="Times New Roman" w:eastAsia="Times New Roman" w:cs="Times New Roman"/>
          <w:b w:val="0"/>
          <w:bCs w:val="0"/>
          <w:color w:val="000000"/>
          <w:sz w:val="24"/>
          <w:szCs w:val="24"/>
          <w:highlight w:val="white"/>
        </w:rPr>
        <w:t xml:space="preserve">giá đất quy định tại Quyết định số 62/2019/QĐ-UBND ngày 31/12/2019 và QĐ số</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52/2022/QĐ-UBND ngày</w:t>
      </w:r>
      <w:r>
        <w:rPr>
          <w:rFonts w:ascii="Times New Roman" w:hAnsi="Times New Roman" w:eastAsia="Times New Roman" w:cs="Times New Roman"/>
          <w:b w:val="0"/>
          <w:bCs w:val="0"/>
          <w:color w:val="000000"/>
          <w:sz w:val="24"/>
          <w:szCs w:val="24"/>
          <w:highlight w:val="white"/>
        </w:rPr>
        <w:t xml:space="preserve"> </w:t>
      </w:r>
      <w:r>
        <w:rPr>
          <w:rFonts w:ascii="Times New Roman" w:hAnsi="Times New Roman" w:eastAsia="Times New Roman" w:cs="Times New Roman"/>
          <w:b w:val="0"/>
          <w:bCs w:val="0"/>
          <w:color w:val="000000"/>
          <w:sz w:val="24"/>
          <w:szCs w:val="24"/>
          <w:highlight w:val="white"/>
        </w:rPr>
        <w:t xml:space="preserve">28/12/2022</w:t>
      </w:r>
      <w:r>
        <w:rPr>
          <w:rFonts w:ascii="Times New Roman" w:hAnsi="Times New Roman" w:eastAsia="Times New Roman" w:cs="Times New Roman"/>
          <w:b w:val="0"/>
          <w:bCs w:val="0"/>
          <w:color w:val="000000"/>
          <w:sz w:val="24"/>
          <w:szCs w:val="24"/>
          <w:highlight w:val="white"/>
        </w:rPr>
        <w:t xml:space="preserve"> theo Quyết định số </w:t>
      </w:r>
      <w:r>
        <w:rPr>
          <w:rFonts w:ascii="Times New Roman" w:hAnsi="Times New Roman" w:eastAsia="Times New Roman" w:cs="Times New Roman"/>
          <w:b w:val="0"/>
          <w:bCs w:val="0"/>
          <w:color w:val="000000"/>
          <w:sz w:val="24"/>
          <w:szCs w:val="24"/>
          <w:highlight w:val="white"/>
        </w:rPr>
        <w:t xml:space="preserve">05/2025/QĐ-UBND ngày 17 tháng 01 năm 2025 của UBND tỉnh Vĩnh Phúc như sau</w:t>
      </w:r>
      <w:r>
        <w:rPr>
          <w:rFonts w:ascii="Times New Roman" w:hAnsi="Times New Roman" w:eastAsia="Times New Roman" w:cs="Times New Roman"/>
          <w:b w:val="0"/>
          <w:bCs w:val="0"/>
          <w:sz w:val="24"/>
          <w:szCs w:val="24"/>
          <w:highlight w:val="none"/>
        </w:rPr>
        <w:t xml:space="preserve">:</w:t>
      </w:r>
      <w:r>
        <w:rPr>
          <w:rFonts w:ascii="Times New Roman" w:hAnsi="Times New Roman" w:cs="Times New Roman"/>
          <w:b w:val="0"/>
          <w:bCs w:val="0"/>
          <w:sz w:val="24"/>
          <w:szCs w:val="24"/>
          <w:highlight w:val="white"/>
        </w:rPr>
      </w:r>
      <w:r>
        <w:rPr>
          <w:rFonts w:ascii="Times New Roman" w:hAnsi="Times New Roman" w:cs="Times New Roman"/>
          <w:b w:val="0"/>
          <w:bCs w:val="0"/>
          <w:sz w:val="24"/>
          <w:szCs w:val="24"/>
          <w:highlight w:val="white"/>
        </w:rPr>
      </w:r>
    </w:p>
    <w:p>
      <w:pPr>
        <w:pBdr>
          <w:top w:val="none" w:color="000000" w:sz="4" w:space="0"/>
          <w:left w:val="none" w:color="000000" w:sz="4" w:space="0"/>
          <w:bottom w:val="none" w:color="000000" w:sz="4" w:space="0"/>
          <w:right w:val="none" w:color="000000" w:sz="4" w:space="0"/>
        </w:pBdr>
        <w:tabs>
          <w:tab w:val="left" w:leader="none" w:pos="2386"/>
        </w:tabs>
        <w:spacing w:after="120" w:before="120" w:line="276" w:lineRule="auto"/>
        <w:ind w:right="0" w:firstLine="284" w:left="0"/>
        <w:jc w:val="both"/>
        <w:rPr>
          <w:b w:val="0"/>
          <w:bCs w:val="0"/>
          <w:sz w:val="24"/>
          <w:szCs w:val="24"/>
          <w:highlight w:val="white"/>
        </w:rPr>
      </w:pPr>
      <w:r>
        <w:rPr>
          <w:rFonts w:ascii="Times New Roman" w:hAnsi="Times New Roman" w:eastAsia="Times New Roman" w:cs="Times New Roman"/>
          <w:b w:val="0"/>
          <w:bCs w:val="0"/>
          <w:color w:val="000000"/>
          <w:sz w:val="24"/>
          <w:szCs w:val="24"/>
          <w:highlight w:val="white"/>
        </w:rPr>
        <w:t xml:space="preserve">+ Đơn giá đất ở thuộc địa phận phường Định Trung, tại đường Nguyễn Tất Thành vị trí 2 có đơn giá là: </w:t>
      </w:r>
      <w:r>
        <w:rPr>
          <w:rFonts w:ascii="Times New Roman" w:hAnsi="Times New Roman" w:eastAsia="Times New Roman" w:cs="Times New Roman"/>
          <w:b/>
          <w:bCs/>
          <w:color w:val="000000"/>
          <w:sz w:val="24"/>
          <w:szCs w:val="24"/>
          <w:highlight w:val="white"/>
        </w:rPr>
        <w:t xml:space="preserve">6.000.000 đồng</w:t>
      </w:r>
      <w:r>
        <w:rPr>
          <w:b/>
          <w:bCs/>
          <w:sz w:val="24"/>
          <w:szCs w:val="24"/>
          <w:highlight w:val="none"/>
        </w:rPr>
        <w:t xml:space="preserve">/m</w:t>
      </w:r>
      <w:r>
        <w:rPr>
          <w:b/>
          <w:bCs/>
          <w:sz w:val="24"/>
          <w:szCs w:val="24"/>
          <w:highlight w:val="none"/>
          <w:vertAlign w:val="superscript"/>
        </w:rPr>
        <w:t xml:space="preserve">2</w:t>
      </w:r>
      <w:r>
        <w:rPr>
          <w:b/>
          <w:bCs/>
          <w:sz w:val="24"/>
          <w:szCs w:val="24"/>
          <w:highlight w:val="none"/>
        </w:rPr>
        <w:t xml:space="preserve">.</w:t>
      </w:r>
      <w:r>
        <w:rPr>
          <w:b/>
          <w:bCs/>
          <w:sz w:val="24"/>
          <w:szCs w:val="24"/>
          <w:highlight w:val="white"/>
        </w:rPr>
        <w:tab/>
      </w:r>
      <w:r>
        <w:rPr>
          <w:b w:val="0"/>
          <w:bCs w:val="0"/>
          <w:sz w:val="24"/>
          <w:szCs w:val="24"/>
          <w:highlight w:val="white"/>
        </w:rPr>
      </w:r>
      <w:r>
        <w:rPr>
          <w:b w:val="0"/>
          <w:bCs w:val="0"/>
          <w:sz w:val="24"/>
          <w:szCs w:val="24"/>
          <w:highlight w:val="white"/>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sz w:val="24"/>
          <w:szCs w:val="24"/>
        </w:rPr>
      </w:pPr>
      <w:r>
        <w:rPr>
          <w:rFonts w:ascii="Times New Roman" w:hAnsi="Times New Roman" w:eastAsia="Times New Roman" w:cs="Times New Roman"/>
          <w:color w:val="000000"/>
          <w:sz w:val="24"/>
          <w:szCs w:val="24"/>
        </w:rPr>
        <w:t xml:space="preserve">+ Đơn giá đất trồng cây lâu năm tại Thành phố Vĩnh Yên:  </w:t>
      </w:r>
      <w:r>
        <w:rPr>
          <w:rFonts w:ascii="Times New Roman" w:hAnsi="Times New Roman" w:eastAsia="Times New Roman" w:cs="Times New Roman"/>
          <w:b/>
          <w:color w:val="000000"/>
          <w:sz w:val="24"/>
          <w:szCs w:val="24"/>
        </w:rPr>
        <w:t xml:space="preserve">66.000 đồng/m².</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sz w:val="24"/>
          <w:szCs w:val="24"/>
        </w:rPr>
      </w:pPr>
      <w:r>
        <w:rPr>
          <w:rFonts w:ascii="Times New Roman" w:hAnsi="Times New Roman" w:eastAsia="Times New Roman" w:cs="Times New Roman"/>
          <w:color w:val="000000"/>
          <w:sz w:val="24"/>
          <w:szCs w:val="24"/>
        </w:rPr>
        <w:t xml:space="preserve">Gọi đơn giá đất ở là X, đơn giá đất trồng cây lâu năm là Y ta có tổng giá trị quyền sử dụng đất là:</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sz w:val="24"/>
          <w:szCs w:val="24"/>
        </w:rPr>
      </w:pPr>
      <w:r>
        <w:rPr>
          <w:rFonts w:ascii="Times New Roman" w:hAnsi="Times New Roman" w:eastAsia="Times New Roman" w:cs="Times New Roman"/>
          <w:color w:val="000000"/>
          <w:sz w:val="24"/>
          <w:szCs w:val="24"/>
        </w:rPr>
        <w:tab/>
        <w:tab/>
        <w:t xml:space="preserve">70*X + 415,5*Y = 13.660.000 * 485,5</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sz w:val="24"/>
          <w:szCs w:val="24"/>
        </w:rPr>
      </w:pPr>
      <w:r>
        <w:rPr>
          <w:rFonts w:ascii="Times New Roman" w:hAnsi="Times New Roman" w:eastAsia="Times New Roman" w:cs="Times New Roman"/>
          <w:color w:val="000000"/>
          <w:sz w:val="24"/>
          <w:szCs w:val="24"/>
        </w:rPr>
        <w:t xml:space="preserve">   </w:t>
        <w:tab/>
        <w:t xml:space="preserve">=&gt; 70*X + 415,5*Y = 6.631.930.000</w:t>
      </w:r>
      <w:r>
        <w:rPr>
          <w:rFonts w:ascii="Times New Roman" w:hAnsi="Times New Roman" w:eastAsia="Times New Roman" w:cs="Times New Roman"/>
          <w:color w:val="000000"/>
          <w:sz w:val="24"/>
          <w:szCs w:val="24"/>
          <w:vertAlign w:val="superscript"/>
        </w:rPr>
        <w:t xml:space="preserve">(1)</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sz w:val="24"/>
          <w:szCs w:val="24"/>
        </w:rPr>
      </w:pPr>
      <w:r>
        <w:rPr>
          <w:rFonts w:ascii="Times New Roman" w:hAnsi="Times New Roman" w:eastAsia="Times New Roman" w:cs="Times New Roman"/>
          <w:color w:val="000000"/>
          <w:sz w:val="24"/>
          <w:szCs w:val="24"/>
        </w:rPr>
        <w:t xml:space="preserve">Theo chênh lệch giá đất ở so với đất trồng cây lâu năm theo giá UBND:</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sz w:val="24"/>
          <w:szCs w:val="24"/>
        </w:rPr>
      </w:pPr>
      <w:r>
        <w:rPr>
          <w:rFonts w:ascii="Times New Roman" w:hAnsi="Times New Roman" w:eastAsia="Times New Roman" w:cs="Times New Roman"/>
          <w:color w:val="000000"/>
          <w:sz w:val="24"/>
          <w:szCs w:val="24"/>
        </w:rPr>
        <w:tab/>
        <w:t xml:space="preserve">X – Y = 6.000.000 - 66.000</w:t>
      </w:r>
      <w:r>
        <w:rPr>
          <w:sz w:val="24"/>
          <w:szCs w:val="24"/>
        </w:rPr>
      </w:r>
      <w:r>
        <w:rPr>
          <w:sz w:val="24"/>
          <w:szCs w:val="24"/>
        </w:rP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sz w:val="24"/>
          <w:szCs w:val="24"/>
        </w:rPr>
      </w:pPr>
      <w:r>
        <w:rPr>
          <w:rFonts w:ascii="Times New Roman" w:hAnsi="Times New Roman" w:eastAsia="Times New Roman" w:cs="Times New Roman"/>
          <w:color w:val="000000"/>
          <w:sz w:val="24"/>
          <w:szCs w:val="24"/>
        </w:rPr>
        <w:t xml:space="preserve">  </w:t>
        <w:tab/>
        <w:t xml:space="preserve">=&gt; X – Y = 5.934.000 </w:t>
      </w:r>
      <w:r>
        <w:rPr>
          <w:rFonts w:ascii="Times New Roman" w:hAnsi="Times New Roman" w:eastAsia="Times New Roman" w:cs="Times New Roman"/>
          <w:color w:val="000000"/>
          <w:sz w:val="24"/>
          <w:szCs w:val="24"/>
          <w:vertAlign w:val="superscript"/>
        </w:rPr>
        <w:t xml:space="preserve">(2)</w:t>
      </w:r>
      <w:r>
        <w:rPr>
          <w:sz w:val="24"/>
          <w:szCs w:val="24"/>
        </w:rPr>
      </w:r>
      <w:r>
        <w:rPr>
          <w:sz w:val="24"/>
          <w:szCs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sz w:val="24"/>
          <w:szCs w:val="24"/>
        </w:rPr>
      </w:pPr>
      <w:r>
        <w:rPr>
          <w:rFonts w:ascii="Times New Roman" w:hAnsi="Times New Roman" w:eastAsia="Times New Roman" w:cs="Times New Roman"/>
          <w:color w:val="000000"/>
          <w:sz w:val="24"/>
          <w:szCs w:val="24"/>
        </w:rPr>
        <w:t xml:space="preserve">Từ (1) và (2) suy ra : X = </w:t>
      </w:r>
      <w:r>
        <w:rPr>
          <w:rFonts w:ascii="Times New Roman" w:hAnsi="Times New Roman" w:eastAsia="Times New Roman" w:cs="Times New Roman"/>
          <w:b/>
          <w:bCs/>
          <w:color w:val="000000"/>
          <w:sz w:val="24"/>
          <w:szCs w:val="24"/>
        </w:rPr>
        <w:t xml:space="preserve">18.738.428 đ</w:t>
      </w:r>
      <w:r>
        <w:rPr>
          <w:rFonts w:ascii="Times New Roman" w:hAnsi="Times New Roman" w:eastAsia="Times New Roman" w:cs="Times New Roman"/>
          <w:b/>
          <w:color w:val="000000"/>
          <w:sz w:val="24"/>
          <w:szCs w:val="24"/>
        </w:rPr>
        <w:t xml:space="preserve">ồng/m</w:t>
      </w:r>
      <w:r>
        <w:rPr>
          <w:rFonts w:ascii="Times New Roman" w:hAnsi="Times New Roman" w:eastAsia="Times New Roman" w:cs="Times New Roman"/>
          <w:b/>
          <w:color w:val="000000"/>
          <w:sz w:val="24"/>
          <w:szCs w:val="24"/>
          <w:vertAlign w:val="superscript"/>
        </w:rPr>
        <w:t xml:space="preserve">2</w:t>
      </w: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color w:val="000000"/>
          <w:sz w:val="24"/>
          <w:szCs w:val="24"/>
        </w:rPr>
        <w:t xml:space="preserve">và Y =</w:t>
      </w:r>
      <w:r>
        <w:rPr>
          <w:rFonts w:ascii="Times New Roman" w:hAnsi="Times New Roman" w:eastAsia="Times New Roman" w:cs="Times New Roman"/>
          <w:b/>
          <w:color w:val="000000"/>
          <w:sz w:val="24"/>
          <w:szCs w:val="24"/>
        </w:rPr>
        <w:t xml:space="preserve"> 12.804.428 đồng/m</w:t>
      </w:r>
      <w:r>
        <w:rPr>
          <w:rFonts w:ascii="Times New Roman" w:hAnsi="Times New Roman" w:eastAsia="Times New Roman" w:cs="Times New Roman"/>
          <w:b/>
          <w:color w:val="000000"/>
          <w:sz w:val="24"/>
          <w:szCs w:val="24"/>
          <w:vertAlign w:val="superscript"/>
        </w:rPr>
        <w:t xml:space="preserve">2</w:t>
      </w:r>
      <w:r>
        <w:rPr>
          <w:sz w:val="24"/>
          <w:szCs w:val="24"/>
        </w:rPr>
      </w:r>
      <w:r>
        <w:rPr>
          <w:sz w:val="24"/>
          <w:szCs w:val="24"/>
        </w:rPr>
      </w:r>
    </w:p>
    <w:p>
      <w:pPr>
        <w:pStyle w:val="1031"/>
        <w:numPr>
          <w:ilvl w:val="0"/>
          <w:numId w:val="26"/>
        </w:numPr>
        <w:pBdr/>
        <w:spacing w:after="120" w:before="120" w:line="276" w:lineRule="auto"/>
        <w:ind w:hanging="357" w:left="357"/>
        <w:jc w:val="both"/>
        <w:rPr>
          <w:b/>
          <w:sz w:val="24"/>
          <w:szCs w:val="24"/>
        </w:rPr>
      </w:pPr>
      <w:r>
        <w:rPr>
          <w:b/>
          <w:sz w:val="24"/>
          <w:szCs w:val="24"/>
          <w:lang w:val="pt-BR"/>
        </w:rPr>
        <w:t xml:space="preserve">Kết</w:t>
      </w:r>
      <w:r>
        <w:rPr>
          <w:b/>
          <w:sz w:val="24"/>
          <w:szCs w:val="24"/>
          <w:lang w:val="pt-BR"/>
        </w:rPr>
        <w:t xml:space="preserve"> </w:t>
      </w:r>
      <w:r>
        <w:rPr>
          <w:b/>
          <w:sz w:val="24"/>
          <w:szCs w:val="24"/>
          <w:lang w:val="pt-BR"/>
        </w:rPr>
        <w:t xml:space="preserve">quả</w:t>
      </w:r>
      <w:r>
        <w:rPr>
          <w:b/>
          <w:sz w:val="24"/>
          <w:szCs w:val="24"/>
          <w:lang w:val="pt-BR"/>
        </w:rPr>
        <w:t xml:space="preserve"> </w:t>
      </w:r>
      <w:r>
        <w:rPr>
          <w:b/>
          <w:sz w:val="24"/>
          <w:szCs w:val="24"/>
          <w:lang w:val="pt-BR"/>
        </w:rPr>
        <w:t xml:space="preserve">thẩm</w:t>
      </w:r>
      <w:r>
        <w:rPr>
          <w:b/>
          <w:sz w:val="24"/>
          <w:szCs w:val="24"/>
          <w:lang w:val="pt-BR"/>
        </w:rPr>
        <w:t xml:space="preserve"> </w:t>
      </w:r>
      <w:r>
        <w:rPr>
          <w:b/>
          <w:sz w:val="24"/>
          <w:szCs w:val="24"/>
          <w:lang w:val="pt-BR"/>
        </w:rPr>
        <w:t xml:space="preserve">định</w:t>
      </w:r>
      <w:r>
        <w:rPr>
          <w:b/>
          <w:sz w:val="24"/>
          <w:szCs w:val="24"/>
          <w:lang w:val="pt-BR"/>
        </w:rPr>
        <w:t xml:space="preserve"> </w:t>
      </w:r>
      <w:r>
        <w:rPr>
          <w:b/>
          <w:sz w:val="24"/>
          <w:szCs w:val="24"/>
          <w:lang w:val="pt-BR"/>
        </w:rPr>
        <w:t xml:space="preserve">giá</w:t>
      </w:r>
      <w:r>
        <w:rPr>
          <w:b/>
          <w:sz w:val="24"/>
          <w:szCs w:val="24"/>
          <w:lang w:val="pt-BR"/>
        </w:rPr>
        <w:t xml:space="preserve">:</w:t>
      </w:r>
      <w:r>
        <w:rPr>
          <w:b/>
          <w:sz w:val="24"/>
          <w:szCs w:val="24"/>
        </w:rPr>
      </w:r>
      <w:r>
        <w:rPr>
          <w:b/>
          <w:sz w:val="24"/>
          <w:szCs w:val="24"/>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2"/>
        <w:gridCol w:w="3026"/>
        <w:gridCol w:w="1355"/>
        <w:gridCol w:w="2456"/>
        <w:gridCol w:w="2059"/>
      </w:tblGrid>
      <w:tr>
        <w:trPr>
          <w:trHeight w:val="737"/>
        </w:trPr>
        <w:tc>
          <w:tcPr>
            <w:shd w:val="clear" w:color="000000" w:fill="ffffff"/>
            <w:tcBorders/>
            <w:tcW w:w="64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6"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355"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5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05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53"/>
        </w:trPr>
        <w:tc>
          <w:tcPr>
            <w:shd w:val="clear" w:color="000000" w:fill="ffffff"/>
            <w:tcBorders/>
            <w:tcW w:w="64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6"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952, tờ bản đồ số 36, địa chỉ: Thôn Trung Thành, xã Định Trung, thành phố Vĩnh Yên, Vĩnh Phúc (</w:t>
            </w:r>
            <w:r>
              <w:rPr>
                <w:b/>
                <w:bCs/>
                <w:i/>
                <w:iCs/>
                <w:color w:val="000000"/>
              </w:rPr>
              <w:t xml:space="preserve">Nay là Phường Vĩn</w:t>
            </w:r>
            <w:r>
              <w:rPr>
                <w:b/>
                <w:bCs/>
                <w:i/>
                <w:iCs/>
                <w:color w:val="000000"/>
              </w:rPr>
              <w:t xml:space="preserve">h Phúc, tỉnh Phú Thọ</w:t>
            </w:r>
            <w:r>
              <w:rPr>
                <w:b/>
                <w:bCs/>
                <w:color w:val="000000"/>
              </w:rPr>
              <w:t xml:space="preserve">) theo Giấy chứng nhận quyền sử dụng đất, quyền sở hữu nhà ở và tài sản khác gắn liền với đất  số: CE 726948</w:t>
            </w:r>
            <w:r>
              <w:rPr>
                <w:b/>
                <w:bCs/>
                <w:color w:val="000000"/>
              </w:rPr>
              <w:t xml:space="preserve"> do Sở Tài nguyên và Môi trường tỉnh Vĩnh Phúc cấp ngày 12/12/2016; Chủ sử dụng đất là Ông Nguyễn Văn Thịnh</w:t>
            </w:r>
            <w:r>
              <w:rPr>
                <w:b/>
                <w:bCs/>
                <w:i/>
                <w:iCs/>
              </w:rPr>
              <w:t xml:space="preserve">.</w:t>
            </w:r>
            <w:r>
              <w:rPr>
                <w:b/>
                <w:bCs/>
              </w:rPr>
            </w:r>
            <w:r>
              <w:rPr>
                <w:b/>
                <w:bCs/>
              </w:rPr>
            </w:r>
          </w:p>
        </w:tc>
        <w:tc>
          <w:tcPr>
            <w:shd w:val="clear" w:color="000000" w:fill="ffffff"/>
            <w:tcBorders/>
            <w:tcW w:w="205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537"/>
        </w:trPr>
        <w:tc>
          <w:tcPr>
            <w:shd w:val="clear" w:color="000000" w:fill="ffffff"/>
            <w:tcBorders/>
            <w:tcW w:w="64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026"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355" w:type="dxa"/>
            <w:vAlign w:val="center"/>
            <w:textDirection w:val="lrTb"/>
            <w:noWrap/>
          </w:tcPr>
          <w:p>
            <w:pPr>
              <w:pBdr/>
              <w:spacing w:after="40" w:before="40" w:line="288" w:lineRule="auto"/>
              <w:ind/>
              <w:jc w:val="center"/>
              <w:rPr>
                <w:color w:val="000000"/>
              </w:rPr>
            </w:pPr>
            <w:r>
              <w:rPr>
                <w:color w:val="000000" w:themeColor="text1"/>
              </w:rPr>
              <w:t xml:space="preserve">70,0</w:t>
            </w:r>
            <w:r>
              <w:rPr>
                <w:color w:val="000000"/>
              </w:rPr>
            </w:r>
            <w:r>
              <w:rPr>
                <w:color w:val="000000"/>
              </w:rPr>
            </w:r>
          </w:p>
        </w:tc>
        <w:tc>
          <w:tcPr>
            <w:shd w:val="clear" w:color="000000" w:fill="ffffff"/>
            <w:tcBorders/>
            <w:tcW w:w="2456" w:type="dxa"/>
            <w:vAlign w:val="center"/>
            <w:textDirection w:val="lrTb"/>
            <w:noWrap w:val="false"/>
          </w:tcPr>
          <w:p>
            <w:pPr>
              <w:pBdr/>
              <w:spacing w:after="40" w:before="40" w:line="288" w:lineRule="auto"/>
              <w:ind/>
              <w:jc w:val="center"/>
              <w:rPr>
                <w:b w:val="0"/>
                <w:bCs w:val="0"/>
              </w:rPr>
            </w:pPr>
            <w:r>
              <w:rPr>
                <w:b w:val="0"/>
                <w:bCs w:val="0"/>
                <w:color w:val="000000" w:themeColor="text1"/>
              </w:rPr>
            </w:r>
            <w:r>
              <w:rPr>
                <w:rFonts w:ascii="Times New Roman" w:hAnsi="Times New Roman" w:eastAsia="Times New Roman" w:cs="Times New Roman"/>
                <w:b w:val="0"/>
                <w:bCs w:val="0"/>
                <w:color w:val="000000"/>
                <w:sz w:val="24"/>
                <w:szCs w:val="24"/>
              </w:rPr>
              <w:t xml:space="preserve">18.738.428 </w:t>
            </w:r>
            <w:r>
              <w:rPr>
                <w:b w:val="0"/>
                <w:bCs w:val="0"/>
              </w:rPr>
            </w:r>
            <w:r>
              <w:rPr>
                <w:b w:val="0"/>
                <w:bCs w:val="0"/>
              </w:rPr>
            </w:r>
          </w:p>
        </w:tc>
        <w:tc>
          <w:tcPr>
            <w:shd w:val="clear" w:color="000000" w:fill="ffffff"/>
            <w:tcBorders/>
            <w:tcW w:w="20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1.311.689.960</w:t>
            </w:r>
            <w:r/>
          </w:p>
        </w:tc>
      </w:tr>
      <w:tr>
        <w:trPr>
          <w:trHeight w:val="498"/>
        </w:trPr>
        <w:tc>
          <w:tcPr>
            <w:shd w:val="clear" w:color="000000" w:fill="ffffff"/>
            <w:tcBorders/>
            <w:tcW w:w="642"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026"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355" w:type="dxa"/>
            <w:vAlign w:val="center"/>
            <w:textDirection w:val="lrTb"/>
            <w:noWrap/>
          </w:tcPr>
          <w:p>
            <w:pPr>
              <w:pBdr/>
              <w:spacing w:after="40" w:before="40" w:line="288" w:lineRule="auto"/>
              <w:ind/>
              <w:jc w:val="center"/>
              <w:rPr>
                <w:color w:val="000000"/>
              </w:rPr>
            </w:pPr>
            <w:r>
              <w:rPr>
                <w:color w:val="000000" w:themeColor="text1"/>
              </w:rPr>
              <w:t xml:space="preserve">415,5</w:t>
            </w:r>
            <w:r>
              <w:rPr>
                <w:color w:val="000000"/>
              </w:rPr>
            </w:r>
            <w:r>
              <w:rPr>
                <w:color w:val="000000"/>
              </w:rPr>
            </w:r>
          </w:p>
        </w:tc>
        <w:tc>
          <w:tcPr>
            <w:shd w:val="clear" w:color="000000" w:fill="ffffff"/>
            <w:tcBorders/>
            <w:tcW w:w="2456" w:type="dxa"/>
            <w:vAlign w:val="center"/>
            <w:textDirection w:val="lrTb"/>
            <w:noWrap w:val="false"/>
          </w:tcPr>
          <w:p>
            <w:pPr>
              <w:pBdr/>
              <w:tabs>
                <w:tab w:val="right" w:leader="none" w:pos="2365"/>
              </w:tabs>
              <w:spacing w:after="40" w:before="40" w:line="288" w:lineRule="auto"/>
              <w:ind/>
              <w:jc w:val="left"/>
              <w:rPr>
                <w:b w:val="0"/>
                <w:bCs w:val="0"/>
              </w:rPr>
            </w:pPr>
            <w:r>
              <w:rPr>
                <w:b w:val="0"/>
                <w:bCs w:val="0"/>
                <w:color w:val="000000" w:themeColor="text1"/>
              </w:rPr>
              <w:t xml:space="preserve">         </w:t>
            </w:r>
            <w:r>
              <w:rPr>
                <w:rFonts w:ascii="Times New Roman" w:hAnsi="Times New Roman" w:eastAsia="Times New Roman" w:cs="Times New Roman"/>
                <w:b w:val="0"/>
                <w:bCs w:val="0"/>
                <w:color w:val="000000"/>
                <w:sz w:val="24"/>
                <w:szCs w:val="24"/>
              </w:rPr>
              <w:t xml:space="preserve">12.804.428</w:t>
            </w:r>
            <w:r>
              <w:rPr>
                <w:b w:val="0"/>
                <w:bCs w:val="0"/>
              </w:rPr>
              <w:tab/>
            </w:r>
            <w:r>
              <w:rPr>
                <w:b w:val="0"/>
                <w:bCs w:val="0"/>
              </w:rPr>
            </w:r>
            <w:r>
              <w:rPr>
                <w:b w:val="0"/>
                <w:bCs w:val="0"/>
              </w:rPr>
            </w:r>
          </w:p>
        </w:tc>
        <w:tc>
          <w:tcPr>
            <w:shd w:val="clear" w:color="000000" w:fill="ffffff"/>
            <w:tcBorders/>
            <w:tcW w:w="2059"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5.320.239.834</w:t>
            </w:r>
            <w:r/>
          </w:p>
        </w:tc>
      </w:tr>
      <w:tr>
        <w:trPr>
          <w:trHeight w:val="408"/>
        </w:trPr>
        <w:tc>
          <w:tcPr>
            <w:gridSpan w:val="4"/>
            <w:tcBorders/>
            <w:tcW w:w="747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59" w:type="dxa"/>
            <w:vAlign w:val="center"/>
            <w:textDirection w:val="lrTb"/>
            <w:noWrap/>
          </w:tcPr>
          <w:p>
            <w:pPr>
              <w:pBdr/>
              <w:spacing w:after="0" w:before="0" w:line="240" w:lineRule="auto"/>
              <w:ind/>
              <w:jc w:val="left"/>
              <w:rPr/>
            </w:pPr>
            <w:r>
              <w:rPr>
                <w:rFonts w:ascii="Times New Roman" w:hAnsi="Times New Roman" w:eastAsia="Times New Roman" w:cs="Times New Roman"/>
                <w:color w:val="000000"/>
                <w:sz w:val="24"/>
              </w:rPr>
              <w:t xml:space="preserve">     6.631.929.794</w:t>
            </w:r>
            <w:r/>
          </w:p>
        </w:tc>
      </w:tr>
      <w:tr>
        <w:trPr>
          <w:trHeight w:val="408"/>
        </w:trPr>
        <w:tc>
          <w:tcPr>
            <w:gridSpan w:val="4"/>
            <w:tcBorders/>
            <w:tcW w:w="747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59" w:type="dxa"/>
            <w:vAlign w:val="center"/>
            <w:textDirection w:val="lrTb"/>
            <w:noWrap/>
          </w:tcPr>
          <w:p>
            <w:pPr>
              <w:pBdr/>
              <w:spacing w:after="40" w:before="40" w:line="288" w:lineRule="auto"/>
              <w:ind/>
              <w:jc w:val="center"/>
              <w:rPr>
                <w:b/>
                <w:bCs/>
                <w:color w:val="000000"/>
              </w:rPr>
            </w:pPr>
            <w:r>
              <w:rPr>
                <w:b/>
                <w:bCs/>
                <w:color w:val="000000"/>
              </w:rPr>
              <w:t xml:space="preserve">6.632.000.000</w:t>
            </w:r>
            <w:r>
              <w:rPr>
                <w:b/>
                <w:bCs/>
                <w:color w:val="000000"/>
              </w:rPr>
            </w:r>
            <w:r>
              <w:rPr>
                <w:b/>
                <w:bCs/>
                <w:color w:val="000000"/>
              </w:rPr>
            </w:r>
          </w:p>
        </w:tc>
      </w:tr>
      <w:tr>
        <w:trPr>
          <w:trHeight w:val="408"/>
        </w:trPr>
        <w:tc>
          <w:tcPr>
            <w:gridSpan w:val="5"/>
            <w:tcBorders/>
            <w:tcW w:w="9537"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sáu trăm ba mươi hai triệu đồng chẵn</w:t>
            </w:r>
            <w:r>
              <w:rPr>
                <w:b/>
                <w:bCs/>
                <w:i/>
                <w:iCs/>
                <w:color w:val="000000"/>
              </w:rPr>
              <w:t xml:space="preserve">./.)</w:t>
            </w:r>
            <w:r>
              <w:rPr>
                <w:b/>
                <w:bCs/>
                <w:i/>
                <w:iCs/>
                <w:color w:val="000000"/>
              </w:rPr>
            </w:r>
            <w:r>
              <w:rPr>
                <w:b/>
                <w:bCs/>
                <w:i/>
                <w:iCs/>
                <w:color w:val="000000"/>
              </w:rPr>
            </w:r>
          </w:p>
        </w:tc>
      </w:tr>
    </w:tbl>
    <w:p>
      <w:pPr>
        <w:pBdr/>
        <w:tabs>
          <w:tab w:val="left" w:leader="none" w:pos="993"/>
        </w:tabs>
        <w:spacing w:after="120" w:before="120" w:line="324" w:lineRule="auto"/>
        <w:ind w:firstLine="0" w:left="0"/>
        <w:jc w:val="both"/>
        <w:rPr>
          <w:b/>
          <w:bCs/>
          <w:lang w:val="pt-BR"/>
        </w:rPr>
      </w:pPr>
      <w:r>
        <w:rPr>
          <w:b/>
          <w:bCs/>
          <w:highlight w:val="none"/>
          <w:lang w:val="pt-BR"/>
        </w:rPr>
        <w:t xml:space="preserve">* Ghi chú: </w:t>
      </w:r>
      <w:r>
        <w:rPr>
          <w:rFonts w:ascii="Times New Roman" w:hAnsi="Times New Roman" w:eastAsia="Times New Roman" w:cs="Times New Roman"/>
          <w:i/>
          <w:color w:val="000000"/>
          <w:sz w:val="24"/>
        </w:rPr>
        <w:t xml:space="preserve">Trong quá trình sử dụng kết quả chứng thư và báo cáo thẩm định giá này, giá trị phần đất ở, đất trồng cây lâu năm của Thửa đất số 952, tờ bản đồ số 36 không được tách rời nhau. </w:t>
      </w:r>
      <w:r>
        <w:rPr>
          <w:b/>
          <w:bCs/>
          <w:highlight w:val="none"/>
          <w:lang w:val="pt-BR"/>
        </w:rPr>
      </w:r>
      <w:r>
        <w:rPr>
          <w:b/>
          <w:bCs/>
          <w:lang w:val="pt-BR"/>
        </w:rPr>
      </w:r>
    </w:p>
    <w:p>
      <w:pPr>
        <w:pStyle w:val="1031"/>
        <w:pBdr/>
        <w:tabs>
          <w:tab w:val="left" w:leader="none" w:pos="993"/>
        </w:tabs>
        <w:spacing w:after="120" w:before="120" w:line="324"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pPr>
        <w:pStyle w:val="1031"/>
        <w:numPr>
          <w:ilvl w:val="0"/>
          <w:numId w:val="4"/>
        </w:numPr>
        <w:pBdr/>
        <w:tabs>
          <w:tab w:val="left" w:leader="none" w:pos="993"/>
        </w:tabs>
        <w:spacing w:after="120" w:before="120" w:line="324"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32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24"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324"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324"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324"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32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24"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324"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Bdr/>
        <w:tabs>
          <w:tab w:val="left" w:leader="none" w:pos="993"/>
        </w:tabs>
        <w:spacing w:after="120" w:before="120" w:line="324" w:lineRule="auto"/>
        <w:ind w:right="0" w:firstLine="0" w:left="360"/>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Bdr/>
        <w:spacing w:line="324" w:lineRule="auto"/>
        <w:ind w:right="0" w:firstLine="0" w:left="360"/>
        <w:jc w:val="both"/>
        <w:rPr>
          <w:color w:val="000000"/>
          <w:highlight w:val="white"/>
        </w:rPr>
      </w:pPr>
      <w:r>
        <w:rPr>
          <w:rFonts w:ascii="Times New Roman" w:hAnsi="Times New Roman" w:eastAsia="Times New Roman" w:cs="Times New Roman"/>
          <w:color w:val="000000"/>
          <w:sz w:val="24"/>
          <w:highlight w:val="white"/>
        </w:rPr>
        <w:t xml:space="preserve">Tại thời điểm thẩm định giá, trên đất có công trình xây dựng là: </w:t>
      </w:r>
      <w:r>
        <w:rPr>
          <w:color w:val="000000"/>
          <w:highlight w:val="white"/>
        </w:rPr>
        <w:t xml:space="preserve">+ 01 nhà 2 tầng xây năm 2011, diện tích 96m2/ sàn. Tổng diện tích sàn là 172m2, + </w:t>
      </w:r>
      <w:r>
        <w:rPr>
          <w:color w:val="000000"/>
          <w:highlight w:val="white"/>
        </w:rPr>
        <w:t xml:space="preserve">01 nhà cấp 4 cũ diện tích 45m2, và 01 nhà trọ cấp 4 diện tích xây dựng là 120m2. Hiện các công  trình trên chưa được chứng nhận trên GCN số CE 726948. </w:t>
      </w:r>
      <w:r>
        <w:rPr>
          <w:rFonts w:ascii="Times New Roman" w:hAnsi="Times New Roman" w:eastAsia="Times New Roman" w:cs="Times New Roman"/>
          <w:color w:val="000000"/>
          <w:sz w:val="24"/>
          <w:highlight w:val="white"/>
        </w:rPr>
        <w:t xml:space="preserve">Do vậy, theo đề nghị của Ngân hàng/Khách hàng, Tổ thẩm định không xác định giá</w:t>
      </w:r>
      <w:r>
        <w:rPr>
          <w:rFonts w:ascii="Times New Roman" w:hAnsi="Times New Roman" w:eastAsia="Times New Roman" w:cs="Times New Roman"/>
          <w:color w:val="000000"/>
          <w:sz w:val="24"/>
          <w:highlight w:val="white"/>
        </w:rPr>
        <w:t xml:space="preserve"> trị của công trình xây dựng vào tổng giá trị, nhưng vẫn coi đó là phần không thể tách rời của tài sản thẩm định. Kính đề nghị đơn vị sử dụng kết quả lưu ý. </w:t>
      </w:r>
      <w:r>
        <w:rPr>
          <w:color w:val="000000"/>
          <w:highlight w:val="white"/>
        </w:rPr>
      </w:r>
      <w:r>
        <w:rPr>
          <w:color w:val="000000"/>
          <w:highlight w:val="white"/>
        </w:rPr>
      </w:r>
    </w:p>
    <w:p>
      <w:pPr>
        <w:pStyle w:val="1031"/>
        <w:numPr>
          <w:ilvl w:val="0"/>
          <w:numId w:val="5"/>
        </w:numPr>
        <w:pBdr/>
        <w:tabs>
          <w:tab w:val="left" w:leader="none" w:pos="993"/>
        </w:tabs>
        <w:spacing w:after="120" w:before="120" w:line="324"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324"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24"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32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324"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1"/>
        <w:numPr>
          <w:ilvl w:val="0"/>
          <w:numId w:val="3"/>
        </w:numPr>
        <w:pBdr/>
        <w:tabs>
          <w:tab w:val="left" w:leader="none" w:pos="993"/>
        </w:tabs>
        <w:spacing w:after="120" w:before="120" w:line="32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24"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324"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32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24"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324"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highlight w:val="none"/>
          <w:lang w:val="pt-BR"/>
        </w:rPr>
      </w:r>
    </w:p>
    <w:p>
      <w:pPr>
        <w:pStyle w:val="1031"/>
        <w:pBdr/>
        <w:tabs>
          <w:tab w:val="left" w:leader="none" w:pos="993"/>
        </w:tabs>
        <w:spacing w:after="120" w:before="120" w:line="312" w:lineRule="auto"/>
        <w:ind w:left="0"/>
        <w:jc w:val="both"/>
        <w:rPr>
          <w:lang w:val="pt-BR"/>
        </w:rPr>
      </w:pPr>
      <w:r>
        <w:rPr>
          <w:lang w:val="pt-BR"/>
        </w:rPr>
      </w:r>
      <w:r>
        <w:rPr>
          <w:lang w:val="pt-BR"/>
        </w:rPr>
      </w:r>
      <w:r>
        <w:rPr>
          <w:lang w:val="pt-BR"/>
        </w:rPr>
      </w:r>
    </w:p>
    <w:p>
      <w:pPr>
        <w:pStyle w:val="1031"/>
        <w:pBdr/>
        <w:tabs>
          <w:tab w:val="left" w:leader="none" w:pos="993"/>
        </w:tabs>
        <w:spacing w:after="120" w:before="120" w:line="312" w:lineRule="auto"/>
        <w:ind w:left="0"/>
        <w:jc w:val="both"/>
        <w:rPr>
          <w:highlight w:val="none"/>
          <w:lang w:val="pt-BR"/>
        </w:rPr>
      </w:pPr>
      <w:r>
        <w:rPr>
          <w:lang w:val="pt-BR"/>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275/2026/0309/VFI-CT.53.A</w:t>
      </w:r>
      <w:r>
        <w:rPr>
          <w:color w:val="ff0000"/>
          <w:lang w:val="vi-VN"/>
        </w:rPr>
        <w:t xml:space="preserve"> </w:t>
      </w:r>
      <w:r>
        <w:rPr>
          <w:color w:val="000000" w:themeColor="text1"/>
        </w:rPr>
        <w:t xml:space="preserve">ngày 11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pt-BR"/>
        </w:rPr>
      </w:r>
      <w:r>
        <w:rPr>
          <w:highlight w:val="none"/>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275/2026/0309/VFI-BC.53.A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00542" cy="224658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80360" name=""/>
                              <pic:cNvPicPr>
                                <a:picLocks noChangeAspect="1"/>
                              </pic:cNvPicPr>
                              <pic:nvPr/>
                            </pic:nvPicPr>
                            <pic:blipFill rotWithShape="1">
                              <a:blip r:embed="rId18"/>
                              <a:stretch/>
                            </pic:blipFill>
                            <pic:spPr bwMode="auto">
                              <a:xfrm flipH="0" flipV="0">
                                <a:off x="0" y="0"/>
                                <a:ext cx="2200541" cy="2246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3.27pt;height:176.9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6187" cy="21271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06339" name=""/>
                              <pic:cNvPicPr>
                                <a:picLocks noChangeAspect="1"/>
                              </pic:cNvPicPr>
                              <pic:nvPr/>
                            </pic:nvPicPr>
                            <pic:blipFill rotWithShape="1">
                              <a:blip r:embed="rId19"/>
                              <a:stretch/>
                            </pic:blipFill>
                            <pic:spPr bwMode="auto">
                              <a:xfrm flipH="0" flipV="0">
                                <a:off x="0" y="0"/>
                                <a:ext cx="2836186" cy="21271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32pt;height:167.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7178" cy="21574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138293" name=""/>
                              <pic:cNvPicPr>
                                <a:picLocks noChangeAspect="1"/>
                              </pic:cNvPicPr>
                              <pic:nvPr/>
                            </pic:nvPicPr>
                            <pic:blipFill rotWithShape="1">
                              <a:blip r:embed="rId20"/>
                              <a:stretch/>
                            </pic:blipFill>
                            <pic:spPr bwMode="auto">
                              <a:xfrm flipH="0" flipV="0">
                                <a:off x="0" y="0"/>
                                <a:ext cx="2287177" cy="2157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9pt;height:169.8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6210" cy="214965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41002" name=""/>
                              <pic:cNvPicPr>
                                <a:picLocks noChangeAspect="1"/>
                              </pic:cNvPicPr>
                              <pic:nvPr/>
                            </pic:nvPicPr>
                            <pic:blipFill rotWithShape="1">
                              <a:blip r:embed="rId21"/>
                              <a:stretch/>
                            </pic:blipFill>
                            <pic:spPr bwMode="auto">
                              <a:xfrm flipH="0" flipV="0">
                                <a:off x="0" y="0"/>
                                <a:ext cx="2866209" cy="2149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69pt;height:169.2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327" cy="20012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131891" name=""/>
                              <pic:cNvPicPr>
                                <a:picLocks noChangeAspect="1"/>
                              </pic:cNvPicPr>
                              <pic:nvPr/>
                            </pic:nvPicPr>
                            <pic:blipFill rotWithShape="1">
                              <a:blip r:embed="rId22"/>
                              <a:stretch/>
                            </pic:blipFill>
                            <pic:spPr bwMode="auto">
                              <a:xfrm flipH="0" flipV="0">
                                <a:off x="0" y="0"/>
                                <a:ext cx="2668327" cy="2001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10pt;height:157.5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6556" cy="21649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77011" name=""/>
                              <pic:cNvPicPr>
                                <a:picLocks noChangeAspect="1"/>
                              </pic:cNvPicPr>
                              <pic:nvPr/>
                            </pic:nvPicPr>
                            <pic:blipFill rotWithShape="1">
                              <a:blip r:embed="rId23"/>
                              <a:stretch/>
                            </pic:blipFill>
                            <pic:spPr bwMode="auto">
                              <a:xfrm flipH="0" flipV="0">
                                <a:off x="0" y="0"/>
                                <a:ext cx="2886555" cy="21649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29pt;height:170.4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275/2026/0309/VFI-BC.53.A</w:t>
      </w:r>
      <w:r>
        <w:rPr>
          <w:i/>
          <w:lang w:val="pt-BR"/>
        </w:rPr>
        <w:t xml:space="preserve"> </w:t>
      </w:r>
      <w:r>
        <w:rPr>
          <w:i/>
          <w:lang w:val="pt-BR"/>
        </w:rPr>
        <w:t xml:space="preserve">ngày 11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0972.780664</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(52,8 m²), Đất trồng cây lâu năm (45,8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nội xóm,cách trường THPT Trần Phú khoảng 450m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2.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2.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8060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78060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8.9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8947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2894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0.2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0942.422866</w:t>
            </w:r>
            <w:r>
              <w:rPr>
                <w:sz w:val="22"/>
                <w:szCs w:val="22"/>
              </w:rPr>
              <w:t xml:space="preserve"> </w:t>
            </w:r>
            <w:r>
              <w:rPr>
                <w:sz w:val="22"/>
                <w:szCs w:val="22"/>
              </w:rPr>
              <w:br/>
              <w:t xml:space="preserve">(Phong Đất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(50m²), Đất trồng cây lâu năm (80,1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Nguyễn Tất Thành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59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6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0904.556146</w:t>
            </w:r>
            <w:r>
              <w:rPr>
                <w:sz w:val="22"/>
                <w:szCs w:val="22"/>
              </w:rPr>
              <w:t xml:space="preserve"> </w:t>
            </w:r>
            <w:r>
              <w:rPr>
                <w:sz w:val="22"/>
                <w:szCs w:val="22"/>
              </w:rPr>
              <w:br/>
              <w:t xml:space="preserve">(Anh 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(30m²), Đất trồng cây lâu năm (67,6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31/12/2046, 20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nội xóm, cách đường Nguyễn Tất Thành khoảng 230m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605378"/>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44585" name=""/>
                        <pic:cNvPicPr>
                          <a:picLocks noChangeAspect="1"/>
                        </pic:cNvPicPr>
                        <pic:nvPr/>
                      </pic:nvPicPr>
                      <pic:blipFill rotWithShape="1">
                        <a:blip r:embed="rId35"/>
                        <a:stretch/>
                      </pic:blipFill>
                      <pic:spPr bwMode="auto">
                        <a:xfrm flipH="0" flipV="0">
                          <a:off x="0" y="0"/>
                          <a:ext cx="6048374" cy="8605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7.59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729007" cy="897201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8023" name=""/>
                        <pic:cNvPicPr>
                          <a:picLocks noChangeAspect="1"/>
                        </pic:cNvPicPr>
                        <pic:nvPr/>
                      </pic:nvPicPr>
                      <pic:blipFill rotWithShape="1">
                        <a:blip r:embed="rId36"/>
                        <a:stretch/>
                      </pic:blipFill>
                      <pic:spPr bwMode="auto">
                        <a:xfrm flipH="0" flipV="0">
                          <a:off x="0" y="0"/>
                          <a:ext cx="6729007" cy="8972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529.84pt;height:706.46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913393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12985" name=""/>
                        <pic:cNvPicPr>
                          <a:picLocks noChangeAspect="1"/>
                        </pic:cNvPicPr>
                        <pic:nvPr/>
                      </pic:nvPicPr>
                      <pic:blipFill rotWithShape="1">
                        <a:blip r:embed="rId37"/>
                        <a:stretch/>
                      </pic:blipFill>
                      <pic:spPr bwMode="auto">
                        <a:xfrm flipH="0" flipV="0">
                          <a:off x="0" y="0"/>
                          <a:ext cx="6048374" cy="9133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719.21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 </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59340" name=""/>
                        <pic:cNvPicPr>
                          <a:picLocks noChangeAspect="1"/>
                        </pic:cNvPicPr>
                        <pic:nvPr/>
                      </pic:nvPicPr>
                      <pic:blipFill rotWithShape="1">
                        <a:blip r:embed="rId3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38"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055BF6C"/>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6AD8678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6B8C60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277</cp:revision>
  <dcterms:created xsi:type="dcterms:W3CDTF">2025-09-15T09:58:00Z</dcterms:created>
  <dcterms:modified xsi:type="dcterms:W3CDTF">2026-02-12T06:54:41Z</dcterms:modified>
</cp:coreProperties>
</file>