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5467350"/>
                <wp:effectExtent l="12700" t="12700" r="31750" b="31750"/>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275/2026/0296/VFI-CT.27.A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Tùng Phương</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2b, tờ bản đồ số: 2</w:t>
                            </w:r>
                            <w:r>
                              <w:rPr>
                                <w:color w:val="000000"/>
                              </w:rPr>
                              <w:t xml:space="preserve">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ông Trịnh Minh Tỉnh</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430.5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275/2026/0296/VFI-CT.27.A</w:t>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Công ty TNHH Tùng Phương</w:t>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tại thửa đất số: 2b, tờ bản đồ số: 2</w:t>
                      </w:r>
                      <w:r>
                        <w:rPr>
                          <w:color w:val="000000"/>
                        </w:rPr>
                        <w:t xml:space="preserve">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ông Trịnh Minh Tỉnh</w:t>
                      </w:r>
                      <w:r>
                        <w:rPr>
                          <w:bCs/>
                          <w:i/>
                          <w:iCs/>
                        </w:rPr>
                        <w:t xml:space="preserve">.</w:t>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pP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pPr>
        <w:pBdr/>
        <w:spacing/>
        <w:ind w:right="-1"/>
        <w:jc w:val="center"/>
        <w:rPr>
          <w:sz w:val="28"/>
        </w:rPr>
      </w:pPr>
      <w:r>
        <w:rPr>
          <w:b/>
          <w:sz w:val="28"/>
        </w:rPr>
        <w:t xml:space="preserve">MỤC LỤC</w:t>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p>
        </w:tc>
      </w:tr>
    </w:tbl>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275/2026/0296/VFI-CT.27.A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9 tháng 2 năm 2026</w:t>
            </w:r>
            <w:r>
              <w:rPr>
                <w:color w:val="000000" w:themeColor="text1"/>
                <w:sz w:val="24"/>
                <w:szCs w:val="24"/>
                <w:lang w:val="vi-VN"/>
              </w:rPr>
            </w:r>
          </w:p>
        </w:tc>
      </w:tr>
    </w:tbl>
    <w:p>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Tùng Phương</w:t>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275/2026/0296/VFI-HĐTĐ.27.A</w:t>
      </w:r>
      <w:r>
        <w:rPr>
          <w:spacing w:val="-4"/>
          <w:lang w:val="vi-VN"/>
        </w:rPr>
        <w:t xml:space="preserve"> ký ngày </w:t>
      </w:r>
      <w:r>
        <w:rPr>
          <w:color w:val="000000" w:themeColor="text1"/>
          <w:spacing w:val="-4"/>
        </w:rPr>
        <w:t xml:space="preserve">28 tháng 1 năm 2026</w:t>
      </w:r>
      <w:r>
        <w:rPr>
          <w:spacing w:val="-4"/>
          <w:lang w:val="vi-VN"/>
        </w:rPr>
        <w:t xml:space="preserve"> </w:t>
      </w:r>
      <w:r>
        <w:rPr>
          <w:spacing w:val="-4"/>
          <w:lang w:val="vi-VN"/>
        </w:rPr>
        <w:t xml:space="preserve">giữa </w:t>
      </w:r>
      <w:r>
        <w:rPr>
          <w:color w:val="000000" w:themeColor="text1"/>
          <w:spacing w:val="-4"/>
        </w:rPr>
        <w:t xml:space="preserve">Công ty TNHH Tùng Phương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275/2026/0296/VFI-BC.27.A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rPr/>
            </w:pPr>
            <w:r>
              <w:rPr>
                <w:rFonts w:ascii="Times New Roman" w:hAnsi="Times New Roman" w:eastAsia="Times New Roman" w:cs="Times New Roman"/>
                <w:b/>
                <w:color w:val="000000"/>
                <w:sz w:val="24"/>
              </w:rPr>
              <w:t xml:space="preserve">Công ty TNHH Tùng Phương</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color w:val="0066cc"/>
                <w:sz w:val="24"/>
              </w:rPr>
              <w:t xml:space="preserve"> trụ sở</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Phố</w:t>
            </w:r>
            <w:r>
              <w:rPr>
                <w:rFonts w:ascii="Times New Roman" w:hAnsi="Times New Roman" w:eastAsia="Times New Roman" w:cs="Times New Roman"/>
                <w:color w:val="0066cc"/>
                <w:sz w:val="24"/>
              </w:rPr>
              <w:t xml:space="preserve"> Tiền Phong, huyện Bình Xuyên, tỉnh Vĩnh Phúc</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Mã số</w:t>
            </w:r>
            <w:r>
              <w:rPr>
                <w:rFonts w:ascii="Times New Roman" w:hAnsi="Times New Roman" w:eastAsia="Times New Roman" w:cs="Times New Roman"/>
                <w:color w:val="0066cc"/>
                <w:sz w:val="24"/>
              </w:rPr>
              <w:t xml:space="preserve"> thuế</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2500206820</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pacing w:val="-6"/>
                <w:sz w:val="24"/>
              </w:rPr>
              <w:t xml:space="preserve">Đại diện</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Bà Nguyễn Thị Phương                      Chức vụ: Giám đốc</w:t>
            </w: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tại thửa đất số: 2b, tờ bản đồ số: 2</w:t>
      </w:r>
      <w:r>
        <w:rPr>
          <w:color w:val="000000" w:themeColor="text1"/>
        </w:rPr>
        <w:t xml:space="preserve">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ông Trịnh Minh Tỉnh</w:t>
      </w:r>
      <w:r>
        <w:rPr>
          <w:i/>
          <w:iCs/>
        </w:rPr>
        <w:t xml:space="preserve">.</w:t>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2b, tờ bản đồ số: 2</w:t>
            </w:r>
            <w:r>
              <w:rPr>
                <w:color w:val="000000"/>
              </w:rPr>
              <w:t xml:space="preserve">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ông Trịnh Minh Tỉnh</w:t>
            </w:r>
            <w:r>
              <w:rPr>
                <w:b/>
                <w:bCs/>
              </w:rPr>
              <w:t xml:space="preserve">.</w:t>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pPr>
              <w:pBdr/>
              <w:spacing w:after="40" w:before="40" w:line="288" w:lineRule="auto"/>
              <w:ind/>
              <w:rPr/>
            </w:pPr>
            <w:r>
              <w:rPr>
                <w:b/>
                <w:bCs/>
              </w:rPr>
              <w:t xml:space="preserve">Đất ở tại đô thị</w:t>
            </w: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168.25</w:t>
              <w:br/>
              <w:t xml:space="preserve">41.75(QH)</w:t>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82.000.000</w:t>
              <w:br/>
              <w:t xml:space="preserve">22.500.000(QH)</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13.796.500.000</w:t>
              <w:br/>
              <w:t xml:space="preserve">939.375.000(QH)</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t xml:space="preserve">14.735.875.000</w:t>
            </w:r>
            <w:r>
              <w:rPr>
                <w:b/>
                <w:bCs/>
                <w:color w:val="000000"/>
              </w:rP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color w:val="000000"/>
              </w:rPr>
              <w:t xml:space="preserve">14.735.900.000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bốn tỷ bảy trăm ba mươi lăm triệu chín trăm nghìn</w:t>
            </w:r>
            <w:r>
              <w:rPr>
                <w:b/>
                <w:bCs/>
                <w:i/>
                <w:iCs/>
                <w:color w:val="000000"/>
              </w:rPr>
              <w:t xml:space="preserve">./.)</w:t>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275/2026/0296/VFI-CT.27.A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9 tháng 2 năm 2026</w:t>
            </w:r>
            <w:r>
              <w:rPr>
                <w:color w:val="000000" w:themeColor="text1"/>
                <w:sz w:val="24"/>
                <w:szCs w:val="24"/>
                <w:lang w:val="vi-VN"/>
              </w:rPr>
            </w:r>
          </w:p>
        </w:tc>
      </w:tr>
    </w:tbl>
    <w:p>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275/2026/0296/VFI-CT.27.A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2 năm 2026</w:t>
      </w:r>
      <w:r>
        <w:rPr>
          <w:b w:val="0"/>
          <w:i/>
          <w:spacing w:val="-6"/>
          <w:sz w:val="24"/>
          <w:szCs w:val="24"/>
          <w:lang w:val="pt-BR"/>
        </w:rPr>
        <w:t xml:space="preserve">)</w:t>
      </w:r>
      <w:r>
        <w:rPr>
          <w:b w:val="0"/>
          <w:i/>
          <w:spacing w:val="-6"/>
          <w:sz w:val="24"/>
          <w:szCs w:val="24"/>
          <w:lang w:val="pt-BR"/>
        </w:rPr>
      </w:r>
    </w:p>
    <w:p>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rPr/>
            </w:pPr>
            <w:r>
              <w:rPr>
                <w:rFonts w:ascii="Times New Roman" w:hAnsi="Times New Roman" w:eastAsia="Times New Roman" w:cs="Times New Roman"/>
                <w:b/>
                <w:color w:val="000000"/>
                <w:sz w:val="24"/>
              </w:rPr>
              <w:t xml:space="preserve">Công ty TNHH Tùng Phương</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Địa chỉ</w:t>
            </w:r>
            <w:r>
              <w:rPr>
                <w:rFonts w:ascii="Times New Roman" w:hAnsi="Times New Roman" w:eastAsia="Times New Roman" w:cs="Times New Roman"/>
                <w:color w:val="0066cc"/>
                <w:sz w:val="24"/>
              </w:rPr>
              <w:t xml:space="preserve"> trụ sở</w:t>
            </w: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Phố</w:t>
            </w:r>
            <w:r>
              <w:rPr>
                <w:rFonts w:ascii="Times New Roman" w:hAnsi="Times New Roman" w:eastAsia="Times New Roman" w:cs="Times New Roman"/>
                <w:color w:val="0066cc"/>
                <w:sz w:val="24"/>
              </w:rPr>
              <w:t xml:space="preserve"> Tiền Phong, huyện Bình Xuyên, tỉnh Vĩnh Phúc</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Mã số</w:t>
            </w:r>
            <w:r>
              <w:rPr>
                <w:rFonts w:ascii="Times New Roman" w:hAnsi="Times New Roman" w:eastAsia="Times New Roman" w:cs="Times New Roman"/>
                <w:color w:val="0066cc"/>
                <w:sz w:val="24"/>
              </w:rPr>
              <w:t xml:space="preserve"> thuế</w:t>
            </w: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2500206820</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pacing w:val="-6"/>
                <w:sz w:val="24"/>
              </w:rPr>
              <w:t xml:space="preserve">Đại diện</w:t>
            </w: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before="120" w:line="253" w:lineRule="atLeast"/>
              <w:ind w:right="0" w:firstLine="0" w:left="0"/>
              <w:jc w:val="both"/>
              <w:rPr/>
            </w:pPr>
            <w:r>
              <w:rPr>
                <w:rFonts w:ascii="Times New Roman" w:hAnsi="Times New Roman" w:eastAsia="Times New Roman" w:cs="Times New Roman"/>
                <w:color w:val="000000"/>
                <w:sz w:val="24"/>
              </w:rPr>
              <w:t xml:space="preserve">Bà Nguyễn Thị Phương                      Chức vụ: Giám đốc</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2b, tờ bản đồ số: 2</w:t>
            </w:r>
            <w:r>
              <w:rPr>
                <w:bCs/>
                <w:color w:val="000000" w:themeColor="text1"/>
                <w:lang w:val="pt-BR"/>
              </w:rPr>
              <w:t xml:space="preserve">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ông Trịnh Minh Tỉnh</w:t>
            </w:r>
            <w:r>
              <w:rPr>
                <w:bCs/>
                <w:spacing w:val="2"/>
              </w:rPr>
              <w:t xml:space="preserve">.</w:t>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K9 Thường Lệ, Đại Thịnh, huyện Mê Linh,tỉnh Vĩnh Phúc</w:t>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21.175131963182, 105.73134920738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p>
    <w:p>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số: G 443584, số vào sổ cấp GCN: 1108QSDĐ do UBND huyện Mê Linh cấp ngày 02/7/1996 cho ông Trịnh Minh Tỉnh</w:t>
      </w:r>
      <w:r>
        <w:rPr>
          <w:lang w:val="pt-BR"/>
        </w:rPr>
        <w:t xml:space="preserve">.</w:t>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thẩm định giá số 275/2026/0296/VFI-HĐTĐ.27.A ký ngày 28/01/2026 giữa Công ty TNHH Tùng Phương với Công ty Cổ phần Thẩm định và Đầu tư Tài chính Hoa Sen</w:t>
      </w:r>
      <w:r>
        <w:rPr>
          <w:b/>
          <w:lang w:val="pt-BR"/>
        </w:rPr>
      </w:r>
    </w:p>
    <w:p>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Thay vì những cơn “sốt n</w:t>
      </w:r>
      <w:r>
        <w:rPr>
          <w:shd w:val="clear" w:color="auto" w:fill="ffffff"/>
        </w:rPr>
        <w:t xml:space="preserve">óng”, thị trường vận động theo hướng chọn lọc, phân hóa mạnh, lấy nhu cầu ở thực, chất lượng dự án và năng lực doanh nghiệp làm trụ cột phát triển bền vững.</w:t>
        <w:br/>
        <w:t xml:space="preserve">Trong bối cảnh kinh tế vĩ mô dần ổn định, khuôn khổ pháp lý được hoàn thiện và đầu tư công tiếp tục</w:t>
      </w:r>
      <w:r>
        <w:rPr>
          <w:shd w:val="clear" w:color="auto" w:fill="ffffff"/>
        </w:rPr>
        <w:t xml:space="preserve"> giữ vai trò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w:t>
      </w:r>
      <w:r>
        <w:rPr>
          <w:shd w:val="clear" w:color="auto" w:fill="ffffff"/>
        </w:rPr>
        <w:t xml:space="preserve">, gắn chặt với quy hoạch đô thị, nhu cầu ở thực và năng lực triển khai của doanh nghiệp.</w:t>
        <w:br/>
        <w:t xml:space="preserve">Hạ tầng – "xương sống" mở không gian phát triển mới</w:t>
        <w:br/>
        <w:t xml:space="preserve">Trong nhiều năm qua, hạ tầng giao thông luôn là yếu tố then chốt định hình không gian phát triển đô thị Hà Nội. Đến</w:t>
      </w:r>
      <w:r>
        <w:rPr>
          <w:shd w:val="clear" w:color="auto" w:fill="ffffff"/>
        </w:rPr>
        <w:t xml:space="preserve"> năm 2026, vai trò này càng trở nên rõ rệt khi hàng loạt dự án trọng điểm được triển khai đồng bộ, tạo lực đẩy dài hạn cho thị trường bất động sản.</w:t>
        <w:br/>
        <w:t xml:space="preserve">Dự án đường Vành đai 4 – Vùng Thủ đô, với quy mô hơn 85.000 tỷ đồng, được coi là "đòn bẩy chiến lược" mở rộn</w:t>
      </w:r>
      <w:r>
        <w:rPr>
          <w:shd w:val="clear" w:color="auto" w:fill="ffffff"/>
        </w:rPr>
        <w:t xml:space="preserve">g không gian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br/>
      </w:r>
      <w:r>
        <w:rPr>
          <w:shd w:val="clear" w:color="auto" w:fill="ffffff"/>
        </w:rPr>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w:t>
      </w:r>
      <w:r>
        <w:rPr>
          <w:shd w:val="clear" w:color="auto" w:fill="ffffff"/>
        </w:rPr>
        <w:t xml:space="preserve">,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w:t>
      </w:r>
      <w:r>
        <w:rPr>
          <w:shd w:val="clear" w:color="auto" w:fill="ffffff"/>
        </w:rPr>
        <w:t xml:space="preserve"> trưởng bất động sản dài hạn.</w:t>
        <w:br/>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w:t>
      </w:r>
      <w:r>
        <w:rPr>
          <w:shd w:val="clear" w:color="auto" w:fill="ffffff"/>
        </w:rPr>
        <w:t xml:space="preserve"> 5 (Văn Cao – Hòa Lạc), đang nổi lên như một cực phát triển mới. Ở phía Đông, hệ thống cầu vượt sông Hồng, cùng quy hoạch chỉnh trang đô thị ven sông, tiếp tục mở ra dư địa cho các dự án nhà ở và đô thị sinh thái.</w:t>
        <w:br/>
        <w:t xml:space="preserve">Thị trường chuyển từ "tăng nóng" sang tăng</w:t>
      </w:r>
      <w:r>
        <w:rPr>
          <w:shd w:val="clear" w:color="auto" w:fill="ffffff"/>
        </w:rPr>
        <w:t xml:space="preserve"> trưởng chọn lọc</w:t>
        <w:b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w:t>
      </w:r>
      <w:r>
        <w:rPr>
          <w:shd w:val="clear" w:color="auto" w:fill="ffffff"/>
        </w:rPr>
        <w:t xml:space="preserve">những khu vực có quy hoạch rõ ràng, hạ tầng đồng bộ và nhu cầu ở thực ổn định.</w:t>
        <w:br/>
        <w:t xml:space="preserve">Theo ông Nguyễn Văn Đính, Chủ tịch Hội Môi giới Bất động sản Việt Nam (VARS), thị trường bất động sản Hà Nội sẽ không tăng trưởng theo kiểu nóng mà dựa trên nền tảng hạ tầng và </w:t>
      </w:r>
      <w:r>
        <w:rPr>
          <w:shd w:val="clear" w:color="auto" w:fill="ffffff"/>
        </w:rPr>
        <w:t xml:space="preserve">nhu cầu thật. Những dự án gắn với các tuyến giao thông lớn, pháp lý minh bạch và được triển khai bài bản sẽ trở thành động lực chính của thị trường trong năm 2026.</w:t>
        <w:br/>
        <w:t xml:space="preserve">Số liệu từ các đơn vị nghiên cứu cho thấy, trong giai đoạn gần đây, giá bất động sản tại nhữ</w:t>
      </w:r>
      <w:r>
        <w:rPr>
          <w:shd w:val="clear" w:color="auto" w:fill="ffffff"/>
        </w:rPr>
        <w:t xml:space="preserve">ng khu vực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br/>
        <w:t xml:space="preserve">Nguồn cung lớn,</w:t>
      </w:r>
      <w:r>
        <w:rPr>
          <w:shd w:val="clear" w:color="auto" w:fill="ffffff"/>
        </w:rPr>
        <w:t xml:space="preserve"> thị trường phân hóa rõ nét</w:t>
        <w:br/>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w:t>
      </w:r>
      <w:r>
        <w:rPr>
          <w:shd w:val="clear" w:color="auto" w:fill="ffffff"/>
        </w:rPr>
        <w:t xml:space="preserve"> khởi động. Điều này vừa tạo cơ hội cho người mua, vừa đặt ra thách thức cho doanh nghiệp phát triển dự án.</w:t>
        <w:br/>
        <w:t xml:space="preserve">Ông David Jackson, Tổng Giám đốc Avison Young Việt Nam nhận định, thị trường căn hộ đang bước vào giai đoạn bản lề. Phân khúc này tiếp tục giữ vai t</w:t>
      </w:r>
      <w:r>
        <w:rPr>
          <w:shd w:val="clear" w:color="auto" w:fill="ffffff"/>
        </w:rPr>
        <w:t xml:space="preserve">rò chủ đạo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w:t>
      </w:r>
      <w:r>
        <w:rPr>
          <w:shd w:val="clear" w:color="auto" w:fill="ffffff"/>
        </w:rPr>
        <w:t xml:space="preserve"> vượt khả năng chi trả của số đông sẽ gặp khó.</w:t>
        <w:br/>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w:t>
      </w:r>
      <w:r>
        <w:rPr>
          <w:shd w:val="clear" w:color="auto" w:fill="ffffff"/>
        </w:rPr>
        <w:t xml:space="preserve">ớn nhờ phù hợp với nhu cầu ở thực. Trong khi đó, phân khúc nhà ở vừa túi tiền và nhà ở xã hội được kỳ vọng sẽ dần cải thiện nguồn cung khi các chính sách mới được triển khai đồng bộ.</w:t>
        <w:br/>
        <w:t xml:space="preserve">Chính sách và pháp lý – điểm tựa cho chu kỳ mới</w:t>
        <w:br/>
        <w:t xml:space="preserve">Năm 2026 được xem là thời</w:t>
      </w:r>
      <w:r>
        <w:rPr>
          <w:shd w:val="clear" w:color="auto" w:fill="ffffff"/>
        </w:rPr>
        <w:t xml:space="preserve">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w:t>
      </w:r>
      <w:r>
        <w:rPr>
          <w:shd w:val="clear" w:color="auto" w:fill="ffffff"/>
        </w:rPr>
        <w:t xml:space="preserve"> trường.</w:t>
        <w:br/>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w:t>
      </w:r>
      <w:r>
        <w:rPr>
          <w:shd w:val="clear" w:color="auto" w:fill="ffffff"/>
        </w:rPr>
        <w:t xml:space="preserve"> "treo" dự án kéo dài, đồng thời tạo niềm tin cho nhà đầu tư và người mua nhà.</w:t>
        <w:br/>
        <w:t xml:space="preserve">Bước vào năm 2026, mặt bằng lãi suất được dự báo duy trì ở mức tương đối ổn định, dù có thể xuất hiện những điều chỉnh kỹ thuật. Ông Nguyễn Quốc Anh, Phó Tổng Giám đốc Batdongsa</w:t>
      </w:r>
      <w:r>
        <w:rPr>
          <w:shd w:val="clear" w:color="auto" w:fill="ffffff"/>
        </w:rPr>
        <w:t xml:space="preserve">n.com.vn cho rằng, mức lãi suất cho vay phổ biến quanh 6–7%/năm vẫn nằm trong vùng hỗ trợ giao dịch, khác xa giai đoạn "cú sốc kép" năm 2022.</w:t>
        <w:br/>
        <w:t xml:space="preserve">Ở góc nhìn vĩ mô, TS. Cấn Văn Lực, Chuyên gia Kinh tế trưởng Ngân hàng BIDV, Thành viên Hội đồng Tư vấn chính sách</w:t>
      </w:r>
      <w:r>
        <w:rPr>
          <w:shd w:val="clear" w:color="auto" w:fill="ffffff"/>
        </w:rPr>
        <w:t xml:space="preserve"> tài chính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w:t>
      </w:r>
      <w:r>
        <w:rPr>
          <w:shd w:val="clear" w:color="auto" w:fill="ffffff"/>
        </w:rPr>
        <w:t xml:space="preserve"> chủ đầu tư – những yếu tố then chốt để hình thành chu kỳ tăng trưởng bền vững.</w:t>
        <w:br/>
        <w:t xml:space="preserve">Triển vọng 2026: tăng trưởng bền vững trên nền tảng mới</w:t>
        <w:br/>
        <w:t xml:space="preserve">Với nguồn cung tăng mạnh và người mua ngày càng kỹ tính, năm 2026 được xem là giai đoạn sàng lọc rõ nét đối với các doan</w:t>
      </w:r>
      <w:r>
        <w:rPr>
          <w:shd w:val="clear" w:color="auto" w:fill="ffffff"/>
        </w:rPr>
        <w:t xml:space="preserve">h nghiệp bất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w:t>
      </w:r>
      <w:r>
        <w:rPr>
          <w:shd w:val="clear" w:color="auto" w:fill="ffffff"/>
        </w:rPr>
        <w:t xml:space="preserve">ắn hạn có thể tiếp tục bị đào thải.</w:t>
        <w:br/>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w:t>
      </w:r>
      <w:r>
        <w:rPr>
          <w:shd w:val="clear" w:color="auto" w:fill="ffffff"/>
        </w:rPr>
        <w:t xml:space="preserve">h nghiệp phải gìn giữ.</w:t>
        <w:br/>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w:t>
      </w:r>
      <w:r>
        <w:rPr>
          <w:shd w:val="clear" w:color="auto" w:fill="ffffff"/>
        </w:rPr>
        <w:t xml:space="preserve"> chủ đạo. Thị trường không còn chỗ cho những cơn sốt ảo, mà hướng tới tăng trưởng ổn định, gắn với chất lượng đô thị và chất lượng sống.</w:t>
        <w:br/>
        <w:t xml:space="preserve">Với những nền tảng đó, bất động sản Hà Nội trong năm 2026 được kỳ vọng sẽ bước vào chu kỳ phát triển mới – bền vững hơn</w:t>
      </w:r>
      <w:r>
        <w:rPr>
          <w:shd w:val="clear" w:color="auto" w:fill="ffffff"/>
        </w:rPr>
        <w:t xml:space="preserve">, minh bạch hơn và đóng góp hiệu quả hơn cho tăng trưởng kinh tế – xã hội của Thủ đô.</w:t>
        <w:br/>
        <w:t xml:space="preserve">(Nguồn: https://thanglong.chinhphu.vn/buc-tranh-thi-truong-bat-dong-san-ha-noi-nam-2026-ha-tang-dan-dat-thi-truong-buoc-vao-chu-ky-tang-truong-moi-103260101181315972.htm)</w:t>
      </w:r>
      <w:r>
        <w:rPr>
          <w:i/>
          <w:iCs/>
          <w:lang w:val="pt-BR"/>
        </w:rPr>
      </w:r>
    </w:p>
    <w:p>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2b, tờ bản đồ số: 2</w:t>
            </w:r>
            <w:r>
              <w:rPr>
                <w:b/>
                <w:bCs/>
                <w:color w:val="000000"/>
              </w:rPr>
              <w:t xml:space="preserve">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ông Trịnh Minh Tỉnh</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2b</w:t>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26</w:t>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K9 Thường Lệ, Đại Thịnh, huyện Mê Linh,tỉnh Vĩnh Phúc</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168.25</w:t>
              <w:br/>
              <w:t xml:space="preserve">(QH: 41.75)</w:t>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210 m2</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QL 23B</w:t>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10</w:t>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Tiếp giáp ql23</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21.175131963182</w:t>
            </w:r>
            <w:r>
              <w:rPr>
                <w:color w:val="000000"/>
              </w:rPr>
              <w:t xml:space="preserve">, </w:t>
            </w:r>
            <w:r>
              <w:rPr>
                <w:color w:val="000000"/>
              </w:rPr>
              <w:t xml:space="preserve">105.73134920738</w:t>
            </w:r>
            <w:r>
              <w:rPr>
                <w:color w:val="000000"/>
              </w:rPr>
              <w:t xml:space="preserve">)</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052331"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5052331"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7.82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210</w:t>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0</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w:t>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27</w:t>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Thóp hậu</w:t>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Bắc</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p>
        </w:tc>
        <w:tc>
          <w:tcPr>
            <w:gridSpan w:val="3"/>
            <w:tcBorders/>
            <w:tcW w:w="6259" w:type="dxa"/>
            <w:vAlign w:val="center"/>
            <w:textDirection w:val="lrTb"/>
            <w:noWrap w:val="false"/>
          </w:tcPr>
          <w:p>
            <w:pPr>
              <w:pBdr/>
              <w:spacing/>
              <w:ind/>
              <w:rPr>
                <w:color w:val="000000"/>
              </w:rPr>
            </w:pP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pPr>
              <w:pBdr/>
              <w:spacing/>
              <w:ind/>
              <w:jc w:val="both"/>
              <w:rPr>
                <w:color w:val="000000"/>
              </w:rPr>
            </w:pPr>
            <w:r>
              <w:rPr>
                <w:color w:val="000000"/>
              </w:rPr>
            </w:r>
            <w:r>
              <w:rPr>
                <w:color w:val="000000"/>
              </w:rPr>
            </w:r>
          </w:p>
        </w:tc>
      </w:tr>
    </w:tbl>
    <w:p>
      <w:pPr>
        <w:pBdr/>
        <w:spacing w:line="235" w:lineRule="auto"/>
        <w:ind w:left="646"/>
        <w:jc w:val="both"/>
        <w:rPr>
          <w:u w:val="single"/>
        </w:rPr>
      </w:pPr>
      <w:r>
        <w:rPr>
          <w:u w:val="single"/>
        </w:rPr>
      </w:r>
      <w:r>
        <w:rPr>
          <w:u w:val="single"/>
        </w:rPr>
      </w:r>
    </w:p>
    <w:p>
      <w:pPr>
        <w:pBdr/>
        <w:spacing w:line="235" w:lineRule="auto"/>
        <w:ind w:left="646"/>
        <w:jc w:val="both"/>
        <w:rPr>
          <w:u w:val="single"/>
        </w:rPr>
      </w:pPr>
      <w:r>
        <w:rPr>
          <w:u w:val="single"/>
        </w:rPr>
      </w:r>
      <w:r>
        <w:rPr>
          <w:u w:val="single"/>
        </w:rPr>
      </w:r>
    </w:p>
    <w:p>
      <w:pPr>
        <w:pBdr/>
        <w:spacing/>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p>
    <w:p>
      <w:pPr>
        <w:pBdr/>
        <w:spacing/>
        <w:ind/>
        <w:rPr>
          <w:b/>
          <w:bCs/>
          <w:shd w:val="clear" w:color="auto" w:fill="ffffff"/>
        </w:rPr>
      </w:pPr>
      <w:r>
        <w:rPr>
          <w:b/>
          <w:bCs/>
          <w:shd w:val="clear" w:color="auto" w:fill="ffffff"/>
        </w:rPr>
      </w:r>
      <w:r>
        <w:rPr>
          <w:b/>
          <w:bCs/>
          <w:shd w:val="clear" w:color="auto" w:fill="ffffff"/>
        </w:rPr>
      </w:r>
    </w:p>
    <w:tbl>
      <w:tblPr>
        <w:tblStyle w:val="860"/>
        <w:jc w:val="center"/>
        <w:tblW w:w="0" w:type="auto"/>
        <w:tblBorders/>
        <w:tblLook w:val="04A0" w:firstRow="1" w:lastRow="0" w:firstColumn="1" w:lastColumn="0" w:noHBand="0" w:noVBand="1"/>
      </w:tblPr>
      <w:tblGrid>
        <w:gridCol w:w="1167"/>
        <w:gridCol w:w="1662"/>
        <w:gridCol w:w="1443"/>
        <w:gridCol w:w="1484"/>
        <w:gridCol w:w="1660"/>
        <w:gridCol w:w="2099"/>
      </w:tblGrid>
      <w:tr>
        <w:trPr>
          <w:jc w:val="center"/>
        </w:trPr>
        <w:tc>
          <w:tcPr>
            <w:tcBorders/>
            <w:tcW w:w="1167" w:type="dxa"/>
            <w:vAlign w:val="center"/>
            <w:textDirection w:val="lrTb"/>
            <w:noWrap w:val="false"/>
          </w:tcPr>
          <w:p>
            <w:pPr>
              <w:pBdr/>
              <w:spacing/>
              <w:ind/>
              <w:jc w:val="center"/>
              <w:rPr>
                <w:b/>
                <w:bCs/>
              </w:rPr>
            </w:pPr>
            <w:r>
              <w:rPr>
                <w:b/>
                <w:bCs/>
              </w:rPr>
              <w:t xml:space="preserve">STT</w:t>
            </w:r>
            <w:r>
              <w:rPr>
                <w:b/>
                <w:bCs/>
              </w:rPr>
            </w:r>
          </w:p>
        </w:tc>
        <w:tc>
          <w:tcPr>
            <w:tcBorders/>
            <w:tcW w:w="1663" w:type="dxa"/>
            <w:vAlign w:val="center"/>
            <w:textDirection w:val="lrTb"/>
            <w:noWrap w:val="false"/>
          </w:tcPr>
          <w:p>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1560" w:type="dxa"/>
            <w:vAlign w:val="center"/>
            <w:textDirection w:val="lrTb"/>
            <w:noWrap w:val="false"/>
          </w:tcPr>
          <w:p>
            <w:pPr>
              <w:pBdr/>
              <w:spacing/>
              <w:ind/>
              <w:jc w:val="center"/>
              <w:rPr>
                <w:b/>
                <w:bCs/>
              </w:rPr>
            </w:pPr>
            <w:r>
              <w:rPr>
                <w:b/>
                <w:bCs/>
              </w:rPr>
              <w:t xml:space="preserve">Thông</w:t>
            </w:r>
            <w:r>
              <w:rPr>
                <w:b/>
                <w:bCs/>
              </w:rPr>
              <w:t xml:space="preserve"> tin TSTĐ</w:t>
            </w:r>
            <w:r>
              <w:rPr>
                <w:b/>
                <w:bCs/>
              </w:rPr>
            </w:r>
          </w:p>
        </w:tc>
        <w:tc>
          <w:tcPr>
            <w:tcBorders/>
            <w:tcW w:w="1605" w:type="dxa"/>
            <w:vAlign w:val="center"/>
            <w:textDirection w:val="lrTb"/>
            <w:noWrap w:val="false"/>
          </w:tcPr>
          <w:p>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371" w:type="dxa"/>
            <w:vAlign w:val="center"/>
            <w:textDirection w:val="lrTb"/>
            <w:noWrap w:val="false"/>
          </w:tcPr>
          <w:p>
            <w:pPr>
              <w:pBdr/>
              <w:spacing/>
              <w:ind/>
              <w:jc w:val="center"/>
              <w:rPr>
                <w:b/>
                <w:bCs/>
              </w:rPr>
            </w:pPr>
            <w:r>
              <w:rPr>
                <w:b/>
                <w:bCs/>
              </w:rPr>
              <w:t xml:space="preserve">Chênh</w:t>
            </w:r>
            <w:r>
              <w:rPr>
                <w:b/>
                <w:bCs/>
              </w:rPr>
              <w:t xml:space="preserve"> </w:t>
            </w:r>
            <w:r>
              <w:rPr>
                <w:b/>
                <w:bCs/>
              </w:rPr>
              <w:t xml:space="preserve">lệch</w:t>
            </w:r>
            <w:r>
              <w:rPr>
                <w:b/>
                <w:bCs/>
              </w:rPr>
            </w:r>
          </w:p>
        </w:tc>
        <w:tc>
          <w:tcPr>
            <w:tcBorders/>
            <w:tcW w:w="2149" w:type="dxa"/>
            <w:vAlign w:val="center"/>
            <w:textDirection w:val="lrTb"/>
            <w:noWrap w:val="false"/>
          </w:tcPr>
          <w:p>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1167" w:type="dxa"/>
            <w:vAlign w:val="center"/>
            <w:textDirection w:val="lrTb"/>
            <w:noWrap w:val="false"/>
          </w:tcPr>
          <w:p>
            <w:pPr>
              <w:pBdr/>
              <w:spacing/>
              <w:ind/>
              <w:jc w:val="center"/>
              <w:rPr/>
            </w:pPr>
            <w:r>
              <w:t xml:space="preserve">1</w:t>
            </w:r>
            <w:r/>
          </w:p>
        </w:tc>
        <w:tc>
          <w:tcPr>
            <w:tcBorders/>
            <w:tcW w:w="1663" w:type="dxa"/>
            <w:vAlign w:val="center"/>
            <w:textDirection w:val="lrTb"/>
            <w:noWrap w:val="false"/>
          </w:tcPr>
          <w:p>
            <w:pPr>
              <w:pBdr/>
              <w:spacing/>
              <w:ind/>
              <w:jc w:val="center"/>
              <w:rPr/>
            </w:pPr>
            <w:r>
              <w:t xml:space="preserve">Địa chỉ trên sổ</w:t>
            </w:r>
            <w:r/>
          </w:p>
        </w:tc>
        <w:tc>
          <w:tcPr>
            <w:tcBorders/>
            <w:tcW w:w="1560" w:type="dxa"/>
            <w:vAlign w:val="center"/>
            <w:textDirection w:val="lrTb"/>
            <w:noWrap w:val="false"/>
          </w:tcPr>
          <w:p>
            <w:pPr>
              <w:pBdr/>
              <w:spacing/>
              <w:ind/>
              <w:jc w:val="center"/>
              <w:rPr/>
            </w:pPr>
            <w:r>
              <w:t xml:space="preserve">K9 Thường Lệ, Đại Thịnh, huyện Mê Linh,tỉnh Vĩnh Phúc ✔</w:t>
            </w:r>
            <w:r/>
          </w:p>
        </w:tc>
        <w:tc>
          <w:tcPr>
            <w:tcBorders/>
            <w:tcW w:w="1605" w:type="dxa"/>
            <w:vAlign w:val="center"/>
            <w:textDirection w:val="lrTb"/>
            <w:noWrap w:val="false"/>
          </w:tcPr>
          <w:p>
            <w:pPr>
              <w:pBdr/>
              <w:spacing/>
              <w:ind/>
              <w:jc w:val="center"/>
              <w:rPr/>
            </w:pPr>
            <w:r>
              <w:t xml:space="preserve">Xã Đại Thịnh, Huyện Mê Linh, Thành phố Hà Nội</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2</w:t>
            </w:r>
            <w:r/>
          </w:p>
        </w:tc>
        <w:tc>
          <w:tcPr>
            <w:tcBorders/>
            <w:tcW w:w="1663" w:type="dxa"/>
            <w:vAlign w:val="center"/>
            <w:textDirection w:val="lrTb"/>
            <w:noWrap w:val="false"/>
          </w:tcPr>
          <w:p>
            <w:pPr>
              <w:pBdr/>
              <w:spacing/>
              <w:ind/>
              <w:jc w:val="center"/>
              <w:rPr/>
            </w:pPr>
            <w:r>
              <w:t xml:space="preserve">Địa chỉ thực tế</w:t>
            </w:r>
            <w:r/>
          </w:p>
        </w:tc>
        <w:tc>
          <w:tcPr>
            <w:tcBorders/>
            <w:tcW w:w="1560" w:type="dxa"/>
            <w:vAlign w:val="center"/>
            <w:textDirection w:val="lrTb"/>
            <w:noWrap w:val="false"/>
          </w:tcPr>
          <w:p>
            <w:pPr>
              <w:pBdr/>
              <w:spacing/>
              <w:ind/>
              <w:jc w:val="center"/>
              <w:rPr/>
            </w:pPr>
            <w:r>
              <w:t xml:space="preserve">Xã Đại Thịnh, Huyện Mê Linh, Thành phố Hà Nội</w:t>
            </w:r>
            <w:r/>
          </w:p>
        </w:tc>
        <w:tc>
          <w:tcPr>
            <w:tcBorders/>
            <w:tcW w:w="1605" w:type="dxa"/>
            <w:vAlign w:val="center"/>
            <w:textDirection w:val="lrTb"/>
            <w:noWrap w:val="false"/>
          </w:tcPr>
          <w:p>
            <w:pPr>
              <w:pBdr/>
              <w:spacing/>
              <w:ind/>
              <w:jc w:val="center"/>
              <w:rPr/>
            </w:pPr>
            <w:r>
              <w:t xml:space="preserve">Xã Đại Thịnh, Huyện Mê Linh, Thành phố Hà Nội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3</w:t>
            </w:r>
            <w:r/>
          </w:p>
        </w:tc>
        <w:tc>
          <w:tcPr>
            <w:tcBorders/>
            <w:tcW w:w="1663" w:type="dxa"/>
            <w:vAlign w:val="center"/>
            <w:textDirection w:val="lrTb"/>
            <w:noWrap w:val="false"/>
          </w:tcPr>
          <w:p>
            <w:pPr>
              <w:pBdr/>
              <w:spacing/>
              <w:ind/>
              <w:jc w:val="center"/>
              <w:rPr/>
            </w:pPr>
            <w:r>
              <w:t xml:space="preserve">Pháp lý</w:t>
            </w:r>
            <w:r/>
          </w:p>
        </w:tc>
        <w:tc>
          <w:tcPr>
            <w:tcBorders/>
            <w:tcW w:w="1560" w:type="dxa"/>
            <w:vAlign w:val="center"/>
            <w:textDirection w:val="lrTb"/>
            <w:noWrap w:val="false"/>
          </w:tcPr>
          <w:p>
            <w:pPr>
              <w:pBdr/>
              <w:spacing/>
              <w:ind/>
              <w:jc w:val="center"/>
              <w:rPr/>
            </w:pPr>
            <w:r>
              <w:t xml:space="preserve">Giấy chứng nhận quyền sử dụng đất</w:t>
            </w:r>
            <w:r/>
          </w:p>
        </w:tc>
        <w:tc>
          <w:tcPr>
            <w:tcBorders/>
            <w:tcW w:w="1605" w:type="dxa"/>
            <w:vAlign w:val="center"/>
            <w:textDirection w:val="lrTb"/>
            <w:noWrap w:val="false"/>
          </w:tcPr>
          <w:p>
            <w:pPr>
              <w:pBdr/>
              <w:spacing/>
              <w:ind/>
              <w:jc w:val="center"/>
              <w:rPr/>
            </w:pPr>
            <w:r>
              <w:t xml:space="preserve">Giấy chứng nhận quyền sử dụng đất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4</w:t>
            </w:r>
            <w:r/>
          </w:p>
        </w:tc>
        <w:tc>
          <w:tcPr>
            <w:tcBorders/>
            <w:tcW w:w="1663" w:type="dxa"/>
            <w:vAlign w:val="center"/>
            <w:textDirection w:val="lrTb"/>
            <w:noWrap w:val="false"/>
          </w:tcPr>
          <w:p>
            <w:pPr>
              <w:pBdr/>
              <w:spacing/>
              <w:ind/>
              <w:jc w:val="center"/>
              <w:rPr/>
            </w:pPr>
            <w:r>
              <w:t xml:space="preserve">Loại đất</w:t>
            </w:r>
            <w:r/>
          </w:p>
        </w:tc>
        <w:tc>
          <w:tcPr>
            <w:tcBorders/>
            <w:tcW w:w="1560" w:type="dxa"/>
            <w:vAlign w:val="center"/>
            <w:textDirection w:val="lrTb"/>
            <w:noWrap w:val="false"/>
          </w:tcPr>
          <w:p>
            <w:pPr>
              <w:pBdr/>
              <w:spacing/>
              <w:ind/>
              <w:jc w:val="center"/>
              <w:rPr/>
            </w:pPr>
            <w:r>
              <w:t xml:space="preserve">Đất ở tại đô thị</w:t>
            </w:r>
            <w:r/>
          </w:p>
        </w:tc>
        <w:tc>
          <w:tcPr>
            <w:tcBorders/>
            <w:tcW w:w="1605" w:type="dxa"/>
            <w:vAlign w:val="center"/>
            <w:textDirection w:val="lrTb"/>
            <w:noWrap w:val="false"/>
          </w:tcPr>
          <w:p>
            <w:pPr>
              <w:pBdr/>
              <w:spacing/>
              <w:ind/>
              <w:jc w:val="center"/>
              <w:rPr/>
            </w:pPr>
            <w:r>
              <w:t xml:space="preserve">Đất ở tại đô thị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5</w:t>
            </w:r>
            <w:r/>
          </w:p>
        </w:tc>
        <w:tc>
          <w:tcPr>
            <w:tcBorders/>
            <w:tcW w:w="1663" w:type="dxa"/>
            <w:vAlign w:val="center"/>
            <w:textDirection w:val="lrTb"/>
            <w:noWrap w:val="false"/>
          </w:tcPr>
          <w:p>
            <w:pPr>
              <w:pBdr/>
              <w:spacing/>
              <w:ind/>
              <w:jc w:val="center"/>
              <w:rPr/>
            </w:pPr>
            <w:r>
              <w:t xml:space="preserve">Thời hạn sử dụng</w:t>
            </w:r>
            <w:r/>
          </w:p>
        </w:tc>
        <w:tc>
          <w:tcPr>
            <w:tcBorders/>
            <w:tcW w:w="1560" w:type="dxa"/>
            <w:vAlign w:val="center"/>
            <w:textDirection w:val="lrTb"/>
            <w:noWrap w:val="false"/>
          </w:tcPr>
          <w:p>
            <w:pPr>
              <w:pBdr/>
              <w:spacing/>
              <w:ind/>
              <w:jc w:val="center"/>
              <w:rPr/>
            </w:pPr>
            <w:r>
              <w:t xml:space="preserve">Lâu dài</w:t>
            </w:r>
            <w:r/>
          </w:p>
        </w:tc>
        <w:tc>
          <w:tcPr>
            <w:tcBorders/>
            <w:tcW w:w="1605" w:type="dxa"/>
            <w:vAlign w:val="center"/>
            <w:textDirection w:val="lrTb"/>
            <w:noWrap w:val="false"/>
          </w:tcPr>
          <w:p>
            <w:pPr>
              <w:pBdr/>
              <w:spacing/>
              <w:ind/>
              <w:jc w:val="center"/>
              <w:rPr/>
            </w:pPr>
            <w:r>
              <w:t xml:space="preserve">Lâu dài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6</w:t>
            </w:r>
            <w:r/>
          </w:p>
        </w:tc>
        <w:tc>
          <w:tcPr>
            <w:tcBorders/>
            <w:tcW w:w="1663" w:type="dxa"/>
            <w:vAlign w:val="center"/>
            <w:textDirection w:val="lrTb"/>
            <w:noWrap w:val="false"/>
          </w:tcPr>
          <w:p>
            <w:pPr>
              <w:pBdr/>
              <w:spacing/>
              <w:ind/>
              <w:jc w:val="center"/>
              <w:rPr/>
            </w:pPr>
            <w:r>
              <w:t xml:space="preserve">Vị trí</w:t>
            </w:r>
            <w:r/>
          </w:p>
        </w:tc>
        <w:tc>
          <w:tcPr>
            <w:tcBorders/>
            <w:tcW w:w="1560" w:type="dxa"/>
            <w:vAlign w:val="center"/>
            <w:textDirection w:val="lrTb"/>
            <w:noWrap w:val="false"/>
          </w:tcPr>
          <w:p>
            <w:pPr>
              <w:pBdr/>
              <w:spacing/>
              <w:ind/>
              <w:jc w:val="center"/>
              <w:rPr/>
            </w:pPr>
            <w:r>
              <w:t xml:space="preserve">VT1</w:t>
            </w:r>
            <w:r/>
          </w:p>
        </w:tc>
        <w:tc>
          <w:tcPr>
            <w:tcBorders/>
            <w:tcW w:w="1605" w:type="dxa"/>
            <w:vAlign w:val="center"/>
            <w:textDirection w:val="lrTb"/>
            <w:noWrap w:val="false"/>
          </w:tcPr>
          <w:p>
            <w:pPr>
              <w:pBdr/>
              <w:spacing/>
              <w:ind/>
              <w:jc w:val="center"/>
              <w:rPr/>
            </w:pPr>
            <w:r>
              <w:t xml:space="preserve">VT1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7</w:t>
            </w:r>
            <w:r/>
          </w:p>
        </w:tc>
        <w:tc>
          <w:tcPr>
            <w:tcBorders/>
            <w:tcW w:w="1663" w:type="dxa"/>
            <w:vAlign w:val="center"/>
            <w:textDirection w:val="lrTb"/>
            <w:noWrap w:val="false"/>
          </w:tcPr>
          <w:p>
            <w:pPr>
              <w:pBdr/>
              <w:spacing/>
              <w:ind/>
              <w:jc w:val="center"/>
              <w:rPr/>
            </w:pPr>
            <w:r>
              <w:t xml:space="preserve">Kết cấu mặt đường</w:t>
            </w:r>
            <w:r/>
          </w:p>
        </w:tc>
        <w:tc>
          <w:tcPr>
            <w:tcBorders/>
            <w:tcW w:w="1560" w:type="dxa"/>
            <w:vAlign w:val="center"/>
            <w:textDirection w:val="lrTb"/>
            <w:noWrap w:val="false"/>
          </w:tcPr>
          <w:p>
            <w:pPr>
              <w:pBdr/>
              <w:spacing/>
              <w:ind/>
              <w:jc w:val="center"/>
              <w:rPr/>
            </w:pPr>
            <w:r>
              <w:t xml:space="preserve">Đường nhựa có vỉa hè</w:t>
            </w:r>
            <w:r/>
          </w:p>
        </w:tc>
        <w:tc>
          <w:tcPr>
            <w:tcBorders/>
            <w:tcW w:w="1605" w:type="dxa"/>
            <w:vAlign w:val="center"/>
            <w:textDirection w:val="lrTb"/>
            <w:noWrap w:val="false"/>
          </w:tcPr>
          <w:p>
            <w:pPr>
              <w:pBdr/>
              <w:spacing/>
              <w:ind/>
              <w:jc w:val="center"/>
              <w:rPr/>
            </w:pPr>
            <w:r>
              <w:t xml:space="preserve">Đường nhựa có vỉa hè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8</w:t>
            </w:r>
            <w:r/>
          </w:p>
        </w:tc>
        <w:tc>
          <w:tcPr>
            <w:tcBorders/>
            <w:tcW w:w="1663" w:type="dxa"/>
            <w:vAlign w:val="center"/>
            <w:textDirection w:val="lrTb"/>
            <w:noWrap w:val="false"/>
          </w:tcPr>
          <w:p>
            <w:pPr>
              <w:pBdr/>
              <w:spacing/>
              <w:ind/>
              <w:jc w:val="center"/>
              <w:rPr/>
            </w:pPr>
            <w:r>
              <w:t xml:space="preserve">Mặt cắt đường trước nhà</w:t>
            </w:r>
            <w:r/>
          </w:p>
        </w:tc>
        <w:tc>
          <w:tcPr>
            <w:tcBorders/>
            <w:tcW w:w="1560" w:type="dxa"/>
            <w:vAlign w:val="center"/>
            <w:textDirection w:val="lrTb"/>
            <w:noWrap w:val="false"/>
          </w:tcPr>
          <w:p>
            <w:pPr>
              <w:pBdr/>
              <w:spacing/>
              <w:ind/>
              <w:jc w:val="center"/>
              <w:rPr/>
            </w:pPr>
            <w:r>
              <w:t xml:space="preserve">10</w:t>
            </w:r>
            <w:r/>
          </w:p>
        </w:tc>
        <w:tc>
          <w:tcPr>
            <w:tcBorders/>
            <w:tcW w:w="1605" w:type="dxa"/>
            <w:vAlign w:val="center"/>
            <w:textDirection w:val="lrTb"/>
            <w:noWrap w:val="false"/>
          </w:tcPr>
          <w:p>
            <w:pPr>
              <w:pBdr/>
              <w:spacing/>
              <w:ind/>
              <w:jc w:val="center"/>
              <w:rPr/>
            </w:pPr>
            <w:r>
              <w:t xml:space="preserve">10 ✔</w:t>
            </w:r>
            <w:r/>
          </w:p>
        </w:tc>
        <w:tc>
          <w:tcPr>
            <w:tcBorders/>
            <w:tcW w:w="1371" w:type="dxa"/>
            <w:vAlign w:val="center"/>
            <w:textDirection w:val="lrTb"/>
            <w:noWrap w:val="false"/>
          </w:tcPr>
          <w:p>
            <w:pPr>
              <w:pBdr/>
              <w:spacing/>
              <w:ind/>
              <w:jc w:val="center"/>
              <w:rPr/>
            </w:pPr>
            <w:r>
              <w:t xml:space="preserve">0</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9</w:t>
            </w:r>
            <w:r/>
          </w:p>
        </w:tc>
        <w:tc>
          <w:tcPr>
            <w:tcBorders/>
            <w:tcW w:w="1663" w:type="dxa"/>
            <w:vAlign w:val="center"/>
            <w:textDirection w:val="lrTb"/>
            <w:noWrap w:val="false"/>
          </w:tcPr>
          <w:p>
            <w:pPr>
              <w:pBdr/>
              <w:spacing/>
              <w:ind/>
              <w:jc w:val="center"/>
              <w:rPr/>
            </w:pPr>
            <w:r>
              <w:t xml:space="preserve">Cơ sở hạ tầng kỹ thuật</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Hạ tầng khu dân cư thông thường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10</w:t>
            </w:r>
            <w:r/>
          </w:p>
        </w:tc>
        <w:tc>
          <w:tcPr>
            <w:tcBorders/>
            <w:tcW w:w="1663" w:type="dxa"/>
            <w:vAlign w:val="center"/>
            <w:textDirection w:val="lrTb"/>
            <w:noWrap w:val="false"/>
          </w:tcPr>
          <w:p>
            <w:pPr>
              <w:pBdr/>
              <w:spacing/>
              <w:ind/>
              <w:jc w:val="center"/>
              <w:rPr/>
            </w:pPr>
            <w:r>
              <w:t xml:space="preserve">Môi trường, an ninh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11</w:t>
            </w:r>
            <w:r/>
          </w:p>
        </w:tc>
        <w:tc>
          <w:tcPr>
            <w:tcBorders/>
            <w:tcW w:w="1663" w:type="dxa"/>
            <w:vAlign w:val="center"/>
            <w:textDirection w:val="lrTb"/>
            <w:noWrap w:val="false"/>
          </w:tcPr>
          <w:p>
            <w:pPr>
              <w:pBdr/>
              <w:spacing/>
              <w:ind/>
              <w:jc w:val="center"/>
              <w:rPr/>
            </w:pPr>
            <w:r>
              <w:t xml:space="preserve">Diện tích</w:t>
            </w:r>
            <w:r/>
          </w:p>
        </w:tc>
        <w:tc>
          <w:tcPr>
            <w:tcBorders/>
            <w:tcW w:w="1560" w:type="dxa"/>
            <w:vAlign w:val="center"/>
            <w:textDirection w:val="lrTb"/>
            <w:noWrap w:val="false"/>
          </w:tcPr>
          <w:p>
            <w:pPr>
              <w:pBdr/>
              <w:spacing/>
              <w:ind/>
              <w:jc w:val="center"/>
              <w:rPr/>
            </w:pPr>
            <w:r>
              <w:t xml:space="preserve">168.25 ✔</w:t>
            </w:r>
            <w:r/>
          </w:p>
        </w:tc>
        <w:tc>
          <w:tcPr>
            <w:tcBorders/>
            <w:tcW w:w="1605" w:type="dxa"/>
            <w:vAlign w:val="center"/>
            <w:textDirection w:val="lrTb"/>
            <w:noWrap w:val="false"/>
          </w:tcPr>
          <w:p>
            <w:pPr>
              <w:pBdr/>
              <w:spacing/>
              <w:ind/>
              <w:jc w:val="center"/>
              <w:rPr/>
            </w:pPr>
            <w:r>
              <w:t xml:space="preserve">210</w:t>
            </w:r>
            <w:r/>
          </w:p>
        </w:tc>
        <w:tc>
          <w:tcPr>
            <w:tcBorders/>
            <w:tcW w:w="1371" w:type="dxa"/>
            <w:vAlign w:val="center"/>
            <w:textDirection w:val="lrTb"/>
            <w:noWrap w:val="false"/>
          </w:tcPr>
          <w:p>
            <w:pPr>
              <w:pBdr/>
              <w:spacing/>
              <w:ind/>
              <w:jc w:val="center"/>
              <w:rPr/>
            </w:pPr>
            <w:r>
              <w:t xml:space="preserve">41.8</w:t>
            </w:r>
            <w:r/>
          </w:p>
        </w:tc>
        <w:tc>
          <w:tcPr>
            <w:tcBorders/>
            <w:tcW w:w="2149" w:type="dxa"/>
            <w:vAlign w:val="center"/>
            <w:textDirection w:val="lrTb"/>
            <w:noWrap w:val="false"/>
          </w:tcPr>
          <w:p>
            <w:pPr>
              <w:pBdr/>
              <w:spacing/>
              <w:ind/>
              <w:jc w:val="center"/>
              <w:rPr/>
            </w:pPr>
            <w:r>
              <w:t xml:space="preserve">Có quy hoạch</w:t>
            </w:r>
            <w:r/>
          </w:p>
        </w:tc>
      </w:tr>
      <w:tr>
        <w:trPr>
          <w:jc w:val="center"/>
        </w:trPr>
        <w:tc>
          <w:tcPr>
            <w:tcBorders/>
            <w:tcW w:w="1167" w:type="dxa"/>
            <w:vAlign w:val="center"/>
            <w:textDirection w:val="lrTb"/>
            <w:noWrap w:val="false"/>
          </w:tcPr>
          <w:p>
            <w:pPr>
              <w:pBdr/>
              <w:spacing/>
              <w:ind/>
              <w:jc w:val="center"/>
              <w:rPr/>
            </w:pPr>
            <w:r>
              <w:t xml:space="preserve">12</w:t>
            </w:r>
            <w:r/>
          </w:p>
        </w:tc>
        <w:tc>
          <w:tcPr>
            <w:tcBorders/>
            <w:tcW w:w="1663" w:type="dxa"/>
            <w:vAlign w:val="center"/>
            <w:textDirection w:val="lrTb"/>
            <w:noWrap w:val="false"/>
          </w:tcPr>
          <w:p>
            <w:pPr>
              <w:pBdr/>
              <w:spacing/>
              <w:ind/>
              <w:jc w:val="center"/>
              <w:rPr/>
            </w:pPr>
            <w:r>
              <w:t xml:space="preserve">Mặt tiền</w:t>
            </w:r>
            <w:r/>
          </w:p>
        </w:tc>
        <w:tc>
          <w:tcPr>
            <w:tcBorders/>
            <w:tcW w:w="1560" w:type="dxa"/>
            <w:vAlign w:val="center"/>
            <w:textDirection w:val="lrTb"/>
            <w:noWrap w:val="false"/>
          </w:tcPr>
          <w:p>
            <w:pPr>
              <w:pBdr/>
              <w:spacing/>
              <w:ind/>
              <w:jc w:val="center"/>
              <w:rPr/>
            </w:pPr>
            <w:r>
              <w:t xml:space="preserve">10.4</w:t>
            </w:r>
            <w:r/>
          </w:p>
        </w:tc>
        <w:tc>
          <w:tcPr>
            <w:tcBorders/>
            <w:tcW w:w="1605" w:type="dxa"/>
            <w:vAlign w:val="center"/>
            <w:textDirection w:val="lrTb"/>
            <w:noWrap w:val="false"/>
          </w:tcPr>
          <w:p>
            <w:pPr>
              <w:pBdr/>
              <w:spacing/>
              <w:ind/>
              <w:jc w:val="center"/>
              <w:rPr/>
            </w:pPr>
            <w:r>
              <w:t xml:space="preserve">9 ✔</w:t>
            </w:r>
            <w:r/>
          </w:p>
        </w:tc>
        <w:tc>
          <w:tcPr>
            <w:tcBorders/>
            <w:tcW w:w="1371" w:type="dxa"/>
            <w:vAlign w:val="center"/>
            <w:textDirection w:val="lrTb"/>
            <w:noWrap w:val="false"/>
          </w:tcPr>
          <w:p>
            <w:pPr>
              <w:pBdr/>
              <w:spacing/>
              <w:ind/>
              <w:jc w:val="center"/>
              <w:rPr/>
            </w:pPr>
            <w:r>
              <w:t xml:space="preserve">-1.4</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13</w:t>
            </w:r>
            <w:r/>
          </w:p>
        </w:tc>
        <w:tc>
          <w:tcPr>
            <w:tcBorders/>
            <w:tcW w:w="1663" w:type="dxa"/>
            <w:vAlign w:val="center"/>
            <w:textDirection w:val="lrTb"/>
            <w:noWrap w:val="false"/>
          </w:tcPr>
          <w:p>
            <w:pPr>
              <w:pBdr/>
              <w:spacing/>
              <w:ind/>
              <w:jc w:val="center"/>
              <w:rPr/>
            </w:pPr>
            <w:r>
              <w:t xml:space="preserve">Chiều sâu</w:t>
            </w:r>
            <w:r/>
          </w:p>
        </w:tc>
        <w:tc>
          <w:tcPr>
            <w:tcBorders/>
            <w:tcW w:w="1560" w:type="dxa"/>
            <w:vAlign w:val="center"/>
            <w:textDirection w:val="lrTb"/>
            <w:noWrap w:val="false"/>
          </w:tcPr>
          <w:p>
            <w:pPr>
              <w:pBdr/>
              <w:spacing/>
              <w:ind/>
              <w:jc w:val="center"/>
              <w:rPr/>
            </w:pPr>
            <w:r>
              <w:t xml:space="preserve">16.18</w:t>
            </w:r>
            <w:r/>
          </w:p>
        </w:tc>
        <w:tc>
          <w:tcPr>
            <w:tcBorders/>
            <w:tcW w:w="1605" w:type="dxa"/>
            <w:vAlign w:val="center"/>
            <w:textDirection w:val="lrTb"/>
            <w:noWrap w:val="false"/>
          </w:tcPr>
          <w:p>
            <w:pPr>
              <w:pBdr/>
              <w:spacing/>
              <w:ind/>
              <w:jc w:val="center"/>
              <w:rPr/>
            </w:pPr>
            <w:r>
              <w:t xml:space="preserve">27 ✔</w:t>
            </w:r>
            <w:r/>
          </w:p>
        </w:tc>
        <w:tc>
          <w:tcPr>
            <w:tcBorders/>
            <w:tcW w:w="1371" w:type="dxa"/>
            <w:vAlign w:val="center"/>
            <w:textDirection w:val="lrTb"/>
            <w:noWrap w:val="false"/>
          </w:tcPr>
          <w:p>
            <w:pPr>
              <w:pBdr/>
              <w:spacing/>
              <w:ind/>
              <w:jc w:val="center"/>
              <w:rPr/>
            </w:pPr>
            <w:r>
              <w:t xml:space="preserve">10.8</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14</w:t>
            </w:r>
            <w:r/>
          </w:p>
        </w:tc>
        <w:tc>
          <w:tcPr>
            <w:tcBorders/>
            <w:tcW w:w="1663" w:type="dxa"/>
            <w:vAlign w:val="center"/>
            <w:textDirection w:val="lrTb"/>
            <w:noWrap w:val="false"/>
          </w:tcPr>
          <w:p>
            <w:pPr>
              <w:pBdr/>
              <w:spacing/>
              <w:ind/>
              <w:jc w:val="center"/>
              <w:rPr/>
            </w:pPr>
            <w:r>
              <w:t xml:space="preserve">Mặt tiếp giáp</w:t>
            </w:r>
            <w:r/>
          </w:p>
        </w:tc>
        <w:tc>
          <w:tcPr>
            <w:tcBorders/>
            <w:tcW w:w="1560" w:type="dxa"/>
            <w:vAlign w:val="center"/>
            <w:textDirection w:val="lrTb"/>
            <w:noWrap w:val="false"/>
          </w:tcPr>
          <w:p>
            <w:pPr>
              <w:pBdr/>
              <w:spacing/>
              <w:ind/>
              <w:jc w:val="center"/>
              <w:rPr/>
            </w:pPr>
            <w:r>
              <w:t xml:space="preserve">Tiếp giáp 1 mặt tiền</w:t>
            </w:r>
            <w:r/>
          </w:p>
        </w:tc>
        <w:tc>
          <w:tcPr>
            <w:tcBorders/>
            <w:tcW w:w="1605" w:type="dxa"/>
            <w:vAlign w:val="center"/>
            <w:textDirection w:val="lrTb"/>
            <w:noWrap w:val="false"/>
          </w:tcPr>
          <w:p>
            <w:pPr>
              <w:pBdr/>
              <w:spacing/>
              <w:ind/>
              <w:jc w:val="center"/>
              <w:rPr/>
            </w:pPr>
            <w:r>
              <w:t xml:space="preserve">Tiếp giáp 1 mặt tiền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15</w:t>
            </w:r>
            <w:r/>
          </w:p>
        </w:tc>
        <w:tc>
          <w:tcPr>
            <w:tcBorders/>
            <w:tcW w:w="1663" w:type="dxa"/>
            <w:vAlign w:val="center"/>
            <w:textDirection w:val="lrTb"/>
            <w:noWrap w:val="false"/>
          </w:tcPr>
          <w:p>
            <w:pPr>
              <w:pBdr/>
              <w:spacing/>
              <w:ind/>
              <w:jc w:val="center"/>
              <w:rPr/>
            </w:pPr>
            <w:r>
              <w:t xml:space="preserve">Hình dạng thửa đất</w:t>
            </w:r>
            <w:r/>
          </w:p>
        </w:tc>
        <w:tc>
          <w:tcPr>
            <w:tcBorders/>
            <w:tcW w:w="1560" w:type="dxa"/>
            <w:vAlign w:val="center"/>
            <w:textDirection w:val="lrTb"/>
            <w:noWrap w:val="false"/>
          </w:tcPr>
          <w:p>
            <w:pPr>
              <w:pBdr/>
              <w:spacing/>
              <w:ind/>
              <w:jc w:val="center"/>
              <w:rPr/>
            </w:pPr>
            <w:r>
              <w:t xml:space="preserve">Thóp hậu</w:t>
            </w:r>
            <w:r/>
          </w:p>
        </w:tc>
        <w:tc>
          <w:tcPr>
            <w:tcBorders/>
            <w:tcW w:w="1605" w:type="dxa"/>
            <w:vAlign w:val="center"/>
            <w:textDirection w:val="lrTb"/>
            <w:noWrap w:val="false"/>
          </w:tcPr>
          <w:p>
            <w:pPr>
              <w:pBdr/>
              <w:spacing/>
              <w:ind/>
              <w:jc w:val="center"/>
              <w:rPr/>
            </w:pPr>
            <w:r>
              <w:t xml:space="preserve">Thóp hậu ✔</w:t>
            </w:r>
            <w:r/>
          </w:p>
        </w:tc>
        <w:tc>
          <w:tcPr>
            <w:tcBorders/>
            <w:tcW w:w="1371" w:type="dxa"/>
            <w:vAlign w:val="center"/>
            <w:textDirection w:val="lrTb"/>
            <w:noWrap w:val="false"/>
          </w:tcPr>
          <w:p>
            <w:pPr>
              <w:pBdr/>
              <w:spacing/>
              <w:ind/>
              <w:jc w:val="center"/>
              <w:rPr/>
            </w:pPr>
            <w:r>
              <w:t xml:space="preserve">Không</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16</w:t>
            </w:r>
            <w:r/>
          </w:p>
        </w:tc>
        <w:tc>
          <w:tcPr>
            <w:tcBorders/>
            <w:tcW w:w="1663" w:type="dxa"/>
            <w:vAlign w:val="center"/>
            <w:textDirection w:val="lrTb"/>
            <w:noWrap w:val="false"/>
          </w:tcPr>
          <w:p>
            <w:pPr>
              <w:pBdr/>
              <w:spacing/>
              <w:ind/>
              <w:jc w:val="center"/>
              <w:rPr/>
            </w:pPr>
            <w:r>
              <w:t xml:space="preserve">Hướng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Bắc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17</w:t>
            </w:r>
            <w:r/>
          </w:p>
        </w:tc>
        <w:tc>
          <w:tcPr>
            <w:tcBorders/>
            <w:tcW w:w="1663" w:type="dxa"/>
            <w:vAlign w:val="center"/>
            <w:textDirection w:val="lrTb"/>
            <w:noWrap w:val="false"/>
          </w:tcPr>
          <w:p>
            <w:pPr>
              <w:pBdr/>
              <w:spacing/>
              <w:ind/>
              <w:jc w:val="center"/>
              <w:rPr/>
            </w:pPr>
            <w:r>
              <w:t xml:space="preserve">Cảnh quan</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View khu dân cư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18</w:t>
            </w:r>
            <w:r/>
          </w:p>
        </w:tc>
        <w:tc>
          <w:tcPr>
            <w:tcBorders/>
            <w:tcW w:w="1663" w:type="dxa"/>
            <w:vAlign w:val="center"/>
            <w:textDirection w:val="lrTb"/>
            <w:noWrap w:val="false"/>
          </w:tcPr>
          <w:p>
            <w:pPr>
              <w:pBdr/>
              <w:spacing/>
              <w:ind/>
              <w:jc w:val="center"/>
              <w:rPr/>
            </w:pPr>
            <w:r>
              <w:t xml:space="preserve">Lợi thế kinh doanh</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r>
        <w:trPr>
          <w:jc w:val="center"/>
        </w:trPr>
        <w:tc>
          <w:tcPr>
            <w:tcBorders/>
            <w:tcW w:w="1167" w:type="dxa"/>
            <w:vAlign w:val="center"/>
            <w:textDirection w:val="lrTb"/>
            <w:noWrap w:val="false"/>
          </w:tcPr>
          <w:p>
            <w:pPr>
              <w:pBdr/>
              <w:spacing/>
              <w:ind/>
              <w:jc w:val="center"/>
              <w:rPr/>
            </w:pPr>
            <w:r>
              <w:t xml:space="preserve">19</w:t>
            </w:r>
            <w:r/>
          </w:p>
        </w:tc>
        <w:tc>
          <w:tcPr>
            <w:tcBorders/>
            <w:tcW w:w="1663" w:type="dxa"/>
            <w:vAlign w:val="center"/>
            <w:textDirection w:val="lrTb"/>
            <w:noWrap w:val="false"/>
          </w:tcPr>
          <w:p>
            <w:pPr>
              <w:pBdr/>
              <w:spacing/>
              <w:ind/>
              <w:jc w:val="center"/>
              <w:rPr/>
            </w:pPr>
            <w:r>
              <w:t xml:space="preserve">Khả năng chuyển nhượng</w:t>
            </w:r>
            <w:r/>
          </w:p>
        </w:tc>
        <w:tc>
          <w:tcPr>
            <w:tcBorders/>
            <w:tcW w:w="1560" w:type="dxa"/>
            <w:vAlign w:val="center"/>
            <w:textDirection w:val="lrTb"/>
            <w:noWrap w:val="false"/>
          </w:tcPr>
          <w:p>
            <w:pPr>
              <w:pBdr/>
              <w:spacing/>
              <w:ind/>
              <w:jc w:val="center"/>
              <w:rPr/>
            </w:pPr>
            <w:r/>
            <w:r/>
          </w:p>
        </w:tc>
        <w:tc>
          <w:tcPr>
            <w:tcBorders/>
            <w:tcW w:w="1605" w:type="dxa"/>
            <w:vAlign w:val="center"/>
            <w:textDirection w:val="lrTb"/>
            <w:noWrap w:val="false"/>
          </w:tcPr>
          <w:p>
            <w:pPr>
              <w:pBdr/>
              <w:spacing/>
              <w:ind/>
              <w:jc w:val="center"/>
              <w:rPr/>
            </w:pPr>
            <w:r>
              <w:t xml:space="preserve">Tốt ✔</w:t>
            </w:r>
            <w:r/>
          </w:p>
        </w:tc>
        <w:tc>
          <w:tcPr>
            <w:tcBorders/>
            <w:tcW w:w="1371" w:type="dxa"/>
            <w:vAlign w:val="center"/>
            <w:textDirection w:val="lrTb"/>
            <w:noWrap w:val="false"/>
          </w:tcPr>
          <w:p>
            <w:pPr>
              <w:pBdr/>
              <w:spacing/>
              <w:ind/>
              <w:jc w:val="center"/>
              <w:rPr/>
            </w:pPr>
            <w:r>
              <w:t xml:space="preserve">Có</w:t>
            </w:r>
            <w:r/>
          </w:p>
        </w:tc>
        <w:tc>
          <w:tcPr>
            <w:tcBorders/>
            <w:tcW w:w="2149" w:type="dxa"/>
            <w:vAlign w:val="center"/>
            <w:textDirection w:val="lrTb"/>
            <w:noWrap w:val="false"/>
          </w:tcPr>
          <w:p>
            <w:pPr>
              <w:pBdr/>
              <w:spacing/>
              <w:ind/>
              <w:jc w:val="center"/>
              <w:rPr/>
            </w:pPr>
            <w: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p>
        </w:tc>
      </w:tr>
    </w:tbl>
    <w:p>
      <w:pPr>
        <w:pBdr/>
        <w:spacing w:line="235" w:lineRule="auto"/>
        <w:ind w:left="646"/>
        <w:jc w:val="both"/>
        <w:rPr>
          <w:u w:val="single"/>
        </w:rPr>
      </w:pPr>
      <w:r>
        <w:rPr>
          <w:u w:val="single"/>
        </w:rPr>
      </w:r>
      <w:r>
        <w:rPr>
          <w:u w:val="single"/>
        </w:rPr>
      </w:r>
    </w:p>
    <w:p>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p>
    <w:p>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pPr>
        <w:pStyle w:val="85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p>
    <w:p>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Đại Thịnh, Huyện Mê Linh,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Đường Quốc lộ 23B, Thị trấn Quang Minh, Huyện Mê Linh,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Quang Minh, Thành phố Hà Nội</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Quang Minh, Thành phố Hà Nội</w:t>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https://www.facebook.com/share/p/1Bz7aQ5fPG/</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https://www.facebook.com/groups/852261119046020/permalink/1618007625804695/?rdid=dHSCecvdqiKxb8na#</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0941893600</w:t>
            </w:r>
            <w:r>
              <w:rPr>
                <w:sz w:val="22"/>
                <w:szCs w:val="22"/>
              </w:rPr>
              <w:t xml:space="preserve"> </w:t>
            </w:r>
            <w:r>
              <w:rPr>
                <w:sz w:val="22"/>
                <w:szCs w:val="22"/>
              </w:rPr>
              <w:br/>
              <w:t xml:space="preserve">(</w:t>
            </w:r>
            <w:r>
              <w:rPr>
                <w:sz w:val="22"/>
                <w:szCs w:val="22"/>
              </w:rPr>
              <w:t xml:space="preserve">Chị Phạm Hiền</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0946738656</w:t>
            </w:r>
            <w:r>
              <w:rPr>
                <w:sz w:val="22"/>
                <w:szCs w:val="22"/>
              </w:rPr>
              <w:br/>
            </w:r>
            <w:r>
              <w:rPr>
                <w:sz w:val="22"/>
                <w:szCs w:val="22"/>
              </w:rPr>
              <w:t xml:space="preserve">(</w:t>
            </w:r>
            <w:r>
              <w:rPr>
                <w:sz w:val="22"/>
                <w:szCs w:val="22"/>
              </w:rPr>
              <w:t xml:space="preserve">Anh Đanh</w:t>
            </w:r>
            <w:r>
              <w:rPr>
                <w:sz w:val="22"/>
                <w:szCs w:val="22"/>
              </w:rPr>
              <w:t xml:space="preserve">)</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0336.550.596</w:t>
            </w:r>
            <w:r>
              <w:rPr>
                <w:sz w:val="22"/>
                <w:szCs w:val="22"/>
              </w:rPr>
              <w:br/>
            </w:r>
            <w:r>
              <w:rPr>
                <w:sz w:val="22"/>
                <w:szCs w:val="22"/>
              </w:rPr>
              <w:t xml:space="preserve">(</w:t>
            </w:r>
            <w:r>
              <w:rPr>
                <w:sz w:val="22"/>
                <w:szCs w:val="22"/>
              </w:rPr>
              <w:t xml:space="preserve">Anh Thái</w:t>
            </w:r>
            <w:r>
              <w:rPr>
                <w:sz w:val="22"/>
                <w:szCs w:val="22"/>
              </w:rPr>
              <w:t xml:space="preserve">)</w:t>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 quyền sở hữu nhà ở và tài sản gắn liền với đất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Đại Thịnh, Huyện Mê Linh, Thành phố Hà Nội, đường Đường QL 23B, độ rộng đường trước mặt tài sản 10m, mặt tiền 10.4m, 21.175131963181613, 105.73134920738075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Đường Quốc lộ 23B, Thị trấn Quang Minh, Huyện Mê Linh, Thành phố Hà Nội, đường Tài sản tiếp giáp QL23, cách UBND xã Quang Minh khoảng 2km, độ rộng đường trước mặt tài sản 10m, mặt tiền 4.4m, 21.17445274421056, 105.73274750264484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Quang Minh, Thành phố Hà Nội, độ rộng đường trước mặt tài sản 10m, đường xe máy lưu thông nhỏ hơn 2.5m, mặt tiền 6m, 21.177666522057265, 105.72925771163392</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Xã Quang Minh, Thành phố Hà Nội, độ rộng đường trước mặt tài sản 1m, mặt tiền 5m, 21.204580791221026, 105.70751973115074</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Hạ tầng khu dân cư thông thường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168.25</w:t>
              <w:br/>
              <w:t xml:space="preserve">(QH: 41.75)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27</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19.55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18.83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Khá</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Bình thường</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Tốt</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12.500.000.000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11.250.000.000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12.825.000.000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6.300.000.000</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tầng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sàn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12.500.000.000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14.250.000.000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7.000.000.000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11.250.000.000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12.825.000.000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6.300.000.000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11.250.000.000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12.825.000.000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6.300.000.000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82.770.894</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cho sử dụng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Cơ sở hạ tầng kỹ thuật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Điều kiện môi trường an ninh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kinh doanh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Hiện trạng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Khả năng chuyển nhượng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Thẩm định viên không điều chỉnh vì đã được điều chỉnh tổng hợp ở các yếu tố: Pháp lý, diện tích, hình dáng, lợi thế, bất lợi thửa đất, lợi thế thương mại, môi trường…</w:t>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10.078.288.872</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12.825.000.000</w:t>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6.207.817.035</w:t>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117.189.405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113.495.575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82.770.894</w:t>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 quyền sở hữu nhà ở và tài sản gắn liền với đất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82.770.894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82.770.894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 – Lâu dài</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82.770.894</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Đại Thịnh, Huyện Mê Linh, Thành phố Hà Nội, đường Đường QL 23B, độ rộng đường trước mặt tài sản 10m, mặt tiền 10.4m, 21.175131963181613, 105.73134920738075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Quốc lộ 23B, Thị trấn Quang Minh, Huyện Mê Linh, Thành phố Hà Nội, đường Tài sản tiếp giáp QL23, cách UBND xã Quang Minh khoảng 2km, độ rộng đường trước mặt tài sản 10m, mặt tiền 4.4m, 21.17445274421056, 105.73274750264484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Quang Minh, Thành phố Hà Nội, độ rộng đường trước mặt tài sản 10m, đường xe máy lưu thông nhỏ hơn 2.5m, mặt tiền 6m, 21.177666522057265, 105.72925771163392</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Xã Quang Minh, Thành phố Hà Nội, độ rộng đường trước mặt tài sản 1m, mặt tiền 5m, 21.204580791221026, 105.70751973115074</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4.138.545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86.909.439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có vỉa hè</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86.909.439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86.909.439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86.909.439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117.189.405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113.495.575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86.909.439</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168.25</w:t>
              <w:br/>
              <w:t xml:space="preserve">(QH: 41.75)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-11.718.941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-7.944.690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-9.932.507</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105.470.464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105.550.885</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76.976.932</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7.031.364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3.404.867</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4.138.545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112.501.828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108.955.752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81.115.477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27</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19.55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18.83</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112.501.828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108.955.752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81.115.477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-14.062.729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98.439.099</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108.955.752</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81.115.477</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Nở hậu</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-17.578.411</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-19.294.248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-12.415.634</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80.860.688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89.661.504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68.699.843</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C.14</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Khá</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5.793.963</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80.860.688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89.661.504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74.493.806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C.15</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Hiện trạng môi trường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Bình thường</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80.860.688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89.661.504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74.493.806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C.16</w:t>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Khả năng chuyển nhượng</w:t>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Tốt</w:t>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80.860.688</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89.661.504</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74.493.806</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80.860.688</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89.661.504</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74.493.806</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81.671.999</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-0.99%</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9.78%</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-8.79%</w:t>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50.391.445</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30.643.805</w:t>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36.419.194</w:t>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- 17%%</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36.328.717</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23.834.071</w:t>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8.277.088</w:t>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-8.79</w:t>
      </w:r>
      <w:r>
        <w:t xml:space="preserve">% </w:t>
      </w:r>
      <w:r>
        <w:t xml:space="preserve">đến</w:t>
      </w:r>
      <w:r>
        <w:t xml:space="preserve"> </w:t>
      </w:r>
      <w:r>
        <w:t xml:space="preserve"> </w:t>
      </w:r>
      <w:r>
        <w:t xml:space="preserve">9.78</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80.860.688</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28.301.241</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89.661.504</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35</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31.381.526</w:t>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74.493.806</w:t>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30</w:t>
            </w:r>
            <w:r>
              <w:rPr>
                <w:color w:val="000000"/>
              </w:rPr>
              <w:t xml:space="preserve">%</w:t>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22.348.142</w:t>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82.030.909</w:t>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82.000.000</w:t>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82.000.000</w:t>
      </w:r>
      <w:r>
        <w:rPr>
          <w:b/>
          <w:bCs/>
          <w:color w:val="000000" w:themeColor="text1"/>
        </w:rPr>
        <w:t xml:space="preserve"> </w:t>
      </w:r>
      <w:r>
        <w:rPr>
          <w:b/>
          <w:bCs/>
        </w:rPr>
        <w:t xml:space="preserve">đồng</w:t>
      </w:r>
      <w:r>
        <w:rPr>
          <w:b/>
          <w:bCs/>
        </w:rPr>
        <w:t xml:space="preserve">/m².</w:t>
      </w:r>
      <w:r>
        <w:rPr>
          <w:b/>
          <w:bCs/>
        </w:rPr>
      </w:r>
    </w:p>
    <w:p>
      <w:pPr>
        <w:pStyle w:val="856"/>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p>
    <w:p>
      <w:pPr>
        <w:pStyle w:val="856"/>
        <w:pBdr/>
        <w:spacing w:after="120" w:before="120" w:line="276" w:lineRule="auto"/>
        <w:ind w:left="357"/>
        <w:jc w:val="both"/>
        <w:rPr>
          <w:b/>
          <w:lang w:val="pt-BR"/>
        </w:rPr>
      </w:pPr>
      <w:r>
        <w:rPr>
          <w:b/>
          <w:lang w:val="pt-BR"/>
        </w:rPr>
      </w:r>
      <w:r>
        <w:rPr>
          <w:b/>
          <w:lang w:val="pt-BR"/>
        </w:rPr>
      </w:r>
    </w:p>
    <w:p>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p>
      <w:pPr>
        <w:pStyle w:val="856"/>
        <w:pBdr/>
        <w:tabs>
          <w:tab w:val="left" w:leader="none" w:pos="993"/>
        </w:tabs>
        <w:spacing w:after="120" w:before="120" w:line="276" w:lineRule="auto"/>
        <w:ind w:left="0"/>
        <w:jc w:val="both"/>
        <w:rPr/>
      </w:pPr>
      <w:r/>
      <w:r/>
    </w:p>
    <w:p>
      <w:pPr>
        <w:pStyle w:val="856"/>
        <w:pBdr/>
        <w:tabs>
          <w:tab w:val="left" w:leader="none" w:pos="993"/>
        </w:tabs>
        <w:spacing w:after="120" w:before="120" w:line="276" w:lineRule="auto"/>
        <w:ind w:left="0"/>
        <w:jc w:val="both"/>
        <w:rPr/>
      </w:pP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2b, tờ bản đồ số: 2</w:t>
            </w:r>
            <w:r>
              <w:rPr>
                <w:color w:val="000000"/>
              </w:rPr>
              <w:t xml:space="preserve">6 có địa chỉ: K9 Thường Lệ, Đại Thịnh, huyện Mê Linh, tỉnh Vĩnh Phúc (nay là xã Quang Minh, thành phố Hà Nội)  theo Giấy chứng nhận quyền sử dụng đất số: G 443584, số vào sổ cấp GCN: 1108QSDĐ do UBND huyện Mê Linh cấp ngày 02/7/1996 cho ông Trịnh Minh Tỉnh</w:t>
            </w:r>
            <w:r>
              <w:rPr>
                <w:b/>
                <w:bCs/>
              </w:rPr>
              <w:t xml:space="preserve">.</w:t>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pPr>
              <w:pBdr/>
              <w:spacing w:after="40" w:before="40" w:line="288" w:lineRule="auto"/>
              <w:ind/>
              <w:rPr/>
            </w:pPr>
            <w:r>
              <w:rPr>
                <w:b/>
                <w:bCs/>
              </w:rPr>
              <w:t xml:space="preserve">Đất ở tại đô thị</w:t>
            </w: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168.25</w:t>
              <w:br/>
              <w:t xml:space="preserve">41.75(QH)</w:t>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82.000.000</w:t>
              <w:br/>
              <w:t xml:space="preserve">22.500.000(QH)</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13.796.500.000</w:t>
              <w:br/>
              <w:t xml:space="preserve">939.375.000(QH)</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t xml:space="preserve">14.735.875.000</w:t>
            </w:r>
            <w:r>
              <w:rPr>
                <w:b/>
                <w:bCs/>
                <w:color w:val="000000"/>
              </w:rP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color w:val="000000"/>
              </w:rPr>
              <w:t xml:space="preserve">14.735.900.000</w:t>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bốn tỷ bảy trăm ba mươi lăm triệu chín trăm nghìn</w:t>
            </w:r>
            <w:r>
              <w:rPr>
                <w:b/>
                <w:bCs/>
                <w:i/>
                <w:iCs/>
                <w:color w:val="000000"/>
              </w:rPr>
              <w:t xml:space="preserve">./.)</w:t>
            </w:r>
            <w:r>
              <w:rPr>
                <w:b/>
                <w:bCs/>
                <w:i/>
                <w:iCs/>
                <w:color w:val="000000"/>
              </w:rPr>
            </w:r>
          </w:p>
        </w:tc>
      </w:tr>
    </w:tbl>
    <w:p>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p>
    <w:p>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275/2026/0296/VFI-CT.27.A</w:t>
      </w:r>
      <w:r>
        <w:rPr>
          <w:color w:val="ff0000"/>
          <w:lang w:val="vi-VN"/>
        </w:rPr>
        <w:t xml:space="preserve"> </w:t>
      </w:r>
      <w:r>
        <w:rPr>
          <w:color w:val="000000" w:themeColor="text1"/>
        </w:rPr>
        <w:t xml:space="preserve">ngày 9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vi-VN"/>
        </w:rPr>
      </w:pPr>
      <w:r>
        <w:rPr>
          <w:lang w:val="vi-VN"/>
        </w:rPr>
      </w:r>
      <w:r>
        <w:rPr>
          <w:lang w:val="vi-VN"/>
        </w:rPr>
      </w:r>
    </w:p>
    <w:p>
      <w:pPr>
        <w:pStyle w:val="856"/>
        <w:pBdr/>
        <w:tabs>
          <w:tab w:val="left" w:leader="none" w:pos="993"/>
        </w:tabs>
        <w:spacing w:after="120" w:before="120" w:line="288" w:lineRule="auto"/>
        <w:ind w:left="0"/>
        <w:jc w:val="both"/>
        <w:rPr>
          <w:lang w:val="pt-BR"/>
        </w:rPr>
      </w:pP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Dung</w:t>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p>
          <w:p>
            <w:pPr>
              <w:pBdr/>
              <w:spacing w:line="276" w:lineRule="auto"/>
              <w:ind/>
              <w:rPr>
                <w:rFonts w:eastAsia="Calibri"/>
                <w:b/>
                <w:lang w:val="pt-BR"/>
              </w:rPr>
            </w:pP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275/2026/0296/VFI-BC.27.A</w:t>
      </w:r>
      <w:r>
        <w:rPr>
          <w:i/>
          <w:lang w:val="pt-BR"/>
        </w:rPr>
        <w:t xml:space="preserve"> </w:t>
      </w:r>
      <w:r>
        <w:rPr>
          <w:i/>
          <w:lang w:val="pt-BR"/>
        </w:rPr>
        <w:t xml:space="preserve">9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12.50pt;height:150.00pt;mso-wrap-distance-left:0.00pt;mso-wrap-distance-top:0.00pt;mso-wrap-distance-right:0.00pt;mso-wrap-distance-bottom:0.00pt;z-index:1;" stroked="false">
                      <v:imagedata r:id="rId18" o:title=""/>
                      <o:lock v:ext="edit" rotation="t"/>
                    </v:shape>
                  </w:pict>
                </mc:Fallback>
              </mc:AlternateContent>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275/2026/0296/VFI-BC.27.A</w:t>
      </w:r>
      <w:r>
        <w:rPr>
          <w:i/>
          <w:lang w:val="pt-BR"/>
        </w:rPr>
        <w:t xml:space="preserve"> </w:t>
      </w:r>
      <w:r>
        <w:rPr>
          <w:i/>
          <w:lang w:val="pt-BR"/>
        </w:rPr>
        <w:t xml:space="preserve">9 tháng 2 năm 2026</w:t>
      </w:r>
      <w:r>
        <w:rPr>
          <w:i/>
          <w:lang w:val="pt-BR"/>
        </w:rPr>
        <w:t xml:space="preserve"> </w:t>
      </w:r>
      <w:r>
        <w:rPr>
          <w:i/>
          <w:lang w:val="pt-BR"/>
        </w:rPr>
        <w:t xml:space="preserve">của</w:t>
      </w:r>
      <w:r>
        <w:rPr>
          <w:i/>
          <w:lang w:val="pt-BR"/>
        </w:rPr>
        <w:t xml:space="preserve"> </w:t>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https://www.facebook.com/share/p/1Bz7aQ5fPG/</w:t>
            </w:r>
            <w:r>
              <w:rPr>
                <w:color w:val="000000" w:themeColor="text1"/>
                <w:sz w:val="22"/>
                <w:szCs w:val="22"/>
              </w:rPr>
              <w:br/>
              <w:t xml:space="preserve">0941893600</w:t>
            </w:r>
            <w:r>
              <w:rPr>
                <w:sz w:val="22"/>
                <w:szCs w:val="22"/>
              </w:rPr>
              <w:t xml:space="preserve"> </w:t>
            </w:r>
            <w:r>
              <w:rPr>
                <w:sz w:val="22"/>
                <w:szCs w:val="22"/>
              </w:rPr>
              <w:br/>
              <w:t xml:space="preserve">(Chị Phạm Hiền</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11.250.000.000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(86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Quốc lộ 23B, Thị trấn Quang Minh, Huyện Mê Linh, Thành phố Hà Nội, đường Tài sản tiếp giáp QL23, cách UBND xã Quang Minh khoảng 2km, độ rộng đường trước mặt tài sản 10m, mặt tiền 4.4m, 21.17445274421056, 105.73274750264484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147149" cy="317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314714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7.81pt;height:250.00pt;mso-wrap-distance-left:0.00pt;mso-wrap-distance-top:0.00pt;mso-wrap-distance-right:0.00pt;mso-wrap-distance-bottom:0.00pt;z-index:1;" stroked="false">
                      <v:imagedata r:id="rId2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716653" cy="317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71665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35.17pt;height:250.00pt;mso-wrap-distance-left:0.00pt;mso-wrap-distance-top:0.00pt;mso-wrap-distance-right:0.00pt;mso-wrap-distance-bottom:0.00pt;z-index:1;" stroked="false">
                      <v:imagedata r:id="rId2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p>
    <w:p>
      <w:pPr>
        <w:pBdr/>
        <w:spacing w:after="200" w:line="276" w:lineRule="auto"/>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pPr>
            <w:r>
              <w:t xml:space="preserve">Trần Trung Chính</w:t>
            </w:r>
            <w:r/>
          </w:p>
        </w:tc>
      </w:tr>
      <w:tr>
        <w:trPr>
          <w:trHeight w:val="298"/>
        </w:trPr>
        <w:tc>
          <w:tcPr>
            <w:tcBorders/>
            <w:tcW w:w="4358" w:type="dxa"/>
            <w:vAlign w:val="bottom"/>
            <w:textDirection w:val="lrTb"/>
            <w:noWrap w:val="false"/>
          </w:tcPr>
          <w:p>
            <w:pPr>
              <w:pBdr/>
              <w:spacing/>
              <w:ind/>
              <w:jc w:val="center"/>
              <w:rPr>
                <w:b/>
                <w:bCs/>
              </w:rPr>
            </w:pPr>
            <w:r>
              <w:rPr>
                <w:b/>
                <w:bCs/>
              </w:rPr>
            </w:r>
            <w:r>
              <w:rPr>
                <w:b/>
                <w:bCs/>
              </w:rPr>
            </w:r>
          </w:p>
        </w:tc>
        <w:tc>
          <w:tcPr>
            <w:tcBorders/>
            <w:tcW w:w="4701" w:type="dxa"/>
            <w:vAlign w:val="center"/>
            <w:textDirection w:val="lrTb"/>
            <w:noWrap/>
          </w:tcPr>
          <w:p>
            <w:pPr>
              <w:pBdr/>
              <w:spacing/>
              <w:ind/>
              <w:jc w:val="center"/>
              <w:rPr>
                <w:b/>
                <w:bCs/>
              </w:rPr>
            </w:pPr>
            <w:r>
              <w:rPr>
                <w:b/>
                <w:bCs/>
              </w:rPr>
            </w:r>
            <w:r>
              <w:rPr>
                <w:b/>
                <w:bCs/>
              </w:rPr>
            </w:r>
          </w:p>
        </w:tc>
      </w:tr>
    </w:tbl>
    <w:p>
      <w:pPr>
        <w:pBdr/>
        <w:spacing w:after="200" w:line="276" w:lineRule="auto"/>
        <w:ind/>
        <w:jc w:val="center"/>
        <w:rPr>
          <w:b/>
          <w:bCs/>
          <w:iCs/>
          <w:lang w:val="pt-BR"/>
        </w:rPr>
      </w:pP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p>
    <w:p>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https://www.facebook.com/groups/852261119046020/permalink/1618007625804695/?rdid=dHSCecvdqiKxb8na#</w:t>
            </w:r>
            <w:r>
              <w:rPr>
                <w:color w:val="000000" w:themeColor="text1"/>
                <w:sz w:val="22"/>
                <w:szCs w:val="22"/>
              </w:rPr>
              <w:br/>
              <w:t xml:space="preserve">0946738656</w:t>
            </w:r>
            <w:r>
              <w:rPr>
                <w:sz w:val="22"/>
                <w:szCs w:val="22"/>
              </w:rPr>
              <w:t xml:space="preserve"> </w:t>
            </w:r>
            <w:r>
              <w:rPr>
                <w:sz w:val="22"/>
                <w:szCs w:val="22"/>
              </w:rPr>
              <w:br/>
              <w:t xml:space="preserve">(Anh Đanh</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14.250.000.000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12.825.000.000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(113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Quang Minh, Thành phố Hà Nội, độ rộng đường trước mặt tài sản 10m, đường xe máy lưu thông nhỏ hơn 2.5m, mặt tiền 6m, 21.177666522057265, 105.72925771163392</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Nở hậu</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0088" cy="3175000"/>
                      <wp:effectExtent l="0" t="0" r="0" b="0"/>
                      <wp:docPr id="1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38008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87.41pt;height:250.00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0088" cy="317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a:off x="0" y="0"/>
                                <a:ext cx="238008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87.41pt;height:250.00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284313"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428431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37.35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634662"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563466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43.67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939106"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93910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31.43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78972"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87897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6.69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jc w:val="center"/>
              <w:rPr>
                <w:b/>
                <w:bCs/>
              </w:rPr>
            </w:pPr>
            <w:r>
              <w:rPr>
                <w:b/>
                <w:bCs/>
              </w:rPr>
            </w:r>
            <w:r>
              <w:rPr>
                <w:b/>
                <w:bCs/>
              </w:rPr>
            </w:r>
          </w:p>
          <w:p>
            <w:pPr>
              <w:pBdr/>
              <w:spacing/>
              <w:ind/>
              <w:rPr>
                <w:b/>
                <w:bCs/>
              </w:rPr>
            </w:pP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Thị Thùy Dung</w:t>
            </w:r>
            <w:r/>
          </w:p>
          <w:p>
            <w:pPr>
              <w:pBdr/>
              <w:spacing/>
              <w:ind/>
              <w:jc w:val="center"/>
              <w:rPr/>
            </w:pPr>
            <w:r/>
            <w:r/>
          </w:p>
        </w:tc>
      </w:tr>
    </w:tbl>
    <w:p>
      <w:pPr>
        <w:pBdr/>
        <w:spacing w:after="200" w:line="276" w:lineRule="auto"/>
        <w:ind/>
        <w:rPr>
          <w:iCs/>
          <w:lang w:val="pt-BR"/>
        </w:rPr>
      </w:pPr>
      <w:r>
        <w:rPr>
          <w:iCs/>
          <w:lang w:val="pt-BR"/>
        </w:rPr>
      </w:r>
      <w:r>
        <w:rPr>
          <w:iCs/>
          <w:lang w:val="pt-BR"/>
        </w:rPr>
      </w:r>
    </w:p>
    <w:p>
      <w:pPr>
        <w:pBdr/>
        <w:spacing w:after="200" w:line="276" w:lineRule="auto"/>
        <w:ind/>
        <w:rPr>
          <w:iCs/>
          <w:lang w:val="pt-BR"/>
        </w:rPr>
      </w:pPr>
      <w:r>
        <w:rPr>
          <w:iCs/>
          <w:lang w:val="pt-BR"/>
        </w:rPr>
        <w:br w:type="page" w:clear="all"/>
      </w:r>
      <w:r>
        <w:rPr>
          <w:iCs/>
          <w:lang w:val="pt-BR"/>
        </w:rPr>
      </w:r>
    </w:p>
    <w:p>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0336.550.596</w:t>
            </w:r>
            <w:r>
              <w:rPr>
                <w:sz w:val="22"/>
                <w:szCs w:val="22"/>
              </w:rPr>
              <w:t xml:space="preserve"> </w:t>
            </w:r>
            <w:r>
              <w:rPr>
                <w:sz w:val="22"/>
                <w:szCs w:val="22"/>
              </w:rPr>
              <w:br/>
              <w:t xml:space="preserve">(Anh Thái</w:t>
            </w:r>
            <w:r>
              <w:rPr>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7.000.000.000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(75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nông thôn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Xã Quang Minh, Thành phố Hà Nội, độ rộng đường trước mặt tài sản 1m, mặt tiền 5m, 21.204580791221026, 105.70751973115074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Khá</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Hạ tầng khu dân cư thông thường</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67020"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146702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15.51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940054"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94005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1.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pPr>
            <w:r>
              <w:t xml:space="preserve">Nguyễn Thị Thùy Dung</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p>
        </w:tc>
        <w:tc>
          <w:tcPr>
            <w:tcBorders/>
            <w:tcW w:w="4776" w:type="dxa"/>
            <w:vAlign w:val="center"/>
            <w:textDirection w:val="lrTb"/>
            <w:noWrap/>
          </w:tcPr>
          <w:p>
            <w:pPr>
              <w:pBdr/>
              <w:spacing/>
              <w:ind/>
              <w:jc w:val="center"/>
              <w:rPr>
                <w:b/>
                <w:bCs/>
              </w:rPr>
            </w:pPr>
            <w:r>
              <w:rPr>
                <w:b/>
                <w:bCs/>
              </w:rPr>
            </w:r>
            <w:r>
              <w:rPr>
                <w:b/>
                <w:bCs/>
              </w:rPr>
            </w:r>
          </w:p>
        </w:tc>
      </w:tr>
    </w:tbl>
    <w:p>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Dung</cp:lastModifiedBy>
  <cp:revision>271</cp:revision>
  <dcterms:created xsi:type="dcterms:W3CDTF">2025-09-15T09:58:00Z</dcterms:created>
  <dcterms:modified xsi:type="dcterms:W3CDTF">2026-02-09T10:06:14Z</dcterms:modified>
</cp:coreProperties>
</file>