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5467350"/>
                <wp:effectExtent l="12700" t="12700" r="31750" b="31750"/>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275/2026/0296/VFI-CT.27.A</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TNHH TÙNG PHƯƠNG</w:t>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b w:val="0"/>
                                <w:bCs w:val="0"/>
                                <w:color w:val="000000"/>
                                <w:sz w:val="24"/>
                              </w:rPr>
                              <w:t xml:space="preserve">Quyền sử dụng đất tại thửa đất số: 4</w:t>
                            </w:r>
                            <w:r>
                              <w:rPr>
                                <w:rFonts w:ascii="Times New Roman" w:hAnsi="Times New Roman" w:eastAsia="Times New Roman" w:cs="Times New Roman"/>
                                <w:b w:val="0"/>
                                <w:bCs w:val="0"/>
                                <w:color w:val="000000"/>
                                <w:sz w:val="20"/>
                                <w:vertAlign w:val="superscript"/>
                              </w:rPr>
                              <w:t xml:space="preserve">a</w:t>
                            </w:r>
                            <w:r>
                              <w:rPr>
                                <w:rFonts w:ascii="Times New Roman" w:hAnsi="Times New Roman" w:eastAsia="Times New Roman" w:cs="Times New Roman"/>
                                <w:b w:val="0"/>
                                <w:bCs w:val="0"/>
                                <w:color w:val="000000"/>
                                <w:sz w:val="24"/>
                              </w:rPr>
                              <w:t xml:space="preserve">, tờ bản đồ số: 26 có địa chỉ: K9 Thường Lệ, Đại Thịnh, huyện Mê Linh, tỉnh Vĩnh Phúc (nay là xã Quang Minh, thành phố Hà Nội)  theo Giấy chứng nhận quyền sử dụng đất số: G 443584, số vào sổ cấp GCN: 1108QSDĐ do UBND huyện Mê Linh cấp ngày 02/7/1996 cho ôn</w:t>
                            </w:r>
                            <w:r>
                              <w:rPr>
                                <w:rFonts w:ascii="Times New Roman" w:hAnsi="Times New Roman" w:eastAsia="Times New Roman" w:cs="Times New Roman"/>
                                <w:b w:val="0"/>
                                <w:bCs w:val="0"/>
                                <w:color w:val="000000"/>
                                <w:sz w:val="24"/>
                              </w:rPr>
                              <w:t xml:space="preserve">g Trịnh Minh Tỉnh</w:t>
                            </w:r>
                            <w:r>
                              <w:rPr>
                                <w:b w:val="0"/>
                                <w:bCs w:val="0"/>
                                <w:i/>
                                <w:iCs/>
                              </w:rPr>
                              <w:t xml:space="preserve">.</w:t>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430.5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275/2026/0296/VFI-CT.27.A</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TNHH TÙNG PHƯƠNG</w:t>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b w:val="0"/>
                          <w:bCs w:val="0"/>
                          <w:color w:val="000000"/>
                          <w:sz w:val="24"/>
                        </w:rPr>
                        <w:t xml:space="preserve">Quyền sử dụng đất tại thửa đất số: 4</w:t>
                      </w:r>
                      <w:r>
                        <w:rPr>
                          <w:rFonts w:ascii="Times New Roman" w:hAnsi="Times New Roman" w:eastAsia="Times New Roman" w:cs="Times New Roman"/>
                          <w:b w:val="0"/>
                          <w:bCs w:val="0"/>
                          <w:color w:val="000000"/>
                          <w:sz w:val="20"/>
                          <w:vertAlign w:val="superscript"/>
                        </w:rPr>
                        <w:t xml:space="preserve">a</w:t>
                      </w:r>
                      <w:r>
                        <w:rPr>
                          <w:rFonts w:ascii="Times New Roman" w:hAnsi="Times New Roman" w:eastAsia="Times New Roman" w:cs="Times New Roman"/>
                          <w:b w:val="0"/>
                          <w:bCs w:val="0"/>
                          <w:color w:val="000000"/>
                          <w:sz w:val="24"/>
                        </w:rPr>
                        <w:t xml:space="preserve">, tờ bản đồ số: 26 có địa chỉ: K9 Thường Lệ, Đại Thịnh, huyện Mê Linh, tỉnh Vĩnh Phúc (nay là xã Quang Minh, thành phố Hà Nội)  theo Giấy chứng nhận quyền sử dụng đất số: G 443584, số vào sổ cấp GCN: 1108QSDĐ do UBND huyện Mê Linh cấp ngày 02/7/1996 cho ôn</w:t>
                      </w:r>
                      <w:r>
                        <w:rPr>
                          <w:rFonts w:ascii="Times New Roman" w:hAnsi="Times New Roman" w:eastAsia="Times New Roman" w:cs="Times New Roman"/>
                          <w:b w:val="0"/>
                          <w:bCs w:val="0"/>
                          <w:color w:val="000000"/>
                          <w:sz w:val="24"/>
                        </w:rPr>
                        <w:t xml:space="preserve">g Trịnh Minh Tỉnh</w:t>
                      </w:r>
                      <w:r>
                        <w:rPr>
                          <w:b w:val="0"/>
                          <w:bCs w:val="0"/>
                          <w:i/>
                          <w:iCs/>
                        </w:rPr>
                        <w:t xml:space="preserve">.</w:t>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v:textbox>
              </v:shape>
            </w:pict>
          </mc:Fallback>
        </mc:AlternateContent>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p>
    <w:p>
      <w:pPr>
        <w:pBdr/>
        <w:spacing/>
        <w:ind w:right="-1"/>
        <w:jc w:val="center"/>
        <w:rPr>
          <w:sz w:val="28"/>
        </w:rPr>
      </w:pPr>
      <w:r>
        <w:rPr>
          <w:b/>
          <w:sz w:val="28"/>
        </w:rPr>
        <w:t xml:space="preserve">MỤC LỤC</w:t>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p>
        </w:tc>
      </w:tr>
    </w:tbl>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w:t>
            </w:r>
            <w:r>
              <w:rPr>
                <w:rStyle w:val="854"/>
                <w:rFonts w:ascii="Times New Roman" w:hAnsi="Times New Roman"/>
                <w:color w:val="000000" w:themeColor="text1"/>
                <w:lang w:val="pt-BR"/>
              </w:rPr>
              <w:t xml:space="preserve">: </w:t>
            </w:r>
            <w:r>
              <w:rPr>
                <w:rStyle w:val="854"/>
                <w:rFonts w:ascii="Times New Roman" w:hAnsi="Times New Roman"/>
                <w:color w:val="000000" w:themeColor="text1"/>
                <w:lang w:val="pt-BR"/>
              </w:rPr>
              <w:t xml:space="preserve">275/2026/0296/VFI-CT.27.A</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w:t>
            </w:r>
            <w:r>
              <w:rPr>
                <w:rStyle w:val="854"/>
                <w:rFonts w:ascii="Times New Roman" w:hAnsi="Times New Roman"/>
                <w:i/>
                <w:color w:val="auto"/>
              </w:rPr>
              <w:t xml:space="preserve">Hà</w:t>
            </w:r>
            <w:r>
              <w:rPr>
                <w:rStyle w:val="854"/>
                <w:rFonts w:ascii="Times New Roman" w:hAnsi="Times New Roman"/>
                <w:i/>
                <w:color w:val="auto"/>
              </w:rPr>
              <w:t xml:space="preserve"> </w:t>
            </w:r>
            <w:r>
              <w:rPr>
                <w:rStyle w:val="854"/>
                <w:rFonts w:ascii="Times New Roman" w:hAnsi="Times New Roman"/>
                <w:i/>
                <w:color w:val="auto"/>
              </w:rPr>
              <w:t xml:space="preserve">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9 tháng 2 năm 2026</w:t>
            </w:r>
            <w:r>
              <w:rPr>
                <w:color w:val="000000" w:themeColor="text1"/>
                <w:sz w:val="24"/>
                <w:szCs w:val="24"/>
                <w:lang w:val="vi-VN"/>
              </w:rPr>
            </w:r>
          </w:p>
        </w:tc>
      </w:tr>
    </w:tbl>
    <w:p>
      <w:pPr>
        <w:pStyle w:val="855"/>
        <w:pBdr/>
        <w:spacing w:after="120" w:before="200" w:line="288" w:lineRule="auto"/>
        <w:ind/>
        <w:jc w:val="center"/>
        <w:rPr>
          <w:rStyle w:val="854"/>
          <w:rFonts w:ascii="Times New Roman" w:hAnsi="Times New Roman"/>
          <w:b/>
          <w:bCs/>
          <w:color w:val="auto"/>
          <w:sz w:val="30"/>
          <w:szCs w:val="30"/>
          <w:lang w:val="vi-VN"/>
        </w:rPr>
      </w:pPr>
      <w:r>
        <w:rPr>
          <w:rStyle w:val="854"/>
          <w:rFonts w:ascii="Times New Roman" w:hAnsi="Times New Roman"/>
          <w:b/>
          <w:bCs/>
          <w:color w:val="auto"/>
          <w:sz w:val="30"/>
          <w:szCs w:val="30"/>
          <w:lang w:val="vi-VN"/>
        </w:rPr>
        <w:t xml:space="preserve">CHỨNG THƯ THẨM ĐỊNH GIÁ</w:t>
      </w:r>
      <w:r>
        <w:rPr>
          <w:rStyle w:val="854"/>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TNHH TÙNG PHƯƠNG</w:t>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275/2026/0296/VFI-HĐTĐ.27.A</w:t>
      </w:r>
      <w:r>
        <w:rPr>
          <w:spacing w:val="-4"/>
          <w:lang w:val="vi-VN"/>
        </w:rPr>
        <w:t xml:space="preserve"> ký ngày </w:t>
      </w:r>
      <w:r>
        <w:rPr>
          <w:color w:val="000000" w:themeColor="text1"/>
          <w:spacing w:val="-4"/>
        </w:rPr>
        <w:t xml:space="preserve">28 tháng 1 năm 2026</w:t>
      </w:r>
      <w:r>
        <w:rPr>
          <w:spacing w:val="-4"/>
          <w:lang w:val="vi-VN"/>
        </w:rPr>
        <w:t xml:space="preserve"> </w:t>
      </w:r>
      <w:r>
        <w:rPr>
          <w:spacing w:val="-4"/>
          <w:lang w:val="vi-VN"/>
        </w:rPr>
        <w:t xml:space="preserve">giữa </w:t>
      </w:r>
      <w:r>
        <w:rPr>
          <w:color w:val="000000" w:themeColor="text1"/>
          <w:spacing w:val="-4"/>
        </w:rPr>
        <w:t xml:space="preserve">CÔNG TY TNHH TÙNG PHƯƠNG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275/2026/0296/VFI-BC.27.A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9 tháng 2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ind/>
              <w:rPr/>
            </w:pPr>
            <w:r>
              <w:rPr>
                <w:b/>
                <w:bCs/>
              </w:rPr>
              <w:t xml:space="preserve">C Nguyệt</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rFonts w:ascii="Times New Roman" w:hAnsi="Times New Roman" w:eastAsia="Times New Roman" w:cs="Times New Roman"/>
          <w:b/>
          <w:bCs/>
          <w:color w:val="000000"/>
          <w:sz w:val="24"/>
        </w:rPr>
        <w:t xml:space="preserve">Quyền sử dụng đất tại thửa đất số: 4</w:t>
      </w:r>
      <w:r>
        <w:rPr>
          <w:rFonts w:ascii="Times New Roman" w:hAnsi="Times New Roman" w:eastAsia="Times New Roman" w:cs="Times New Roman"/>
          <w:b/>
          <w:bCs/>
          <w:color w:val="000000"/>
          <w:sz w:val="20"/>
          <w:vertAlign w:val="superscript"/>
        </w:rPr>
        <w:t xml:space="preserve">a</w:t>
      </w:r>
      <w:r>
        <w:rPr>
          <w:rFonts w:ascii="Times New Roman" w:hAnsi="Times New Roman" w:eastAsia="Times New Roman" w:cs="Times New Roman"/>
          <w:b/>
          <w:bCs/>
          <w:color w:val="000000"/>
          <w:sz w:val="24"/>
        </w:rPr>
        <w:t xml:space="preserve">, tờ bản đồ số: 26 có địa chỉ: K9 Thường Lệ, Đại Thịnh, huyện Mê Linh, tỉnh Vĩnh Phúc (nay là xã Quang Minh, thành phố Hà Nội)  theo Giấy chứng nhận quyền sử dụng đất số: G 443584, số vào sổ cấp GCN: 1108QSDĐ do UBND huyện Mê Linh cấp ngày 02/7/1996 cho ôn</w:t>
      </w:r>
      <w:r>
        <w:rPr>
          <w:rFonts w:ascii="Times New Roman" w:hAnsi="Times New Roman" w:eastAsia="Times New Roman" w:cs="Times New Roman"/>
          <w:b/>
          <w:bCs/>
          <w:color w:val="000000"/>
          <w:sz w:val="24"/>
        </w:rPr>
        <w:t xml:space="preserve">g Trịnh Minh Tỉnh</w:t>
      </w:r>
      <w:r>
        <w:rPr>
          <w:b/>
          <w:bCs/>
          <w:i/>
          <w:iCs/>
        </w:rPr>
        <w:t xml:space="preserve">.</w:t>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02/2026</w:t>
      </w:r>
      <w:r>
        <w:rPr>
          <w:bCs/>
          <w:lang w:val="nl-NL"/>
        </w:rPr>
        <w:t xml:space="preserve">.</w:t>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bookmarkEnd w:id="1"/>
      <w:bookmarkEnd w:id="2"/>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02/2026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b/>
                <w:bCs/>
                <w:color w:val="000000"/>
                <w:sz w:val="24"/>
              </w:rPr>
              <w:t xml:space="preserve">Quyền sử dụng đất tại thửa đất số: 4</w:t>
            </w:r>
            <w:r>
              <w:rPr>
                <w:rFonts w:ascii="Times New Roman" w:hAnsi="Times New Roman" w:eastAsia="Times New Roman" w:cs="Times New Roman"/>
                <w:b/>
                <w:bCs/>
                <w:color w:val="000000"/>
                <w:sz w:val="20"/>
                <w:vertAlign w:val="superscript"/>
              </w:rPr>
              <w:t xml:space="preserve">a</w:t>
            </w:r>
            <w:r>
              <w:rPr>
                <w:rFonts w:ascii="Times New Roman" w:hAnsi="Times New Roman" w:eastAsia="Times New Roman" w:cs="Times New Roman"/>
                <w:b/>
                <w:bCs/>
                <w:color w:val="000000"/>
                <w:sz w:val="24"/>
              </w:rPr>
              <w:t xml:space="preserve">, tờ bản đồ số: 26 có địa chỉ: K9 Thường Lệ, Đại Thịnh, huyện Mê Linh, tỉnh Vĩnh Phúc (nay là xã Quang Minh, thành phố Hà Nội)  theo Giấy chứng nhận quyền sử dụng đất số: G 443584, số vào sổ cấp GCN: 1108QSDĐ do UBND huyện Mê Linh cấp ngày 02/7/1996 cho ôn</w:t>
            </w:r>
            <w:r>
              <w:rPr>
                <w:rFonts w:ascii="Times New Roman" w:hAnsi="Times New Roman" w:eastAsia="Times New Roman" w:cs="Times New Roman"/>
                <w:b/>
                <w:bCs/>
                <w:color w:val="000000"/>
                <w:sz w:val="24"/>
              </w:rPr>
              <w:t xml:space="preserve">g Trịnh Minh Tỉnh</w:t>
            </w:r>
            <w:r>
              <w:rPr>
                <w:b/>
                <w:bCs/>
                <w:i/>
                <w:iCs/>
              </w:rPr>
              <w:t xml:space="preserve">.</w:t>
            </w:r>
            <w:r/>
            <w:r>
              <w:rPr>
                <w:color w:val="000000"/>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ở tại đô thị</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146.48</w:t>
              <w:br/>
              <w:t xml:space="preserve">33.52(QH)</w:t>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76.000.000</w:t>
              <w:br/>
              <w:t xml:space="preserve">22.500.000(QH)</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11.132.480.000</w:t>
              <w:br/>
              <w:t xml:space="preserve">754.200.000(QH)</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11.886.680.000</w:t>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11.886.700.000</w:t>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Mười một tỷ tám trăm tám mươi sáu triệu bảy trăm nghìn</w:t>
            </w:r>
            <w:r>
              <w:rPr>
                <w:b/>
                <w:bCs/>
                <w:i/>
                <w:iCs/>
                <w:color w:val="000000"/>
              </w:rPr>
              <w:t xml:space="preserve">./.)</w:t>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p>
        </w:tc>
      </w:tr>
    </w:tbl>
    <w:p>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w:t>
            </w:r>
            <w:r>
              <w:rPr>
                <w:rStyle w:val="854"/>
                <w:rFonts w:ascii="Times New Roman" w:hAnsi="Times New Roman"/>
                <w:color w:val="000000" w:themeColor="text1"/>
                <w:lang w:val="pt-BR"/>
              </w:rPr>
              <w:t xml:space="preserve">: </w:t>
            </w:r>
            <w:r>
              <w:rPr>
                <w:rStyle w:val="854"/>
                <w:rFonts w:ascii="Times New Roman" w:hAnsi="Times New Roman"/>
                <w:color w:val="000000" w:themeColor="text1"/>
                <w:lang w:val="pt-BR"/>
              </w:rPr>
              <w:t xml:space="preserve">275/2026/0296/VFI-CT.27.A</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w:t>
            </w:r>
            <w:r>
              <w:rPr>
                <w:rStyle w:val="854"/>
                <w:rFonts w:ascii="Times New Roman" w:hAnsi="Times New Roman"/>
                <w:i/>
                <w:color w:val="auto"/>
              </w:rPr>
              <w:t xml:space="preserve">Hà</w:t>
            </w:r>
            <w:r>
              <w:rPr>
                <w:rStyle w:val="854"/>
                <w:rFonts w:ascii="Times New Roman" w:hAnsi="Times New Roman"/>
                <w:i/>
                <w:color w:val="auto"/>
              </w:rPr>
              <w:t xml:space="preserve"> </w:t>
            </w:r>
            <w:r>
              <w:rPr>
                <w:rStyle w:val="854"/>
                <w:rFonts w:ascii="Times New Roman" w:hAnsi="Times New Roman"/>
                <w:i/>
                <w:color w:val="auto"/>
              </w:rPr>
              <w:t xml:space="preserve">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9 tháng 2 năm 2026</w:t>
            </w:r>
            <w:r>
              <w:rPr>
                <w:color w:val="000000" w:themeColor="text1"/>
                <w:sz w:val="24"/>
                <w:szCs w:val="24"/>
                <w:lang w:val="vi-VN"/>
              </w:rPr>
            </w:r>
          </w:p>
        </w:tc>
      </w:tr>
    </w:tbl>
    <w:p>
      <w:pPr>
        <w:pStyle w:val="855"/>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p>
    <w:p>
      <w:pPr>
        <w:pStyle w:val="83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275/2026/0296/VFI-CT.27.A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9 tháng 2 năm 2026</w:t>
      </w:r>
      <w:r>
        <w:rPr>
          <w:b w:val="0"/>
          <w:i/>
          <w:spacing w:val="-6"/>
          <w:sz w:val="24"/>
          <w:szCs w:val="24"/>
          <w:lang w:val="pt-BR"/>
        </w:rPr>
        <w:t xml:space="preserve">)</w:t>
      </w:r>
      <w:r>
        <w:rPr>
          <w:b w:val="0"/>
          <w:i/>
          <w:spacing w:val="-6"/>
          <w:sz w:val="24"/>
          <w:szCs w:val="24"/>
          <w:lang w:val="pt-BR"/>
        </w:rPr>
      </w:r>
    </w:p>
    <w:p>
      <w:pPr>
        <w:pStyle w:val="83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p>
        </w:tc>
      </w:tr>
    </w:tbl>
    <w:p>
      <w:pPr>
        <w:pStyle w:val="85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ind/>
              <w:rPr/>
            </w:pPr>
            <w:r>
              <w:rPr>
                <w:b/>
                <w:bCs/>
              </w:rPr>
              <w:t xml:space="preserve">C Nguyệt</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 w:val="0"/>
                <w:bCs w:val="0"/>
                <w:spacing w:val="2"/>
              </w:rPr>
            </w:pPr>
            <w:r>
              <w:rPr>
                <w:bCs/>
                <w:color w:val="000000" w:themeColor="text1"/>
                <w:lang w:val="pt-BR"/>
              </w:rPr>
            </w:r>
            <w:r>
              <w:rPr>
                <w:rFonts w:ascii="Times New Roman" w:hAnsi="Times New Roman" w:eastAsia="Times New Roman" w:cs="Times New Roman"/>
                <w:b w:val="0"/>
                <w:bCs w:val="0"/>
                <w:color w:val="000000"/>
                <w:sz w:val="24"/>
              </w:rPr>
              <w:t xml:space="preserve">Quyền sử dụng đất tại thửa đất số: 4</w:t>
            </w:r>
            <w:r>
              <w:rPr>
                <w:rFonts w:ascii="Times New Roman" w:hAnsi="Times New Roman" w:eastAsia="Times New Roman" w:cs="Times New Roman"/>
                <w:b w:val="0"/>
                <w:bCs w:val="0"/>
                <w:color w:val="000000"/>
                <w:sz w:val="20"/>
                <w:vertAlign w:val="superscript"/>
              </w:rPr>
              <w:t xml:space="preserve">a</w:t>
            </w:r>
            <w:r>
              <w:rPr>
                <w:rFonts w:ascii="Times New Roman" w:hAnsi="Times New Roman" w:eastAsia="Times New Roman" w:cs="Times New Roman"/>
                <w:b w:val="0"/>
                <w:bCs w:val="0"/>
                <w:color w:val="000000"/>
                <w:sz w:val="24"/>
              </w:rPr>
              <w:t xml:space="preserve">, tờ bản đồ số: 26 có địa chỉ: K9 Thường Lệ, Đại Thịnh, huyện Mê Linh, tỉnh Vĩnh Phúc (nay là xã Quang Minh, thành phố Hà Nội)  theo Giấy chứng nhận quyền sử dụng đất số: G 443584, số vào sổ cấp GCN: 1108QSDĐ do UBND huyện Mê Linh cấp ngày 02/7/1996 cho ôn</w:t>
            </w:r>
            <w:r>
              <w:rPr>
                <w:rFonts w:ascii="Times New Roman" w:hAnsi="Times New Roman" w:eastAsia="Times New Roman" w:cs="Times New Roman"/>
                <w:b w:val="0"/>
                <w:bCs w:val="0"/>
                <w:color w:val="000000"/>
                <w:sz w:val="24"/>
              </w:rPr>
              <w:t xml:space="preserve">g Trịnh Minh Tỉnh</w:t>
            </w:r>
            <w:r>
              <w:rPr>
                <w:b w:val="0"/>
                <w:bCs w:val="0"/>
                <w:i/>
                <w:iCs/>
              </w:rPr>
              <w:t xml:space="preserve">.</w:t>
            </w:r>
            <w:r>
              <w:rPr>
                <w:b w:val="0"/>
                <w:bCs w:val="0"/>
                <w:color w:val="000000" w:themeColor="text1"/>
                <w:lang w:val="pt-BR"/>
              </w:rPr>
            </w:r>
            <w:r>
              <w:rPr>
                <w:b w:val="0"/>
                <w:bCs w:val="0"/>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02/2026</w:t>
            </w:r>
            <w:r>
              <w:rPr>
                <w:lang w:val="pt-BR"/>
              </w:rPr>
              <w:t xml:space="preserve">.</w:t>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K9 Thường Lệ, Đại Thịnh, huyện Mê Linh,tỉnh Vĩnh Phúc</w:t>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Style w:val="83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21.175111111111, 105.73183333333</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02/2026</w:t>
            </w:r>
            <w:r>
              <w:rPr>
                <w:lang w:val="pt-BR"/>
              </w:rPr>
              <w:t xml:space="preserve">.</w:t>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p>
    <w:p>
      <w:pPr>
        <w:pStyle w:val="856"/>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p>
    <w:p>
      <w:pPr>
        <w:pStyle w:val="85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p>
    <w:p>
      <w:pPr>
        <w:pStyle w:val="856"/>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p>
    <w:p>
      <w:pPr>
        <w:pStyle w:val="85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p>
    <w:p>
      <w:pPr>
        <w:pStyle w:val="856"/>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p>
    <w:p>
      <w:pPr>
        <w:pStyle w:val="856"/>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p>
    <w:p>
      <w:pPr>
        <w:pStyle w:val="856"/>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p>
    <w:p>
      <w:pPr>
        <w:pStyle w:val="856"/>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p>
    <w:p>
      <w:pPr>
        <w:pStyle w:val="856"/>
        <w:numPr>
          <w:ilvl w:val="0"/>
          <w:numId w:val="2"/>
        </w:numPr>
        <w:pBdr/>
        <w:tabs>
          <w:tab w:val="left" w:leader="none" w:pos="993"/>
        </w:tabs>
        <w:spacing w:after="120" w:before="120" w:line="276" w:lineRule="auto"/>
        <w:ind/>
        <w:jc w:val="both"/>
        <w:rPr>
          <w:b w:val="0"/>
          <w:bCs w:val="0"/>
          <w:i/>
          <w:iCs/>
        </w:rPr>
      </w:pPr>
      <w:r>
        <w:rPr>
          <w:b w:val="0"/>
          <w:bCs w:val="0"/>
          <w:color w:val="000000" w:themeColor="text1"/>
          <w:lang w:val="pt-BR"/>
        </w:rPr>
      </w:r>
      <w:r>
        <w:rPr>
          <w:rFonts w:ascii="Times New Roman" w:hAnsi="Times New Roman" w:eastAsia="Times New Roman" w:cs="Times New Roman"/>
          <w:b w:val="0"/>
          <w:bCs w:val="0"/>
          <w:color w:val="000000"/>
          <w:sz w:val="24"/>
        </w:rPr>
      </w:r>
      <w:r>
        <w:rPr>
          <w:rFonts w:ascii="Times New Roman" w:hAnsi="Times New Roman" w:eastAsia="Times New Roman" w:cs="Times New Roman"/>
          <w:b w:val="0"/>
          <w:bCs w:val="0"/>
          <w:color w:val="000000"/>
          <w:sz w:val="24"/>
        </w:rPr>
        <w:t xml:space="preserve"> Giấy chứng nhận quyền sử dụng đất số: G 443584, số vào sổ cấp GCN: 1108QSDĐ do UBND huyện Mê Linh cấp ngày 02/7/1996 cho ôn</w:t>
      </w:r>
      <w:r>
        <w:rPr>
          <w:rFonts w:ascii="Times New Roman" w:hAnsi="Times New Roman" w:eastAsia="Times New Roman" w:cs="Times New Roman"/>
          <w:b w:val="0"/>
          <w:bCs w:val="0"/>
          <w:color w:val="000000"/>
          <w:sz w:val="24"/>
        </w:rPr>
        <w:t xml:space="preserve">g Trịnh Minh Tỉnh</w:t>
      </w:r>
      <w:r>
        <w:rPr>
          <w:b w:val="0"/>
          <w:bCs w:val="0"/>
          <w:i/>
          <w:iCs/>
        </w:rPr>
        <w:t xml:space="preserve">.</w:t>
      </w:r>
      <w:r>
        <w:rPr>
          <w:b w:val="0"/>
          <w:bCs w:val="0"/>
          <w:color w:val="000000" w:themeColor="text1"/>
          <w:lang w:val="pt-BR"/>
        </w:rPr>
      </w:r>
      <w:r>
        <w:rPr>
          <w:b w:val="0"/>
          <w:bCs w:val="0"/>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p>
    <w:p>
      <w:pPr>
        <w:pStyle w:val="856"/>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HSTD-20260127-0004/HĐTĐ-VFI ngày 09/02/2026 giữa CÔNG TY TNHH TÙNG PHƯƠNG với Công ty Cổ phần Thẩm định và Đầu tư Tài chính Hoa Sen.</w:t>
      </w:r>
      <w:r>
        <w:rPr>
          <w:b/>
          <w:lang w:val="pt-BR"/>
        </w:rPr>
      </w:r>
    </w:p>
    <w:p>
      <w:pPr>
        <w:pStyle w:val="856"/>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t xml:space="preserve">Bước sang năm 2026, thị trường bất động sản Hà Nội được kỳ vọng bước vào chu kỳ tăng trưởng mới với nền tảng hạ tầng, pháp lý và chính sách ngày càng rõ nét. Thay vì những cơn “sốt n</w:t>
      </w:r>
      <w:r>
        <w:rPr>
          <w:shd w:val="clear" w:color="auto" w:fill="ffffff"/>
        </w:rPr>
        <w:t xml:space="preserve">óng”, thị trường vận động theo hướng chọn lọc, phân hóa mạnh, lấy nhu cầu ở thực, chất lượng dự án và năng lực doanh nghiệp làm trụ cột phát triển bền vững.</w:t>
        <w:br/>
        <w:t xml:space="preserve">Trong bối cảnh kinh tế vĩ mô dần ổn định, khuôn khổ pháp lý được hoàn thiện và đầu tư công tiếp tục</w:t>
      </w:r>
      <w:r>
        <w:rPr>
          <w:shd w:val="clear" w:color="auto" w:fill="ffffff"/>
        </w:rPr>
        <w:t xml:space="preserve"> giữ vai trò "đầu kéo", bất động sản Thủ đô bước vào một chu kỳ phát triển mới – thận trọng hơn, thực chất hơn và lấy hạ tầng làm động lực trung tâm. Thay vì những cơn "sốt nóng" ngắn hạn, thị trường năm 2026 được kỳ vọng tăng trưởng trên nền tảng bền vững</w:t>
      </w:r>
      <w:r>
        <w:rPr>
          <w:shd w:val="clear" w:color="auto" w:fill="ffffff"/>
        </w:rPr>
        <w:t xml:space="preserve">, gắn chặt với quy hoạch đô thị, nhu cầu ở thực và năng lực triển khai của doanh nghiệp.</w:t>
        <w:br/>
        <w:t xml:space="preserve">Hạ tầng – "xương sống" mở không gian phát triển mới</w:t>
        <w:br/>
        <w:t xml:space="preserve">Trong nhiều năm qua, hạ tầng giao thông luôn là yếu tố then chốt định hình không gian phát triển đô thị Hà Nội. Đến</w:t>
      </w:r>
      <w:r>
        <w:rPr>
          <w:shd w:val="clear" w:color="auto" w:fill="ffffff"/>
        </w:rPr>
        <w:t xml:space="preserve"> năm 2026, vai trò này càng trở nên rõ rệt khi hàng loạt dự án trọng điểm được triển khai đồng bộ, tạo lực đẩy dài hạn cho thị trường bất động sản.</w:t>
        <w:br/>
        <w:t xml:space="preserve">Dự án đường Vành đai 4 – Vùng Thủ đô, với quy mô hơn 85.000 tỷ đồng, được coi là "đòn bẩy chiến lược" mở rộn</w:t>
      </w:r>
      <w:r>
        <w:rPr>
          <w:shd w:val="clear" w:color="auto" w:fill="ffffff"/>
        </w:rPr>
        <w:t xml:space="preserve">g không gian phát triển về các hướng Bắc, Tây và Nam. Khi tuyến đường này từng bước thành hình, các khu vực vốn nằm ngoài trung tâm truyền thống sẽ có điều kiện kết nối thuận lợi hơn, qua đó gia tăng sức hấp dẫn với các dự án đô thị, khu nhà ở và dịch vụ.</w:t>
        <w:br/>
      </w:r>
      <w:r>
        <w:rPr>
          <w:shd w:val="clear" w:color="auto" w:fill="ffffff"/>
        </w:rPr>
        <w:t xml:space="preserve">Cùng với đó, hệ thống các tuyến vành đai, trục hướng tâm, các cây cầu vượt sông Hồng và mạng lưới đường sắt đô thị đang dần hoàn thiện, tạo nên cấu trúc giao thông đa lớp cho Thủ đô. PGS.TS Trần Đình Thiên, nguyên Viện trưởng Viện Kinh tế Việt Nam cho rằng</w:t>
      </w:r>
      <w:r>
        <w:rPr>
          <w:shd w:val="clear" w:color="auto" w:fill="ffffff"/>
        </w:rPr>
        <w:t xml:space="preserve">, hạ tầng giao thông không chỉ đóng vai trò hỗ trợ mà còn mang tính quyết định đối với việc Hà Nội chuyển sang mô hình đô thị đa trung tâm. Khi giao thông đi trước, dòng vốn đầu tư, dân cư và các hoạt động kinh tế sẽ dịch chuyển theo, tạo nền tảng cho tăng</w:t>
      </w:r>
      <w:r>
        <w:rPr>
          <w:shd w:val="clear" w:color="auto" w:fill="ffffff"/>
        </w:rPr>
        <w:t xml:space="preserve"> trưởng bất động sản dài hạn.</w:t>
        <w:br/>
        <w:t xml:space="preserve">Thực tế thị trường cho thấy, các khu vực hưởng lợi trực tiếp từ hạ tầng đều ghi nhận sự cải thiện rõ rệt về giá trị và thanh khoản. Tây Hà Nội, với trục Đại lộ Thăng Long, các tuyến Vành đai 3, 3,5 và định hướng tuyến metro số</w:t>
      </w:r>
      <w:r>
        <w:rPr>
          <w:shd w:val="clear" w:color="auto" w:fill="ffffff"/>
        </w:rPr>
        <w:t xml:space="preserve"> 5 (Văn Cao – Hòa Lạc), đang nổi lên như một cực phát triển mới. Ở phía Đông, hệ thống cầu vượt sông Hồng, cùng quy hoạch chỉnh trang đô thị ven sông, tiếp tục mở ra dư địa cho các dự án nhà ở và đô thị sinh thái.</w:t>
        <w:br/>
        <w:t xml:space="preserve">Thị trường chuyển từ "tăng nóng" sang tăng</w:t>
      </w:r>
      <w:r>
        <w:rPr>
          <w:shd w:val="clear" w:color="auto" w:fill="ffffff"/>
        </w:rPr>
        <w:t xml:space="preserve"> trưởng chọn lọc</w:t>
        <w:br/>
        <w:t xml:space="preserve">Nếu như giai đoạn trước, thị trường bất động sản Hà Nội từng chứng kiến những đợt tăng giá nhanh ở một số phân khúc, thì bước sang năm 2026, xu hướng chủ đạo là tăng trưởng có chọn lọc. Dòng tiền không còn chạy theo "sóng ngắn" mà ưu tiên </w:t>
      </w:r>
      <w:r>
        <w:rPr>
          <w:shd w:val="clear" w:color="auto" w:fill="ffffff"/>
        </w:rPr>
        <w:t xml:space="preserve">những khu vực có quy hoạch rõ ràng, hạ tầng đồng bộ và nhu cầu ở thực ổn định.</w:t>
        <w:br/>
        <w:t xml:space="preserve">Theo ông Nguyễn Văn Đính, Chủ tịch Hội Môi giới Bất động sản Việt Nam (VARS), thị trường bất động sản Hà Nội sẽ không tăng trưởng theo kiểu nóng mà dựa trên nền tảng hạ tầng và </w:t>
      </w:r>
      <w:r>
        <w:rPr>
          <w:shd w:val="clear" w:color="auto" w:fill="ffffff"/>
        </w:rPr>
        <w:t xml:space="preserve">nhu cầu thật. Những dự án gắn với các tuyến giao thông lớn, pháp lý minh bạch và được triển khai bài bản sẽ trở thành động lực chính của thị trường trong năm 2026.</w:t>
        <w:br/>
        <w:t xml:space="preserve">Số liệu từ các đơn vị nghiên cứu cho thấy, trong giai đoạn gần đây, giá bất động sản tại nhữ</w:t>
      </w:r>
      <w:r>
        <w:rPr>
          <w:shd w:val="clear" w:color="auto" w:fill="ffffff"/>
        </w:rPr>
        <w:t xml:space="preserve">ng khu vực bám trục hạ tầng lớn của Hà Nội vẫn duy trì mức tăng ổn định, trong khi thanh khoản dần cải thiện. Điều này phản ánh sự dịch chuyển của dòng tiền sang các phân khúc an toàn hơn, hạn chế rủi ro và có tiềm năng tăng trưởng dài hạn.</w:t>
        <w:br/>
        <w:t xml:space="preserve">Nguồn cung lớn,</w:t>
      </w:r>
      <w:r>
        <w:rPr>
          <w:shd w:val="clear" w:color="auto" w:fill="ffffff"/>
        </w:rPr>
        <w:t xml:space="preserve"> thị trường phân hóa rõ nét</w:t>
        <w:br/>
        <w:t xml:space="preserve">Một đặc điểm nổi bật của thị trường năm 2026 là sự gia tăng mạnh mẽ của nguồn cung, đặc biệt ở phân khúc căn hộ. Dự báo cho thấy, Hà Nội sẽ đón nhận lượng lớn sản phẩm mới từ hàng chục dự án được tháo gỡ vướng mắc pháp lý và tái</w:t>
      </w:r>
      <w:r>
        <w:rPr>
          <w:shd w:val="clear" w:color="auto" w:fill="ffffff"/>
        </w:rPr>
        <w:t xml:space="preserve"> khởi động. Điều này vừa tạo cơ hội cho người mua, vừa đặt ra thách thức cho doanh nghiệp phát triển dự án.</w:t>
        <w:br/>
        <w:t xml:space="preserve">Ông David Jackson, Tổng Giám đốc Avison Young Việt Nam nhận định, thị trường căn hộ đang bước vào giai đoạn bản lề. Phân khúc này tiếp tục giữ vai t</w:t>
      </w:r>
      <w:r>
        <w:rPr>
          <w:shd w:val="clear" w:color="auto" w:fill="ffffff"/>
        </w:rPr>
        <w:t xml:space="preserve">rò chủ đạo trong giai đoạn 2025–2026, song sự phát triển sẽ không đồng đều. Các dự án có vị trí thuận lợi, kết nối hạ tầng tốt, pháp lý hoàn chỉnh và chủ đầu tư uy tín sẽ duy trì thanh khoản, trong khi những dự án xa trung tâm, thiếu tiện ích hoặc định giá</w:t>
      </w:r>
      <w:r>
        <w:rPr>
          <w:shd w:val="clear" w:color="auto" w:fill="ffffff"/>
        </w:rPr>
        <w:t xml:space="preserve"> vượt khả năng chi trả của số đông sẽ gặp khó.</w:t>
        <w:br/>
        <w:t xml:space="preserve">Cùng quan điểm, bà Đỗ Thị Thu Hằng, Giám đốc Cấp cao, Bộ phận Nghiên cứu và Tư vấn, Savills Hà Nội cho rằng, những dòng sản phẩm diện tích vừa và nhỏ, đặc biệt là căn hộ một đến hai phòng ngủ, vẫn có sức hút l</w:t>
      </w:r>
      <w:r>
        <w:rPr>
          <w:shd w:val="clear" w:color="auto" w:fill="ffffff"/>
        </w:rPr>
        <w:t xml:space="preserve">ớn nhờ phù hợp với nhu cầu ở thực. Trong khi đó, phân khúc nhà ở vừa túi tiền và nhà ở xã hội được kỳ vọng sẽ dần cải thiện nguồn cung khi các chính sách mới được triển khai đồng bộ.</w:t>
        <w:br/>
        <w:t xml:space="preserve">Chính sách và pháp lý – điểm tựa cho chu kỳ mới</w:t>
        <w:br/>
        <w:t xml:space="preserve">Năm 2026 được xem là thời</w:t>
      </w:r>
      <w:r>
        <w:rPr>
          <w:shd w:val="clear" w:color="auto" w:fill="ffffff"/>
        </w:rPr>
        <w:t xml:space="preserve"> điểm các chính sách pháp luật về đất đai, nhà ở và kinh doanh bất động sản phát huy hiệu quả rõ nét hơn. Việc tháo gỡ vướng mắc cho hàng nghìn dự án tồn đọng không chỉ giúp giải phóng nguồn lực lớn cho nền kinh tế mà còn bổ sung nguồn cung đáng kể cho thị</w:t>
      </w:r>
      <w:r>
        <w:rPr>
          <w:shd w:val="clear" w:color="auto" w:fill="ffffff"/>
        </w:rPr>
        <w:t xml:space="preserve"> trường.</w:t>
        <w:br/>
        <w:t xml:space="preserve">Các cơ chế mới liên quan đến định giá đất, thu hồi đất và mở rộng khả năng tiếp cận quỹ đất được kỳ vọng sẽ rút ngắn thời gian chuẩn bị dự án, giảm chi phí và tăng tính minh bạch. Điều này giúp thị trường vận hành lành mạnh hơn, hạn chế tình trạng</w:t>
      </w:r>
      <w:r>
        <w:rPr>
          <w:shd w:val="clear" w:color="auto" w:fill="ffffff"/>
        </w:rPr>
        <w:t xml:space="preserve"> "treo" dự án kéo dài, đồng thời tạo niềm tin cho nhà đầu tư và người mua nhà.</w:t>
        <w:br/>
        <w:t xml:space="preserve">Bước vào năm 2026, mặt bằng lãi suất được dự báo duy trì ở mức tương đối ổn định, dù có thể xuất hiện những điều chỉnh kỹ thuật. Ông Nguyễn Quốc Anh, Phó Tổng Giám đốc Batdongsa</w:t>
      </w:r>
      <w:r>
        <w:rPr>
          <w:shd w:val="clear" w:color="auto" w:fill="ffffff"/>
        </w:rPr>
        <w:t xml:space="preserve">n.com.vn cho rằng, mức lãi suất cho vay phổ biến quanh 6–7%/năm vẫn nằm trong vùng hỗ trợ giao dịch, khác xa giai đoạn "cú sốc kép" năm 2022.</w:t>
        <w:br/>
        <w:t xml:space="preserve">Ở góc nhìn vĩ mô, TS. Cấn Văn Lực, Chuyên gia Kinh tế trưởng Ngân hàng BIDV, Thành viên Hội đồng Tư vấn chính sách</w:t>
      </w:r>
      <w:r>
        <w:rPr>
          <w:shd w:val="clear" w:color="auto" w:fill="ffffff"/>
        </w:rPr>
        <w:t xml:space="preserve"> tài chính – tiền tệ quốc gia – nhận định, lãi suất thấp trong giai đoạn tới sẽ không còn kích hoạt đầu cơ mạnh như trước, mà thúc đẩy thị trường phát triển ổn định hơn. Người mua ngày càng thận trọng, ưu tiên pháp lý rõ ràng, chất lượng sản phẩm và uy tín</w:t>
      </w:r>
      <w:r>
        <w:rPr>
          <w:shd w:val="clear" w:color="auto" w:fill="ffffff"/>
        </w:rPr>
        <w:t xml:space="preserve"> chủ đầu tư – những yếu tố then chốt để hình thành chu kỳ tăng trưởng bền vững.</w:t>
        <w:br/>
        <w:t xml:space="preserve">Triển vọng 2026: tăng trưởng bền vững trên nền tảng mới</w:t>
        <w:br/>
        <w:t xml:space="preserve">Với nguồn cung tăng mạnh và người mua ngày càng kỹ tính, năm 2026 được xem là giai đoạn sàng lọc rõ nét đối với các doan</w:t>
      </w:r>
      <w:r>
        <w:rPr>
          <w:shd w:val="clear" w:color="auto" w:fill="ffffff"/>
        </w:rPr>
        <w:t xml:space="preserve">h nghiệp bất động sản. Những chủ đầu tư có quỹ đất sạch, năng lực tài chính lành mạnh và chiến lược phát triển sản phẩm phù hợp sẽ có cơ hội bứt phá. Ngược lại, các doanh nghiệp yếu về pháp lý, phụ thuộc nhiều vào đòn bẩy tài chính hoặc chạy theo đầu cơ ng</w:t>
      </w:r>
      <w:r>
        <w:rPr>
          <w:shd w:val="clear" w:color="auto" w:fill="ffffff"/>
        </w:rPr>
        <w:t xml:space="preserve">ắn hạn có thể tiếp tục bị đào thải.</w:t>
        <w:br/>
        <w:t xml:space="preserve">Cuộc cạnh tranh không chỉ dừng ở giá bán mà còn mở rộng sang tiến độ thi công, chất lượng xây dựng, dịch vụ hậu mãi và cam kết vận hành. Trong bối cảnh đó, niềm tin của người mua trở thành tài sản quan trọng nhất mà doan</w:t>
      </w:r>
      <w:r>
        <w:rPr>
          <w:shd w:val="clear" w:color="auto" w:fill="ffffff"/>
        </w:rPr>
        <w:t xml:space="preserve">h nghiệp phải gìn giữ.</w:t>
        <w:br/>
        <w:t xml:space="preserve">Nhìn tổng thể, bức tranh thị trường bất động sản Hà Nội năm 2026 mang gam màu tích cực nhưng không kém phần thận trọng. Hạ tầng tiếp tục đóng vai trò "dẫn lối", chính sách và pháp lý tạo điểm tựa, trong khi nhu cầu ở thực giữ vai trò</w:t>
      </w:r>
      <w:r>
        <w:rPr>
          <w:shd w:val="clear" w:color="auto" w:fill="ffffff"/>
        </w:rPr>
        <w:t xml:space="preserve"> chủ đạo. Thị trường không còn chỗ cho những cơn sốt ảo, mà hướng tới tăng trưởng ổn định, gắn với chất lượng đô thị và chất lượng sống.</w:t>
        <w:br/>
        <w:t xml:space="preserve">Với những nền tảng đó, bất động sản Hà Nội trong năm 2026 được kỳ vọng sẽ bước vào chu kỳ phát triển mới – bền vững hơn</w:t>
      </w:r>
      <w:r>
        <w:rPr>
          <w:shd w:val="clear" w:color="auto" w:fill="ffffff"/>
        </w:rPr>
        <w:t xml:space="preserve">, minh bạch hơn và đóng góp hiệu quả hơn cho tăng trưởng kinh tế – xã hội của Thủ đô.</w:t>
        <w:br/>
        <w:t xml:space="preserve">(Nguồn: https://thanglong.chinhphu.vn/buc-tranh-thi-truong-bat-dong-san-ha-noi-nam-2026-ha-tang-dan-dat-thi-truong-buoc-vao-chu-ky-tang-truong-moi-103260101181315972.htm)</w:t>
      </w:r>
      <w:r>
        <w:rPr>
          <w:i/>
          <w:iCs/>
          <w:lang w:val="pt-BR"/>
        </w:rPr>
      </w:r>
    </w:p>
    <w:p>
      <w:pPr>
        <w:pStyle w:val="85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126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r>
            <w:r>
              <w:rPr>
                <w:rFonts w:ascii="Times New Roman" w:hAnsi="Times New Roman" w:eastAsia="Times New Roman" w:cs="Times New Roman"/>
                <w:b/>
                <w:bCs/>
                <w:color w:val="000000"/>
                <w:sz w:val="24"/>
              </w:rPr>
              <w:t xml:space="preserve">Quyền sử dụng đất tại thửa đất số: 4</w:t>
            </w:r>
            <w:r>
              <w:rPr>
                <w:rFonts w:ascii="Times New Roman" w:hAnsi="Times New Roman" w:eastAsia="Times New Roman" w:cs="Times New Roman"/>
                <w:b/>
                <w:bCs/>
                <w:color w:val="000000"/>
                <w:sz w:val="20"/>
                <w:vertAlign w:val="superscript"/>
              </w:rPr>
              <w:t xml:space="preserve">a</w:t>
            </w:r>
            <w:r>
              <w:rPr>
                <w:rFonts w:ascii="Times New Roman" w:hAnsi="Times New Roman" w:eastAsia="Times New Roman" w:cs="Times New Roman"/>
                <w:b/>
                <w:bCs/>
                <w:color w:val="000000"/>
                <w:sz w:val="24"/>
              </w:rPr>
              <w:t xml:space="preserve">, tờ bản đồ số: 26 có địa chỉ: K9 Thường Lệ, Đại Thịnh, huyện Mê Linh, tỉnh Vĩnh Phúc (nay là xã Quang Minh, thành phố Hà Nội)  theo Giấy chứng nhận quyền sử dụng đất số: G 443584, số vào sổ cấp GCN: 1108QSDĐ do UBND huyện Mê Linh cấp ngày 02/7/1996 cho ôn</w:t>
            </w:r>
            <w:r>
              <w:rPr>
                <w:rFonts w:ascii="Times New Roman" w:hAnsi="Times New Roman" w:eastAsia="Times New Roman" w:cs="Times New Roman"/>
                <w:b/>
                <w:bCs/>
                <w:color w:val="000000"/>
                <w:sz w:val="24"/>
              </w:rPr>
              <w:t xml:space="preserve">g Trịnh Minh Tỉnh</w:t>
            </w:r>
            <w:r>
              <w:rPr>
                <w:b/>
                <w:bCs/>
                <w:i/>
                <w:iCs/>
              </w:rPr>
              <w:t xml:space="preserve">.</w:t>
            </w:r>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4a</w:t>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26</w:t>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K9 Thường Lệ, Đại Thịnh, huyện Mê Linh,tỉnh Vĩnh Phúc</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146.48</w:t>
              <w:br/>
              <w:t xml:space="preserve">(QH: 33.52)</w:t>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180 m2</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QL 23B</w:t>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10</w:t>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10</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Tiếp giáp đường Ql23</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r>
            <w:bookmarkEnd w:id="3"/>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21.175111111111</w:t>
            </w:r>
            <w:r>
              <w:rPr>
                <w:color w:val="000000"/>
              </w:rPr>
              <w:t xml:space="preserve">, </w:t>
            </w:r>
            <w:r>
              <w:rPr>
                <w:color w:val="000000"/>
              </w:rPr>
              <w:t xml:space="preserve">105.73183333333</w:t>
            </w:r>
            <w:r>
              <w:rPr>
                <w:color w:val="000000"/>
              </w:rPr>
              <w:t xml:space="preserve">)</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5052331"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5052331"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7.82pt;height:200.00pt;mso-wrap-distance-left:0.00pt;mso-wrap-distance-top:0.00pt;mso-wrap-distance-right:0.00pt;mso-wrap-distance-bottom:0.00pt;z-index:1;" stroked="false">
                      <v:imagedata r:id="rId17" o:title=""/>
                      <o:lock v:ext="edit" rotation="t"/>
                    </v:shape>
                  </w:pict>
                </mc:Fallback>
              </mc:AlternateConten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180</w:t>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11.5</w:t>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15</w:t>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 Bắc</w: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p>
        </w:tc>
        <w:tc>
          <w:tcPr>
            <w:gridSpan w:val="3"/>
            <w:tcBorders/>
            <w:tcW w:w="6259" w:type="dxa"/>
            <w:vAlign w:val="center"/>
            <w:textDirection w:val="lrTb"/>
            <w:noWrap w:val="false"/>
          </w:tcPr>
          <w:p>
            <w:pPr>
              <w:pBdr/>
              <w:spacing/>
              <w:ind/>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p>
        </w:tc>
        <w:tc>
          <w:tcPr>
            <w:gridSpan w:val="4"/>
            <w:tcBorders/>
            <w:tcW w:w="8781" w:type="dxa"/>
            <w:textDirection w:val="lrTb"/>
            <w:noWrap w:val="false"/>
          </w:tcPr>
          <w:p>
            <w:pPr>
              <w:pBdr/>
              <w:spacing/>
              <w:ind/>
              <w:jc w:val="both"/>
              <w:rPr>
                <w:color w:val="000000"/>
              </w:rPr>
            </w:pPr>
            <w:r>
              <w:rPr>
                <w:color w:val="000000"/>
              </w:rPr>
            </w:r>
            <w:r>
              <w:rPr>
                <w:color w:val="000000"/>
              </w:rPr>
            </w:r>
          </w:p>
        </w:tc>
      </w:tr>
    </w:tbl>
    <w:p>
      <w:pPr>
        <w:pBdr/>
        <w:spacing w:line="235" w:lineRule="auto"/>
        <w:ind w:left="646"/>
        <w:jc w:val="both"/>
        <w:rPr>
          <w:u w:val="single"/>
        </w:rPr>
      </w:pPr>
      <w:r>
        <w:rPr>
          <w:u w:val="single"/>
        </w:rPr>
      </w:r>
      <w:r>
        <w:rPr>
          <w:u w:val="single"/>
        </w:rPr>
      </w:r>
    </w:p>
    <w:p>
      <w:pPr>
        <w:pBdr/>
        <w:spacing w:line="235" w:lineRule="auto"/>
        <w:ind w:left="646"/>
        <w:jc w:val="both"/>
        <w:rPr>
          <w:u w:val="single"/>
        </w:rPr>
      </w:pPr>
      <w:r>
        <w:rPr>
          <w:u w:val="single"/>
        </w:rPr>
      </w:r>
      <w:r>
        <w:rPr>
          <w:u w:val="single"/>
        </w:rPr>
      </w:r>
    </w:p>
    <w:p>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p>
    <w:tbl>
      <w:tblPr>
        <w:tblStyle w:val="860"/>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p>
        </w:tc>
        <w:tc>
          <w:tcPr>
            <w:tcBorders/>
            <w:tcW w:w="1663" w:type="dxa"/>
            <w:vAlign w:val="center"/>
            <w:textDirection w:val="lrTb"/>
            <w:noWrap w:val="false"/>
          </w:tcPr>
          <w:p>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p>
        </w:tc>
        <w:tc>
          <w:tcPr>
            <w:tcBorders/>
            <w:tcW w:w="1560" w:type="dxa"/>
            <w:vAlign w:val="center"/>
            <w:textDirection w:val="lrTb"/>
            <w:noWrap w:val="false"/>
          </w:tcPr>
          <w:p>
            <w:pPr>
              <w:pBdr/>
              <w:spacing/>
              <w:ind/>
              <w:jc w:val="center"/>
              <w:rPr>
                <w:b/>
                <w:bCs/>
              </w:rPr>
            </w:pPr>
            <w:r>
              <w:rPr>
                <w:b/>
                <w:bCs/>
              </w:rPr>
              <w:t xml:space="preserve">Thông</w:t>
            </w:r>
            <w:r>
              <w:rPr>
                <w:b/>
                <w:bCs/>
              </w:rPr>
              <w:t xml:space="preserve"> tin TSTĐ</w:t>
            </w:r>
            <w:r>
              <w:rPr>
                <w:b/>
                <w:bCs/>
              </w:rPr>
            </w:r>
          </w:p>
        </w:tc>
        <w:tc>
          <w:tcPr>
            <w:tcBorders/>
            <w:tcW w:w="1605" w:type="dxa"/>
            <w:vAlign w:val="center"/>
            <w:textDirection w:val="lrTb"/>
            <w:noWrap w:val="false"/>
          </w:tcPr>
          <w:p>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p>
        </w:tc>
        <w:tc>
          <w:tcPr>
            <w:tcBorders/>
            <w:tcW w:w="1371" w:type="dxa"/>
            <w:vAlign w:val="center"/>
            <w:textDirection w:val="lrTb"/>
            <w:noWrap w:val="false"/>
          </w:tcPr>
          <w:p>
            <w:pPr>
              <w:pBdr/>
              <w:spacing/>
              <w:ind/>
              <w:jc w:val="center"/>
              <w:rPr>
                <w:b/>
                <w:bCs/>
              </w:rPr>
            </w:pPr>
            <w:r>
              <w:rPr>
                <w:b/>
                <w:bCs/>
              </w:rPr>
              <w:t xml:space="preserve">Chênh</w:t>
            </w:r>
            <w:r>
              <w:rPr>
                <w:b/>
                <w:bCs/>
              </w:rPr>
              <w:t xml:space="preserve"> </w:t>
            </w:r>
            <w:r>
              <w:rPr>
                <w:b/>
                <w:bCs/>
              </w:rPr>
              <w:t xml:space="preserve">lệch</w:t>
            </w:r>
            <w:r>
              <w:rPr>
                <w:b/>
                <w:bCs/>
              </w:rPr>
            </w:r>
          </w:p>
        </w:tc>
        <w:tc>
          <w:tcPr>
            <w:tcBorders/>
            <w:tcW w:w="2149" w:type="dxa"/>
            <w:vAlign w:val="center"/>
            <w:textDirection w:val="lrTb"/>
            <w:noWrap w:val="false"/>
          </w:tcPr>
          <w:p>
            <w:pPr>
              <w:pBdr/>
              <w:spacing/>
              <w:ind/>
              <w:jc w:val="center"/>
              <w:rPr>
                <w:b/>
                <w:bCs/>
              </w:rPr>
            </w:pPr>
            <w:r>
              <w:rPr>
                <w:b/>
                <w:bCs/>
              </w:rPr>
              <w:t xml:space="preserve">Nguyên</w:t>
            </w:r>
            <w:r>
              <w:rPr>
                <w:b/>
                <w:bCs/>
              </w:rPr>
              <w:t xml:space="preserve"> </w:t>
            </w:r>
            <w:r>
              <w:rPr>
                <w:b/>
                <w:bCs/>
              </w:rPr>
              <w:t xml:space="preserve">nhân</w:t>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K9 Thường Lệ, Đại Thịnh, huyện Mê Linh,tỉnh Vĩnh Phúc ✔</w:t>
            </w:r>
            <w:r/>
          </w:p>
        </w:tc>
        <w:tc>
          <w:tcPr>
            <w:tcBorders/>
            <w:tcW w:w="1605" w:type="dxa"/>
            <w:vAlign w:val="center"/>
            <w:textDirection w:val="lrTb"/>
            <w:noWrap w:val="false"/>
          </w:tcPr>
          <w:p>
            <w:pPr>
              <w:pBdr/>
              <w:spacing/>
              <w:ind/>
              <w:jc w:val="center"/>
              <w:rPr/>
            </w:pPr>
            <w:r>
              <w:t xml:space="preserve">Xã Đại Thịnh, Huyện Mê Linh, Thành phố Hà Nội</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Xã Đại Thịnh, Huyện Mê Linh, Thành phố Hà Nội</w:t>
            </w:r>
            <w:r/>
          </w:p>
        </w:tc>
        <w:tc>
          <w:tcPr>
            <w:tcBorders/>
            <w:tcW w:w="1605" w:type="dxa"/>
            <w:vAlign w:val="center"/>
            <w:textDirection w:val="lrTb"/>
            <w:noWrap w:val="false"/>
          </w:tcPr>
          <w:p>
            <w:pPr>
              <w:pBdr/>
              <w:spacing/>
              <w:ind/>
              <w:jc w:val="center"/>
              <w:rPr/>
            </w:pPr>
            <w:r>
              <w:t xml:space="preserve">Xã Đại Thịnh, Huyện Mê Linh, Thành phố Hà Nội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w:t>
            </w:r>
            <w:r/>
          </w:p>
        </w:tc>
        <w:tc>
          <w:tcPr>
            <w:tcBorders/>
            <w:tcW w:w="1605" w:type="dxa"/>
            <w:vAlign w:val="center"/>
            <w:textDirection w:val="lrTb"/>
            <w:noWrap w:val="false"/>
          </w:tcPr>
          <w:p>
            <w:pPr>
              <w:pBdr/>
              <w:spacing/>
              <w:ind/>
              <w:jc w:val="center"/>
              <w:rPr/>
            </w:pPr>
            <w:r>
              <w:t xml:space="preserve">Giấy chứng nhận quyền sử dụng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w:t>
            </w:r>
            <w:r/>
          </w:p>
        </w:tc>
        <w:tc>
          <w:tcPr>
            <w:tcBorders/>
            <w:tcW w:w="1605"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VT1</w:t>
            </w:r>
            <w:r/>
          </w:p>
        </w:tc>
        <w:tc>
          <w:tcPr>
            <w:tcBorders/>
            <w:tcW w:w="1605" w:type="dxa"/>
            <w:vAlign w:val="center"/>
            <w:textDirection w:val="lrTb"/>
            <w:noWrap w:val="false"/>
          </w:tcPr>
          <w:p>
            <w:pPr>
              <w:pBdr/>
              <w:spacing/>
              <w:ind/>
              <w:jc w:val="center"/>
              <w:rPr/>
            </w:pPr>
            <w:r>
              <w:t xml:space="preserve">VT1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nhựa có vỉa hè</w:t>
            </w:r>
            <w:r/>
          </w:p>
        </w:tc>
        <w:tc>
          <w:tcPr>
            <w:tcBorders/>
            <w:tcW w:w="1605" w:type="dxa"/>
            <w:vAlign w:val="center"/>
            <w:textDirection w:val="lrTb"/>
            <w:noWrap w:val="false"/>
          </w:tcPr>
          <w:p>
            <w:pPr>
              <w:pBdr/>
              <w:spacing/>
              <w:ind/>
              <w:jc w:val="center"/>
              <w:rPr/>
            </w:pPr>
            <w:r>
              <w:t xml:space="preserve">Đường nhựa có vỉa hè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10</w:t>
            </w:r>
            <w:r/>
          </w:p>
        </w:tc>
        <w:tc>
          <w:tcPr>
            <w:tcBorders/>
            <w:tcW w:w="1605" w:type="dxa"/>
            <w:vAlign w:val="center"/>
            <w:textDirection w:val="lrTb"/>
            <w:noWrap w:val="false"/>
          </w:tcPr>
          <w:p>
            <w:pPr>
              <w:pBdr/>
              <w:spacing/>
              <w:ind/>
              <w:jc w:val="center"/>
              <w:rPr/>
            </w:pPr>
            <w:r>
              <w:t xml:space="preserve">10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Hạ tầng khu dân cư thông thường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146.48 ✔</w:t>
            </w:r>
            <w:r/>
          </w:p>
        </w:tc>
        <w:tc>
          <w:tcPr>
            <w:tcBorders/>
            <w:tcW w:w="1605" w:type="dxa"/>
            <w:vAlign w:val="center"/>
            <w:textDirection w:val="lrTb"/>
            <w:noWrap w:val="false"/>
          </w:tcPr>
          <w:p>
            <w:pPr>
              <w:pBdr/>
              <w:spacing/>
              <w:ind/>
              <w:jc w:val="center"/>
              <w:rPr/>
            </w:pPr>
            <w:r>
              <w:t xml:space="preserve">180</w:t>
            </w:r>
            <w:r/>
          </w:p>
        </w:tc>
        <w:tc>
          <w:tcPr>
            <w:tcBorders/>
            <w:tcW w:w="1371" w:type="dxa"/>
            <w:vAlign w:val="center"/>
            <w:textDirection w:val="lrTb"/>
            <w:noWrap w:val="false"/>
          </w:tcPr>
          <w:p>
            <w:pPr>
              <w:pBdr/>
              <w:spacing/>
              <w:ind/>
              <w:jc w:val="center"/>
              <w:rPr/>
            </w:pPr>
            <w:r>
              <w:t xml:space="preserve">33.5</w:t>
            </w:r>
            <w:r/>
          </w:p>
        </w:tc>
        <w:tc>
          <w:tcPr>
            <w:tcBorders/>
            <w:tcW w:w="2149" w:type="dxa"/>
            <w:vAlign w:val="center"/>
            <w:textDirection w:val="lrTb"/>
            <w:noWrap w:val="false"/>
          </w:tcPr>
          <w:p>
            <w:pPr>
              <w:pBdr/>
              <w:spacing/>
              <w:ind/>
              <w:jc w:val="center"/>
              <w:rPr/>
            </w:pPr>
            <w:r>
              <w:t xml:space="preserve">Có quy hoạch</w:t>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11.5</w:t>
            </w:r>
            <w:r/>
          </w:p>
        </w:tc>
        <w:tc>
          <w:tcPr>
            <w:tcBorders/>
            <w:tcW w:w="1605" w:type="dxa"/>
            <w:vAlign w:val="center"/>
            <w:textDirection w:val="lrTb"/>
            <w:noWrap w:val="false"/>
          </w:tcPr>
          <w:p>
            <w:pPr>
              <w:pBdr/>
              <w:spacing/>
              <w:ind/>
              <w:jc w:val="center"/>
              <w:rPr/>
            </w:pPr>
            <w:r>
              <w:t xml:space="preserve">11.5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12.74</w:t>
            </w:r>
            <w:r/>
          </w:p>
        </w:tc>
        <w:tc>
          <w:tcPr>
            <w:tcBorders/>
            <w:tcW w:w="1605" w:type="dxa"/>
            <w:vAlign w:val="center"/>
            <w:textDirection w:val="lrTb"/>
            <w:noWrap w:val="false"/>
          </w:tcPr>
          <w:p>
            <w:pPr>
              <w:pBdr/>
              <w:spacing/>
              <w:ind/>
              <w:jc w:val="center"/>
              <w:rPr/>
            </w:pPr>
            <w:r>
              <w:t xml:space="preserve">15 ✔</w:t>
            </w:r>
            <w:r/>
          </w:p>
        </w:tc>
        <w:tc>
          <w:tcPr>
            <w:tcBorders/>
            <w:tcW w:w="1371" w:type="dxa"/>
            <w:vAlign w:val="center"/>
            <w:textDirection w:val="lrTb"/>
            <w:noWrap w:val="false"/>
          </w:tcPr>
          <w:p>
            <w:pPr>
              <w:pBdr/>
              <w:spacing/>
              <w:ind/>
              <w:jc w:val="center"/>
              <w:rPr/>
            </w:pPr>
            <w:r>
              <w:t xml:space="preserve">2.3</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Tương đối vuông vức</w:t>
            </w:r>
            <w:r/>
          </w:p>
        </w:tc>
        <w:tc>
          <w:tcPr>
            <w:tcBorders/>
            <w:tcW w:w="1605" w:type="dxa"/>
            <w:vAlign w:val="center"/>
            <w:textDirection w:val="lrTb"/>
            <w:noWrap w:val="false"/>
          </w:tcPr>
          <w:p>
            <w:pPr>
              <w:pBdr/>
              <w:spacing/>
              <w:ind/>
              <w:jc w:val="center"/>
              <w:rPr/>
            </w:pPr>
            <w:r>
              <w:t xml:space="preserve">Hình chữ nhật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Đông Bắc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t xml:space="preserve">Tốt</w:t>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19</w:t>
            </w:r>
            <w:r/>
          </w:p>
        </w:tc>
        <w:tc>
          <w:tcPr>
            <w:tcBorders/>
            <w:tcW w:w="1663" w:type="dxa"/>
            <w:vAlign w:val="center"/>
            <w:textDirection w:val="lrTb"/>
            <w:noWrap w:val="false"/>
          </w:tcPr>
          <w:p>
            <w:pPr>
              <w:pBdr/>
              <w:spacing/>
              <w:ind/>
              <w:jc w:val="center"/>
              <w:rPr/>
            </w:pPr>
            <w:r>
              <w:t xml:space="preserve">Khả năng chuyển nhượng</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Style w:val="85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p>
    <w:p>
      <w:pPr>
        <w:pStyle w:val="856"/>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p>
    <w:p>
      <w:pPr>
        <w:pStyle w:val="856"/>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p>
    <w:p>
      <w:pPr>
        <w:pStyle w:val="856"/>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p>
    <w:p>
      <w:pPr>
        <w:pStyle w:val="856"/>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p>
    <w:p>
      <w:pPr>
        <w:pStyle w:val="856"/>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p>
    <w:p>
      <w:pPr>
        <w:pStyle w:val="856"/>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p>
    <w:p>
      <w:pPr>
        <w:pStyle w:val="856"/>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p>
    <w:p>
      <w:pPr>
        <w:pStyle w:val="856"/>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p>
    <w:p>
      <w:pPr>
        <w:pStyle w:val="856"/>
        <w:numPr>
          <w:ilvl w:val="0"/>
          <w:numId w:val="3"/>
        </w:numPr>
        <w:pBdr/>
        <w:spacing w:after="120" w:before="120" w:line="276" w:lineRule="auto"/>
        <w:ind/>
        <w:jc w:val="both"/>
        <w:rPr>
          <w:lang w:val="de-DE"/>
        </w:rPr>
      </w:pPr>
      <w:r>
        <w:rPr>
          <w:spacing w:val="-4"/>
          <w:lang w:val="pt-BR"/>
        </w:rPr>
        <w:t xml:space="preserve">Đối</w:t>
      </w:r>
      <w:r>
        <w:rPr>
          <w:spacing w:val="-4"/>
          <w:lang w:val="pt-BR"/>
        </w:rPr>
        <w:t xml:space="preserve"> </w:t>
      </w:r>
      <w:r>
        <w:rPr>
          <w:spacing w:val="-4"/>
          <w:lang w:val="pt-BR"/>
        </w:rPr>
        <w:t xml:space="preserve">với</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tại</w:t>
      </w:r>
      <w:r>
        <w:rPr>
          <w:spacing w:val="-4"/>
          <w:lang w:val="pt-BR"/>
        </w:rPr>
        <w:t xml:space="preserve"> </w:t>
      </w:r>
      <w:r>
        <w:rPr>
          <w:spacing w:val="-4"/>
          <w:lang w:val="pt-BR"/>
        </w:rPr>
        <w:t xml:space="preserve">thời</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qua</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nhận</w:t>
      </w:r>
      <w:r>
        <w:rPr>
          <w:spacing w:val="-4"/>
          <w:lang w:val="pt-BR"/>
        </w:rPr>
        <w:t xml:space="preserve"> </w:t>
      </w:r>
      <w:r>
        <w:rPr>
          <w:spacing w:val="-4"/>
          <w:lang w:val="pt-BR"/>
        </w:rPr>
        <w:t xml:space="preserve">thấy</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hầu</w:t>
      </w:r>
      <w:r>
        <w:rPr>
          <w:spacing w:val="-4"/>
          <w:lang w:val="pt-BR"/>
        </w:rPr>
        <w:t xml:space="preserve"> </w:t>
      </w:r>
      <w:r>
        <w:rPr>
          <w:spacing w:val="-4"/>
          <w:lang w:val="pt-BR"/>
        </w:rPr>
        <w:t xml:space="preserve">như</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phát</w:t>
      </w:r>
      <w:r>
        <w:rPr>
          <w:spacing w:val="-4"/>
          <w:lang w:val="pt-BR"/>
        </w:rPr>
        <w:t xml:space="preserve"> </w:t>
      </w:r>
      <w:r>
        <w:rPr>
          <w:spacing w:val="-4"/>
          <w:lang w:val="pt-BR"/>
        </w:rPr>
        <w:t xml:space="preserve">sinh</w:t>
      </w:r>
      <w:r>
        <w:rPr>
          <w:spacing w:val="-4"/>
          <w:lang w:val="pt-BR"/>
        </w:rPr>
        <w:t xml:space="preserve"> </w:t>
      </w:r>
      <w:r>
        <w:rPr>
          <w:spacing w:val="-4"/>
          <w:lang w:val="pt-BR"/>
        </w:rPr>
        <w:t xml:space="preserve">các</w:t>
      </w:r>
      <w:r>
        <w:rPr>
          <w:spacing w:val="-4"/>
          <w:lang w:val="pt-BR"/>
        </w:rPr>
        <w:t xml:space="preserve"> </w:t>
      </w:r>
      <w:r>
        <w:rPr>
          <w:spacing w:val="-4"/>
          <w:lang w:val="pt-BR"/>
        </w:rPr>
        <w:t xml:space="preserve">giao</w:t>
      </w:r>
      <w:r>
        <w:rPr>
          <w:spacing w:val="-4"/>
          <w:lang w:val="pt-BR"/>
        </w:rPr>
        <w:t xml:space="preserve"> </w:t>
      </w:r>
      <w:r>
        <w:rPr>
          <w:spacing w:val="-4"/>
          <w:lang w:val="pt-BR"/>
        </w:rPr>
        <w:t xml:space="preserve">dịch</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tương</w:t>
      </w:r>
      <w:r>
        <w:rPr>
          <w:spacing w:val="-4"/>
          <w:lang w:val="pt-BR"/>
        </w:rPr>
        <w:t xml:space="preserve"> </w:t>
      </w:r>
      <w:r>
        <w:rPr>
          <w:spacing w:val="-4"/>
          <w:lang w:val="pt-BR"/>
        </w:rPr>
        <w:t xml:space="preserve">tự</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Vì</w:t>
      </w:r>
      <w:r>
        <w:rPr>
          <w:spacing w:val="-4"/>
          <w:lang w:val="pt-BR"/>
        </w:rPr>
        <w:t xml:space="preserve"> </w:t>
      </w:r>
      <w:r>
        <w:rPr>
          <w:spacing w:val="-4"/>
          <w:lang w:val="pt-BR"/>
        </w:rPr>
        <w:t xml:space="preserve">vậy</w:t>
      </w:r>
      <w:r>
        <w:rPr>
          <w:spacing w:val="-4"/>
          <w:lang w:val="pt-BR"/>
        </w:rPr>
        <w:t xml:space="preserve">, do </w:t>
      </w:r>
      <w:r>
        <w:rPr>
          <w:spacing w:val="-4"/>
          <w:lang w:val="pt-BR"/>
        </w:rPr>
        <w:t xml:space="preserve">hạn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về</w:t>
      </w:r>
      <w:r>
        <w:rPr>
          <w:spacing w:val="-4"/>
          <w:lang w:val="pt-BR"/>
        </w:rPr>
        <w:t xml:space="preserve"> </w:t>
      </w:r>
      <w:r>
        <w:rPr>
          <w:spacing w:val="-4"/>
          <w:lang w:val="pt-BR"/>
        </w:rPr>
        <w:t xml:space="preserve">mặt</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chưa</w:t>
      </w:r>
      <w:r>
        <w:rPr>
          <w:spacing w:val="-4"/>
          <w:lang w:val="pt-BR"/>
        </w:rPr>
        <w:t xml:space="preserve"> </w:t>
      </w:r>
      <w:r>
        <w:rPr>
          <w:spacing w:val="-4"/>
          <w:lang w:val="pt-BR"/>
        </w:rPr>
        <w:t xml:space="preserve">có</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tính</w:t>
      </w:r>
      <w:r>
        <w:rPr>
          <w:spacing w:val="-4"/>
          <w:lang w:val="pt-BR"/>
        </w:rPr>
        <w:t xml:space="preserve"> </w:t>
      </w:r>
      <w:r>
        <w:rPr>
          <w:spacing w:val="-4"/>
          <w:lang w:val="pt-BR"/>
        </w:rPr>
        <w:t xml:space="preserve">toán</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dựa</w:t>
      </w:r>
      <w:r>
        <w:rPr>
          <w:spacing w:val="-4"/>
          <w:lang w:val="pt-BR"/>
        </w:rPr>
        <w:t xml:space="preserve"> </w:t>
      </w:r>
      <w:r>
        <w:rPr>
          <w:spacing w:val="-4"/>
          <w:lang w:val="pt-BR"/>
        </w:rPr>
        <w:t xml:space="preserve">trên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Ngoài</w:t>
      </w:r>
      <w:r>
        <w:rPr>
          <w:spacing w:val="-4"/>
          <w:lang w:val="pt-BR"/>
        </w:rPr>
        <w:t xml:space="preserve"> </w:t>
      </w:r>
      <w:r>
        <w:rPr>
          <w:spacing w:val="-4"/>
          <w:lang w:val="pt-BR"/>
        </w:rPr>
        <w:t xml:space="preserve">ra</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cũng</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được</w:t>
      </w:r>
      <w:r>
        <w:rPr>
          <w:spacing w:val="-4"/>
          <w:lang w:val="pt-BR"/>
        </w:rPr>
        <w:t xml:space="preserve"> </w:t>
      </w:r>
      <w:r>
        <w:rPr>
          <w:spacing w:val="-4"/>
          <w:lang w:val="pt-BR"/>
        </w:rPr>
        <w:t xml:space="preserve">cung</w:t>
      </w:r>
      <w:r>
        <w:rPr>
          <w:spacing w:val="-4"/>
          <w:lang w:val="pt-BR"/>
        </w:rPr>
        <w:t xml:space="preserve"> </w:t>
      </w:r>
      <w:r>
        <w:rPr>
          <w:spacing w:val="-4"/>
          <w:lang w:val="pt-BR"/>
        </w:rPr>
        <w:t xml:space="preserve">cấp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hay</w:t>
      </w:r>
      <w:r>
        <w:rPr>
          <w:spacing w:val="-4"/>
          <w:lang w:val="pt-BR"/>
        </w:rPr>
        <w:t xml:space="preserve"> </w:t>
      </w:r>
      <w:r>
        <w:rPr>
          <w:spacing w:val="-4"/>
          <w:lang w:val="pt-BR"/>
        </w:rPr>
        <w:t xml:space="preserve">có</w:t>
      </w:r>
      <w:r>
        <w:rPr>
          <w:spacing w:val="-4"/>
          <w:lang w:val="pt-BR"/>
        </w:rPr>
        <w:t xml:space="preserve"> </w:t>
      </w:r>
      <w:r>
        <w:rPr>
          <w:spacing w:val="-4"/>
          <w:lang w:val="pt-BR"/>
        </w:rPr>
        <w:t xml:space="preserve">đủ</w:t>
      </w:r>
      <w:r>
        <w:rPr>
          <w:spacing w:val="-4"/>
          <w:lang w:val="pt-BR"/>
        </w:rPr>
        <w:t xml:space="preserve"> </w:t>
      </w:r>
      <w:r>
        <w:rPr>
          <w:spacing w:val="-4"/>
          <w:lang w:val="pt-BR"/>
        </w:rPr>
        <w:t xml:space="preserve">dữ</w:t>
      </w:r>
      <w:r>
        <w:rPr>
          <w:spacing w:val="-4"/>
          <w:lang w:val="pt-BR"/>
        </w:rPr>
        <w:t xml:space="preserve"> </w:t>
      </w:r>
      <w:r>
        <w:rPr>
          <w:spacing w:val="-4"/>
          <w:lang w:val="pt-BR"/>
        </w:rPr>
        <w:t xml:space="preserve">liệu</w:t>
      </w:r>
      <w:r>
        <w:rPr>
          <w:spacing w:val="-4"/>
          <w:lang w:val="pt-BR"/>
        </w:rPr>
        <w:t xml:space="preserve"> </w:t>
      </w:r>
      <w:r>
        <w:rPr>
          <w:spacing w:val="-4"/>
          <w:lang w:val="pt-BR"/>
        </w:rPr>
        <w:t xml:space="preserve">để</w:t>
      </w:r>
      <w:r>
        <w:rPr>
          <w:spacing w:val="-4"/>
          <w:lang w:val="pt-BR"/>
        </w:rPr>
        <w:t xml:space="preserve"> </w:t>
      </w:r>
      <w:r>
        <w:rPr>
          <w:spacing w:val="-4"/>
          <w:lang w:val="pt-BR"/>
        </w:rPr>
        <w:t xml:space="preserve">đánh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theo</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thu</w:t>
      </w:r>
      <w:r>
        <w:rPr>
          <w:spacing w:val="-4"/>
          <w:lang w:val="pt-BR"/>
        </w:rPr>
        <w:t xml:space="preserve"> </w:t>
      </w:r>
      <w:r>
        <w:rPr>
          <w:spacing w:val="-4"/>
          <w:lang w:val="pt-BR"/>
        </w:rPr>
        <w:t xml:space="preserve">nhập</w:t>
      </w:r>
      <w:r>
        <w:rPr>
          <w:spacing w:val="-4"/>
          <w:lang w:val="pt-BR"/>
        </w:rPr>
        <w:t xml:space="preserve">. Do </w:t>
      </w:r>
      <w:r>
        <w:rPr>
          <w:spacing w:val="-4"/>
          <w:lang w:val="pt-BR"/>
        </w:rPr>
        <w:t xml:space="preserve">vậy</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thay</w:t>
      </w:r>
      <w:r>
        <w:rPr>
          <w:spacing w:val="-4"/>
          <w:lang w:val="pt-BR"/>
        </w:rPr>
        <w:t xml:space="preserve"> </w:t>
      </w:r>
      <w:r>
        <w:rPr>
          <w:spacing w:val="-4"/>
          <w:lang w:val="pt-BR"/>
        </w:rPr>
        <w:t xml:space="preserve">thế</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và</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2"/>
          <w:lang w:val="pt-BR"/>
        </w:rPr>
        <w:t xml:space="preserve">.</w:t>
      </w:r>
      <w:r>
        <w:rPr>
          <w:lang w:val="de-DE"/>
        </w:rPr>
      </w:r>
    </w:p>
    <w:p>
      <w:pPr>
        <w:pStyle w:val="85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p>
    <w:p>
      <w:pPr>
        <w:pStyle w:val="856"/>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p>
    <w:p>
      <w:pPr>
        <w:pStyle w:val="856"/>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p>
    <w:p>
      <w:pPr>
        <w:pStyle w:val="856"/>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Đại Thịnh, Huyện Mê Linh, Thành phố Hà Nội</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Đường Quốc lộ 23B, Thị trấn Quang Minh, Huyện Mê Linh, Thành phố Hà Nội</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Quang Minh, Thành phố Hà Nội</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Quang Minh, Thành phố Hà Nội</w:t>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https://www.facebook.com/share/p/1Bz7aQ5fPG/</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https://www.facebook.com/groups/852261119046020/permalink/1618007625804695/?rdid=dHSCecvdqiKxb8na#</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0941893600</w:t>
            </w:r>
            <w:r>
              <w:rPr>
                <w:sz w:val="22"/>
                <w:szCs w:val="22"/>
              </w:rPr>
              <w:t xml:space="preserve"> </w:t>
            </w:r>
            <w:r>
              <w:rPr>
                <w:sz w:val="22"/>
                <w:szCs w:val="22"/>
              </w:rPr>
              <w:br/>
              <w:t xml:space="preserve">(</w:t>
            </w:r>
            <w:r>
              <w:rPr>
                <w:sz w:val="22"/>
                <w:szCs w:val="22"/>
              </w:rPr>
              <w:t xml:space="preserve">Chị Phạm Hiền</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0946738656</w:t>
            </w:r>
            <w:r>
              <w:rPr>
                <w:sz w:val="22"/>
                <w:szCs w:val="22"/>
              </w:rPr>
              <w:br/>
            </w:r>
            <w:r>
              <w:rPr>
                <w:sz w:val="22"/>
                <w:szCs w:val="22"/>
              </w:rPr>
              <w:t xml:space="preserve">(</w:t>
            </w:r>
            <w:r>
              <w:rPr>
                <w:sz w:val="22"/>
                <w:szCs w:val="22"/>
              </w:rPr>
              <w:t xml:space="preserve">Anh Đanh</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0336.550.596</w:t>
            </w:r>
            <w:r>
              <w:rPr>
                <w:sz w:val="22"/>
                <w:szCs w:val="22"/>
              </w:rPr>
              <w:br/>
            </w:r>
            <w:r>
              <w:rPr>
                <w:sz w:val="22"/>
                <w:szCs w:val="22"/>
              </w:rPr>
              <w:t xml:space="preserve">(</w:t>
            </w:r>
            <w:r>
              <w:rPr>
                <w:sz w:val="22"/>
                <w:szCs w:val="22"/>
              </w:rPr>
              <w:t xml:space="preserve">Anh Thái</w:t>
            </w:r>
            <w:r>
              <w:rPr>
                <w:sz w:val="22"/>
                <w:szCs w:val="22"/>
              </w:rPr>
              <w:t xml:space="preserve">)</w:t>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Đại Thịnh, Huyện Mê Linh, Thành phố Hà Nội, đường Đường QL 23B, độ rộng đường trước mặt tài sản 10m, mặt tiền 11.5m, 21.17511111111111, 105.73183333333334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Đường Quốc lộ 23B, Thị trấn Quang Minh, Huyện Mê Linh, Thành phố Hà Nội, đường Tài sản tiếp giáp QL23, cách UBND xã Quang Minh khoảng 2km, độ rộng đường trước mặt tài sản 10m, mặt tiền 4.4m, 21.17445274421056, 105.73274750264484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Quang Minh, Thành phố Hà Nội, độ rộng đường trước mặt tài sản 10m, đường xe máy lưu thông nhỏ hơn 2.5m, mặt tiền 6m, 21.177666522057265, 105.72925771163392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Quang Minh, Thành phố Hà Nội, độ rộng đường trước mặt tài sản 1m, mặt tiền 5m, 21.204580791221026, 105.70751973115074</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146.48</w:t>
              <w:br/>
              <w:t xml:space="preserve">(QH: 33.52)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19.55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18.83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đường trước sau</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Nở hậu</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Hiện trạng môi trường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Khả năng chuyển nhượng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12.500.000.000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14.250.000.000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7.000.000.000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11.250.000.000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12.825.000.000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6.300.000.000</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tầng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sàn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12.500.000.000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14.250.000.000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7.000.000.000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11.250.000.000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12.825.000.000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6.300.000.000</w:t>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11.250.000.000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12.825.000.000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6.300.000.000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117.189.405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113.495.575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82.770.894</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cho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cho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cho sử dụng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Hiện trạng môi trường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Khả năng chuyển nhượng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Pháp lý, diện tích, hình dáng, lợi thế, bất lợi thửa đất, lợi thế thương mại, môi trường…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Pháp lý, diện tích, hình dáng, lợi thế, bất lợi thửa đất, lợi thế thương mại, môi trường…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Pháp lý, diện tích, hình dáng, lợi thế, bất lợi thửa đất, lợi thế thương mại, môi trường…</w:t>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p>
    <w:p>
      <w:pPr>
        <w:pStyle w:val="856"/>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10.078.288.872</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12.825.000.000</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6.207.817.035</w:t>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117.189.405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113.495.575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82.770.894</w:t>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117.189.405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113.495.575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82.770.894</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117.189.405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113.495.575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82.770.894</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117.189.405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113.495.575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82.770.894</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Đại Thịnh, Huyện Mê Linh, Thành phố Hà Nội, đường Đường QL 23B, độ rộng đường trước mặt tài sản 10m, mặt tiền 11.5m, 21.17511111111111, 105.73183333333334</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Đường Quốc lộ 23B, Thị trấn Quang Minh, Huyện Mê Linh, Thành phố Hà Nội, đường Tài sản tiếp giáp QL23, cách UBND xã Quang Minh khoảng 2km, độ rộng đường trước mặt tài sản 10m, mặt tiền 4.4m, 21.17445274421056, 105.73274750264484</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Quang Minh, Thành phố Hà Nội, độ rộng đường trước mặt tài sản 10m, đường xe máy lưu thông nhỏ hơn 2.5m, mặt tiền 6m, 21.177666522057265, 105.72925771163392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Quang Minh, Thành phố Hà Nội, độ rộng đường trước mặt tài sản 1m, mặt tiền 5m, 21.204580791221026, 105.70751973115074</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4.138.545</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117.189.405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113.495.575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86.909.439</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117.189.405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113.495.575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86.909.439</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117.189.405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113.495.575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86.909.439</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117.189.405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113.495.575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86.909.439</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117.189.405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113.495.575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86.909.439</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146.48</w:t>
              <w:br/>
              <w:t xml:space="preserve">(QH: 33.52)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86</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113</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75</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-8.203.258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-5.674.779</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-6.621.672</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108.986.147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107.820.796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80.287.767</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4.4</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8.203.258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3.404.867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4.138.545</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117.189.405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111.225.663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84.426.312</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19.55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18.83</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117.189.405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111.225.663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84.426.312</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đường trước sau</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-14.062.729</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103.126.676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111.225.663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84.426.312</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C.13</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Nở hậu</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-7.944.690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103.126.676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103.280.973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84.426.312</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C.14</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5.793.963</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103.126.676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103.280.973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90.220.275</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C.15</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Hiện trạng môi trường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Bình thường</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Bình thường</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Bình thường</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Bình thường</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103.126.676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103.280.973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90.220.275</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C.16</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Khả năng chuyển nhượng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103.126.676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103.280.973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90.220.275</w:t>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103.126.676</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103.280.973</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90.220.275</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98.875.975</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4.3%</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4.46%</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-8.75%</w:t>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30.469.245</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17.024.336</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20.692.725</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- 12%%</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- 7%%</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- 8%%</w:t>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14.062.729</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10.214.602</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7.449.381</w:t>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-8.75</w:t>
      </w:r>
      <w:r>
        <w:t xml:space="preserve">% </w:t>
      </w:r>
      <w:r>
        <w:t xml:space="preserve">đến</w:t>
      </w:r>
      <w:r>
        <w:t xml:space="preserve"> </w:t>
      </w:r>
      <w:r>
        <w:t xml:space="preserve"> </w:t>
      </w:r>
      <w:r>
        <w:t xml:space="preserve">4.46</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103.126.676</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35</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36.094.337</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103.280.973</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35</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36.148.341</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90.220.275</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30</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27.066.083</w:t>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99.308.761</w:t>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99.000.000</w:t>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99.000.000</w:t>
      </w:r>
      <w:r>
        <w:rPr>
          <w:b/>
          <w:bCs/>
          <w:color w:val="000000" w:themeColor="text1"/>
        </w:rPr>
        <w:t xml:space="preserve"> </w:t>
      </w:r>
      <w:r>
        <w:rPr>
          <w:b/>
          <w:bCs/>
        </w:rPr>
        <w:t xml:space="preserve">đồng</w:t>
      </w:r>
      <w:r>
        <w:rPr>
          <w:b/>
          <w:bCs/>
        </w:rPr>
        <w:t xml:space="preserve">/m².</w:t>
      </w:r>
      <w:r>
        <w:rPr>
          <w:b/>
          <w:bCs/>
        </w:rPr>
      </w:r>
    </w:p>
    <w:p>
      <w:pPr>
        <w:pStyle w:val="856"/>
        <w:numPr>
          <w:ilvl w:val="0"/>
          <w:numId w:val="26"/>
        </w:numPr>
        <w:pBdr/>
        <w:spacing w:after="120" w:before="120" w:line="276" w:lineRule="auto"/>
        <w:ind w:hanging="357" w:left="357"/>
        <w:jc w:val="both"/>
        <w:rPr>
          <w:b/>
          <w:bCs/>
        </w:rPr>
      </w:pPr>
      <w:r>
        <w:rPr>
          <w:b/>
          <w:bCs/>
        </w:rPr>
        <w:t xml:space="preserve">Xác</w:t>
      </w:r>
      <w:r>
        <w:rPr>
          <w:b/>
          <w:bCs/>
        </w:rPr>
        <w:t xml:space="preserve"> </w:t>
      </w:r>
      <w:r>
        <w:rPr>
          <w:b/>
          <w:bCs/>
        </w:rPr>
        <w:t xml:space="preserve">định</w:t>
      </w:r>
      <w:r>
        <w:rPr>
          <w:b/>
          <w:bCs/>
        </w:rPr>
        <w:t xml:space="preserve"> </w:t>
      </w:r>
      <w:r>
        <w:rPr>
          <w:b/>
          <w:bCs/>
        </w:rPr>
        <w:t xml:space="preserve">giá</w:t>
      </w:r>
      <w:r>
        <w:rPr>
          <w:b/>
          <w:bCs/>
        </w:rPr>
        <w:t xml:space="preserve"> </w:t>
      </w:r>
      <w:r>
        <w:rPr>
          <w:b/>
          <w:bCs/>
        </w:rPr>
        <w:t xml:space="preserve">trị</w:t>
      </w:r>
      <w:r>
        <w:rPr>
          <w:b/>
          <w:bCs/>
        </w:rPr>
        <w:t xml:space="preserve"> </w:t>
      </w:r>
      <w:r>
        <w:rPr>
          <w:b/>
          <w:bCs/>
        </w:rPr>
        <w:t xml:space="preserve">tài</w:t>
      </w:r>
      <w:r>
        <w:rPr>
          <w:b/>
          <w:bCs/>
        </w:rPr>
        <w:t xml:space="preserve"> </w:t>
      </w:r>
      <w:r>
        <w:rPr>
          <w:b/>
          <w:bCs/>
        </w:rPr>
        <w:t xml:space="preserve">sản</w:t>
      </w:r>
      <w:r>
        <w:rPr>
          <w:b/>
          <w:bCs/>
        </w:rPr>
        <w:t xml:space="preserve"> </w:t>
      </w:r>
      <w:r>
        <w:rPr>
          <w:b/>
          <w:bCs/>
        </w:rPr>
        <w:t xml:space="preserve">gắn</w:t>
      </w:r>
      <w:r>
        <w:rPr>
          <w:b/>
          <w:bCs/>
        </w:rPr>
        <w:t xml:space="preserve"> </w:t>
      </w:r>
      <w:r>
        <w:rPr>
          <w:b/>
          <w:bCs/>
        </w:rPr>
        <w:t xml:space="preserve">liền</w:t>
      </w:r>
      <w:r>
        <w:rPr>
          <w:b/>
          <w:bCs/>
        </w:rPr>
        <w:t xml:space="preserve"> </w:t>
      </w:r>
      <w:r>
        <w:rPr>
          <w:b/>
          <w:bCs/>
        </w:rPr>
        <w:t xml:space="preserve">với</w:t>
      </w:r>
      <w:r>
        <w:rPr>
          <w:b/>
          <w:bCs/>
        </w:rPr>
        <w:t xml:space="preserve"> </w:t>
      </w:r>
      <w:r>
        <w:rPr>
          <w:b/>
          <w:bCs/>
        </w:rPr>
        <w:t xml:space="preserve">đất</w:t>
      </w:r>
      <w:r>
        <w:rPr>
          <w:b/>
          <w:bCs/>
        </w:rPr>
      </w:r>
    </w:p>
    <w:p>
      <w:pPr>
        <w:pStyle w:val="856"/>
        <w:pBdr/>
        <w:spacing w:after="120" w:before="120" w:line="276" w:lineRule="auto"/>
        <w:ind w:left="357"/>
        <w:jc w:val="both"/>
        <w:rPr>
          <w:b/>
          <w:lang w:val="pt-BR"/>
        </w:rPr>
      </w:pPr>
      <w:r>
        <w:rPr>
          <w:b/>
          <w:lang w:val="pt-BR"/>
        </w:rPr>
      </w:r>
      <w:r>
        <w:rPr>
          <w:b/>
          <w:lang w:val="pt-BR"/>
        </w:rPr>
      </w:r>
    </w:p>
    <w:p>
      <w:pPr>
        <w:pStyle w:val="856"/>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p>
    <w:p>
      <w:pPr>
        <w:pStyle w:val="856"/>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02/2026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p>
      <w:pPr>
        <w:pStyle w:val="856"/>
        <w:pBdr/>
        <w:tabs>
          <w:tab w:val="left" w:leader="none" w:pos="993"/>
        </w:tabs>
        <w:spacing w:after="120" w:before="120" w:line="276" w:lineRule="auto"/>
        <w:ind w:left="0"/>
        <w:jc w:val="both"/>
        <w:rPr/>
      </w:pPr>
      <w:r/>
      <w:r/>
    </w:p>
    <w:p>
      <w:pPr>
        <w:pStyle w:val="856"/>
        <w:pBdr/>
        <w:tabs>
          <w:tab w:val="left" w:leader="none" w:pos="993"/>
        </w:tabs>
        <w:spacing w:after="120" w:before="120" w:line="276" w:lineRule="auto"/>
        <w:ind w:left="0"/>
        <w:jc w:val="both"/>
        <w:rPr/>
      </w:pP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val="0"/>
                <w:bCs w:val="0"/>
              </w:rPr>
            </w:pPr>
            <w:r>
              <w:rPr>
                <w:color w:val="000000"/>
              </w:rPr>
            </w:r>
            <w:r>
              <w:rPr>
                <w:rFonts w:ascii="Times New Roman" w:hAnsi="Times New Roman" w:eastAsia="Times New Roman" w:cs="Times New Roman"/>
                <w:b w:val="0"/>
                <w:bCs w:val="0"/>
                <w:color w:val="000000"/>
                <w:sz w:val="24"/>
              </w:rPr>
              <w:t xml:space="preserve">Quyền sử dụng đất tại thửa đất số: 4</w:t>
            </w:r>
            <w:r>
              <w:rPr>
                <w:rFonts w:ascii="Times New Roman" w:hAnsi="Times New Roman" w:eastAsia="Times New Roman" w:cs="Times New Roman"/>
                <w:b w:val="0"/>
                <w:bCs w:val="0"/>
                <w:color w:val="000000"/>
                <w:sz w:val="20"/>
                <w:vertAlign w:val="superscript"/>
              </w:rPr>
              <w:t xml:space="preserve">a</w:t>
            </w:r>
            <w:r>
              <w:rPr>
                <w:rFonts w:ascii="Times New Roman" w:hAnsi="Times New Roman" w:eastAsia="Times New Roman" w:cs="Times New Roman"/>
                <w:b w:val="0"/>
                <w:bCs w:val="0"/>
                <w:color w:val="000000"/>
                <w:sz w:val="24"/>
              </w:rPr>
              <w:t xml:space="preserve">, tờ bản đồ số: 26 có địa chỉ: K9 Thường Lệ, Đại Thịnh, huyện Mê Linh, tỉnh Vĩnh Phúc (nay là xã Quang Minh, thành phố Hà Nội)  theo Giấy chứng nhận quyền sử dụng đất số: G 443584, số vào sổ cấp GCN: 1108QSDĐ do UBND huyện Mê Linh cấp ngày 02/7/1996 cho ôn</w:t>
            </w:r>
            <w:r>
              <w:rPr>
                <w:rFonts w:ascii="Times New Roman" w:hAnsi="Times New Roman" w:eastAsia="Times New Roman" w:cs="Times New Roman"/>
                <w:b w:val="0"/>
                <w:bCs w:val="0"/>
                <w:color w:val="000000"/>
                <w:sz w:val="24"/>
              </w:rPr>
              <w:t xml:space="preserve">g Trịnh Minh Tỉnh</w:t>
            </w:r>
            <w:r>
              <w:rPr>
                <w:b w:val="0"/>
                <w:bCs w:val="0"/>
                <w:i/>
                <w:iCs/>
              </w:rPr>
              <w:t xml:space="preserve">.</w:t>
            </w:r>
            <w:r>
              <w:rPr>
                <w:b w:val="0"/>
                <w:bCs w:val="0"/>
                <w:color w:val="000000"/>
              </w:rPr>
            </w:r>
            <w:r>
              <w:rPr>
                <w:b w:val="0"/>
                <w:bCs w:val="0"/>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ở tại đô thị</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146.48</w:t>
              <w:br/>
              <w:t xml:space="preserve">33.52(QH)</w:t>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76.000.000</w:t>
              <w:br/>
              <w:t xml:space="preserve">22.500.000(QH)</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11.132.480.000</w:t>
              <w:br/>
              <w:t xml:space="preserve">754.200.000(QH)</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11.886.680.000</w:t>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11.886.700.000</w:t>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Mười một tỷ tám trăm tám mươi sáu triệu bảy trăm nghìn</w:t>
            </w:r>
            <w:r>
              <w:rPr>
                <w:b/>
                <w:bCs/>
                <w:i/>
                <w:iCs/>
                <w:color w:val="000000"/>
              </w:rPr>
              <w:t xml:space="preserve">./.)</w:t>
            </w:r>
            <w:r>
              <w:rPr>
                <w:b/>
                <w:bCs/>
                <w:i/>
                <w:iCs/>
                <w:color w:val="000000"/>
              </w:rPr>
            </w:r>
          </w:p>
        </w:tc>
      </w:tr>
    </w:tbl>
    <w:p>
      <w:pPr>
        <w:pStyle w:val="85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p>
    <w:p>
      <w:pPr>
        <w:pStyle w:val="856"/>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p>
    <w:p>
      <w:pPr>
        <w:pStyle w:val="85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p>
    <w:p>
      <w:pPr>
        <w:pStyle w:val="856"/>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pPr>
        <w:pStyle w:val="856"/>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pPr>
        <w:pStyle w:val="856"/>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p>
    <w:p>
      <w:pPr>
        <w:pStyle w:val="85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p>
    <w:p>
      <w:pPr>
        <w:pStyle w:val="856"/>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p>
    <w:p>
      <w:pPr>
        <w:pStyle w:val="856"/>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p>
    <w:p>
      <w:pPr>
        <w:pStyle w:val="856"/>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p>
    <w:p>
      <w:pPr>
        <w:pStyle w:val="856"/>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p>
    <w:p>
      <w:pPr>
        <w:pStyle w:val="856"/>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p>
    <w:p>
      <w:pPr>
        <w:pStyle w:val="856"/>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p>
    <w:p>
      <w:pPr>
        <w:pStyle w:val="856"/>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w:t>
      </w:r>
      <w:r>
        <w:rPr>
          <w:bCs/>
          <w:spacing w:val="-2"/>
          <w:lang w:val="pt-BR"/>
        </w:rPr>
        <w:t xml:space="preserve"> </w:t>
      </w:r>
      <w:r>
        <w:rPr>
          <w:bCs/>
          <w:spacing w:val="-2"/>
          <w:lang w:val="pt-BR"/>
        </w:rPr>
        <w:t xml:space="preserve">ngày</w:t>
      </w:r>
      <w:r>
        <w:rPr>
          <w:bCs/>
          <w:spacing w:val="-2"/>
          <w:lang w:val="pt-BR"/>
        </w:rPr>
        <w:t xml:space="preserve"> </w:t>
      </w:r>
      <w:r>
        <w:rPr>
          <w:bCs/>
          <w:spacing w:val="-2"/>
          <w:lang w:val="pt-BR"/>
        </w:rPr>
        <w:t xml:space="preserve">phát</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chứng</w:t>
      </w:r>
      <w:r>
        <w:rPr>
          <w:bCs/>
          <w:spacing w:val="-2"/>
          <w:lang w:val="pt-BR"/>
        </w:rPr>
        <w:t xml:space="preserve"> </w:t>
      </w:r>
      <w:r>
        <w:rPr>
          <w:bCs/>
          <w:spacing w:val="-2"/>
          <w:lang w:val="pt-BR"/>
        </w:rPr>
        <w:t xml:space="preserve">thư</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không</w:t>
      </w:r>
      <w:r>
        <w:rPr>
          <w:bCs/>
          <w:spacing w:val="-2"/>
          <w:lang w:val="pt-BR"/>
        </w:rPr>
        <w:t xml:space="preserve"> </w:t>
      </w:r>
      <w:r>
        <w:rPr>
          <w:bCs/>
          <w:spacing w:val="-2"/>
          <w:lang w:val="pt-BR"/>
        </w:rPr>
        <w:t xml:space="preserve">nhận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trạng</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cơ</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có</w:t>
      </w:r>
      <w:r>
        <w:rPr>
          <w:bCs/>
          <w:spacing w:val="-2"/>
          <w:lang w:val="pt-BR"/>
        </w:rPr>
        <w:t xml:space="preserve"> </w:t>
      </w:r>
      <w:r>
        <w:rPr>
          <w:bCs/>
          <w:spacing w:val="-2"/>
          <w:lang w:val="pt-BR"/>
        </w:rPr>
        <w:t xml:space="preserve">chức</w:t>
      </w:r>
      <w:r>
        <w:rPr>
          <w:bCs/>
          <w:spacing w:val="-2"/>
          <w:lang w:val="pt-BR"/>
        </w:rPr>
        <w:t xml:space="preserve"> </w:t>
      </w:r>
      <w:r>
        <w:rPr>
          <w:bCs/>
          <w:spacing w:val="-2"/>
          <w:lang w:val="pt-BR"/>
        </w:rPr>
        <w:t xml:space="preserve">năng</w:t>
      </w:r>
      <w:r>
        <w:rPr>
          <w:bCs/>
          <w:spacing w:val="-2"/>
          <w:lang w:val="pt-BR"/>
        </w:rPr>
        <w:t xml:space="preserve">. Do </w:t>
      </w:r>
      <w:r>
        <w:rPr>
          <w:bCs/>
          <w:spacing w:val="-2"/>
          <w:lang w:val="pt-BR"/>
        </w:rPr>
        <w:t xml:space="preserve">vậy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xây</w:t>
      </w:r>
      <w:r>
        <w:rPr>
          <w:bCs/>
          <w:spacing w:val="-2"/>
          <w:lang w:val="pt-BR"/>
        </w:rPr>
        <w:t xml:space="preserve"> </w:t>
      </w:r>
      <w:r>
        <w:rPr>
          <w:bCs/>
          <w:spacing w:val="-2"/>
          <w:lang w:val="pt-BR"/>
        </w:rPr>
        <w:t xml:space="preserve">dựng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dựa</w:t>
      </w:r>
      <w:r>
        <w:rPr>
          <w:bCs/>
          <w:spacing w:val="-2"/>
          <w:lang w:val="pt-BR"/>
        </w:rPr>
        <w:t xml:space="preserve"> </w:t>
      </w:r>
      <w:r>
        <w:rPr>
          <w:bCs/>
          <w:spacing w:val="-2"/>
          <w:lang w:val="pt-BR"/>
        </w:rPr>
        <w:t xml:space="preserve">vào</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pháp</w:t>
      </w:r>
      <w:r>
        <w:rPr>
          <w:bCs/>
          <w:spacing w:val="-2"/>
          <w:lang w:val="pt-BR"/>
        </w:rPr>
        <w:t xml:space="preserve"> </w:t>
      </w:r>
      <w:r>
        <w:rPr>
          <w:bCs/>
          <w:spacing w:val="-2"/>
          <w:lang w:val="pt-BR"/>
        </w:rPr>
        <w:t xml:space="preserve">quy</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và</w:t>
      </w:r>
      <w:r>
        <w:rPr>
          <w:bCs/>
          <w:spacing w:val="-2"/>
          <w:lang w:val="pt-BR"/>
        </w:rPr>
        <w:t xml:space="preserve"> </w:t>
      </w:r>
      <w:r>
        <w:rPr>
          <w:bCs/>
          <w:spacing w:val="-2"/>
          <w:lang w:val="pt-BR"/>
        </w:rPr>
        <w:t xml:space="preserve">qua</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thực</w:t>
      </w:r>
      <w:r>
        <w:rPr>
          <w:bCs/>
          <w:spacing w:val="-2"/>
          <w:lang w:val="pt-BR"/>
        </w:rPr>
        <w:t xml:space="preserve"> </w:t>
      </w:r>
      <w:r>
        <w:rPr>
          <w:bCs/>
          <w:spacing w:val="-2"/>
          <w:lang w:val="pt-BR"/>
        </w:rPr>
        <w:t xml:space="preserve">tế</w:t>
      </w:r>
      <w:r>
        <w:rPr>
          <w:bCs/>
          <w:spacing w:val="-2"/>
          <w:lang w:val="pt-BR"/>
        </w:rPr>
        <w:t xml:space="preserve"> </w:t>
      </w:r>
      <w:r>
        <w:rPr>
          <w:bCs/>
          <w:spacing w:val="-2"/>
          <w:lang w:val="pt-BR"/>
        </w:rPr>
        <w:t xml:space="preserve">độc</w:t>
      </w:r>
      <w:r>
        <w:rPr>
          <w:bCs/>
          <w:spacing w:val="-2"/>
          <w:lang w:val="pt-BR"/>
        </w:rPr>
        <w:t xml:space="preserve"> </w:t>
      </w:r>
      <w:r>
        <w:rPr>
          <w:bCs/>
          <w:spacing w:val="-2"/>
          <w:lang w:val="pt-BR"/>
        </w:rPr>
        <w:t xml:space="preserve">lập</w:t>
      </w:r>
      <w:r>
        <w:rPr>
          <w:bCs/>
          <w:spacing w:val="-2"/>
          <w:lang w:val="pt-BR"/>
        </w:rPr>
        <w:t xml:space="preserve">, </w:t>
      </w:r>
      <w:r>
        <w:rPr>
          <w:bCs/>
          <w:spacing w:val="-2"/>
          <w:lang w:val="pt-BR"/>
        </w:rPr>
        <w:t xml:space="preserve">minh</w:t>
      </w:r>
      <w:r>
        <w:rPr>
          <w:bCs/>
          <w:spacing w:val="-2"/>
          <w:lang w:val="pt-BR"/>
        </w:rPr>
        <w:t xml:space="preserve"> </w:t>
      </w:r>
      <w:r>
        <w:rPr>
          <w:bCs/>
          <w:spacing w:val="-2"/>
          <w:lang w:val="pt-BR"/>
        </w:rPr>
        <w:t xml:space="preserve">bạch</w:t>
      </w:r>
      <w:r>
        <w:rPr>
          <w:bCs/>
          <w:spacing w:val="-2"/>
          <w:lang w:val="pt-BR"/>
        </w:rPr>
        <w:t xml:space="preserve"> </w:t>
      </w:r>
      <w:r>
        <w:rPr>
          <w:bCs/>
          <w:spacing w:val="-2"/>
          <w:lang w:val="pt-BR"/>
        </w:rPr>
        <w:t xml:space="preserve">dưới</w:t>
      </w:r>
      <w:r>
        <w:rPr>
          <w:bCs/>
          <w:spacing w:val="-2"/>
          <w:lang w:val="pt-BR"/>
        </w:rPr>
        <w:t xml:space="preserve"> </w:t>
      </w:r>
      <w:r>
        <w:rPr>
          <w:bCs/>
          <w:spacing w:val="-2"/>
          <w:lang w:val="pt-BR"/>
        </w:rPr>
        <w:t xml:space="preserve">sự</w:t>
      </w:r>
      <w:r>
        <w:rPr>
          <w:bCs/>
          <w:spacing w:val="-2"/>
          <w:lang w:val="pt-BR"/>
        </w:rPr>
        <w:t xml:space="preserve"> </w:t>
      </w:r>
      <w:r>
        <w:rPr>
          <w:bCs/>
          <w:spacing w:val="-2"/>
          <w:lang w:val="pt-BR"/>
        </w:rPr>
        <w:t xml:space="preserve">hướng</w:t>
      </w:r>
      <w:r>
        <w:rPr>
          <w:bCs/>
          <w:spacing w:val="-2"/>
          <w:lang w:val="pt-BR"/>
        </w:rPr>
        <w:t xml:space="preserve"> </w:t>
      </w:r>
      <w:r>
        <w:rPr>
          <w:bCs/>
          <w:spacing w:val="-2"/>
          <w:lang w:val="pt-BR"/>
        </w:rPr>
        <w:t xml:space="preserve">dẫn</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Vì</w:t>
      </w:r>
      <w:r>
        <w:rPr>
          <w:bCs/>
          <w:spacing w:val="-2"/>
          <w:lang w:val="pt-BR"/>
        </w:rPr>
        <w:t xml:space="preserve"> </w:t>
      </w:r>
      <w:r>
        <w:rPr>
          <w:bCs/>
          <w:spacing w:val="-2"/>
          <w:lang w:val="pt-BR"/>
        </w:rPr>
        <w:t xml:space="preserve">vậy</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bày</w:t>
      </w:r>
      <w:r>
        <w:rPr>
          <w:bCs/>
          <w:spacing w:val="-2"/>
          <w:lang w:val="pt-BR"/>
        </w:rPr>
        <w:t xml:space="preserve"> </w:t>
      </w:r>
      <w:r>
        <w:rPr>
          <w:bCs/>
          <w:spacing w:val="-2"/>
          <w:lang w:val="pt-BR"/>
        </w:rPr>
        <w:t xml:space="preserve">trên</w:t>
      </w:r>
      <w:r>
        <w:rPr>
          <w:bCs/>
          <w:spacing w:val="-2"/>
          <w:lang w:val="pt-BR"/>
        </w:rPr>
        <w:t xml:space="preserve"> </w:t>
      </w:r>
      <w:r>
        <w:rPr>
          <w:bCs/>
          <w:spacing w:val="-2"/>
          <w:lang w:val="pt-BR"/>
        </w:rPr>
        <w:t xml:space="preserve">báo</w:t>
      </w:r>
      <w:r>
        <w:rPr>
          <w:bCs/>
          <w:spacing w:val="-2"/>
          <w:lang w:val="pt-BR"/>
        </w:rPr>
        <w:t xml:space="preserve"> </w:t>
      </w:r>
      <w:r>
        <w:rPr>
          <w:bCs/>
          <w:spacing w:val="-2"/>
          <w:lang w:val="pt-BR"/>
        </w:rPr>
        <w:t xml:space="preserve">cáo</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mang</w:t>
      </w:r>
      <w:r>
        <w:rPr>
          <w:bCs/>
          <w:spacing w:val="-2"/>
          <w:lang w:val="pt-BR"/>
        </w:rPr>
        <w:t xml:space="preserve"> </w:t>
      </w:r>
      <w:r>
        <w:rPr>
          <w:bCs/>
          <w:spacing w:val="-2"/>
          <w:lang w:val="pt-BR"/>
        </w:rPr>
        <w:t xml:space="preserve">tính</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chủ</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và</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nhất</w:t>
      </w:r>
      <w:r>
        <w:rPr>
          <w:bCs/>
          <w:spacing w:val="-2"/>
          <w:lang w:val="pt-BR"/>
        </w:rPr>
        <w:t xml:space="preserve"> </w:t>
      </w:r>
      <w:r>
        <w:rPr>
          <w:bCs/>
          <w:spacing w:val="-2"/>
          <w:lang w:val="pt-BR"/>
        </w:rPr>
        <w:t xml:space="preserve">thiết</w:t>
      </w:r>
      <w:r>
        <w:rPr>
          <w:bCs/>
          <w:spacing w:val="-2"/>
          <w:lang w:val="pt-BR"/>
        </w:rPr>
        <w:t xml:space="preserve"> </w:t>
      </w:r>
      <w:r>
        <w:rPr>
          <w:bCs/>
          <w:spacing w:val="-2"/>
          <w:lang w:val="pt-BR"/>
        </w:rPr>
        <w:t xml:space="preserve">phải</w:t>
      </w:r>
      <w:r>
        <w:rPr>
          <w:bCs/>
          <w:spacing w:val="-2"/>
          <w:lang w:val="pt-BR"/>
        </w:rPr>
        <w:t xml:space="preserve"> </w:t>
      </w:r>
      <w:r>
        <w:rPr>
          <w:bCs/>
          <w:spacing w:val="-2"/>
          <w:lang w:val="pt-BR"/>
        </w:rPr>
        <w:t xml:space="preserve">trùng</w:t>
      </w:r>
      <w:r>
        <w:rPr>
          <w:bCs/>
          <w:spacing w:val="-2"/>
          <w:lang w:val="pt-BR"/>
        </w:rPr>
        <w:t xml:space="preserve"> </w:t>
      </w:r>
      <w:r>
        <w:rPr>
          <w:bCs/>
          <w:spacing w:val="-2"/>
          <w:lang w:val="pt-BR"/>
        </w:rPr>
        <w:t xml:space="preserve">khớp</w:t>
      </w:r>
      <w:r>
        <w:rPr>
          <w:bCs/>
          <w:spacing w:val="-2"/>
          <w:lang w:val="pt-BR"/>
        </w:rPr>
        <w:t xml:space="preserve"> </w:t>
      </w:r>
      <w:r>
        <w:rPr>
          <w:bCs/>
          <w:spacing w:val="-2"/>
          <w:lang w:val="pt-BR"/>
        </w:rPr>
        <w:t xml:space="preserve">kết</w:t>
      </w:r>
      <w:r>
        <w:rPr>
          <w:bCs/>
          <w:spacing w:val="-2"/>
          <w:lang w:val="pt-BR"/>
        </w:rPr>
        <w:t xml:space="preserve"> </w:t>
      </w:r>
      <w:r>
        <w:rPr>
          <w:bCs/>
          <w:spacing w:val="-2"/>
          <w:lang w:val="pt-BR"/>
        </w:rPr>
        <w:t xml:space="preserve">quả</w:t>
      </w:r>
      <w:r>
        <w:rPr>
          <w:bCs/>
          <w:spacing w:val="-2"/>
          <w:lang w:val="pt-BR"/>
        </w:rPr>
        <w:t xml:space="preserve"> </w:t>
      </w:r>
      <w:r>
        <w:rPr>
          <w:bCs/>
          <w:spacing w:val="-2"/>
          <w:lang w:val="pt-BR"/>
        </w:rPr>
        <w:t xml:space="preserve">với</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thứ</w:t>
      </w:r>
      <w:r>
        <w:rPr>
          <w:bCs/>
          <w:spacing w:val="-2"/>
          <w:lang w:val="pt-BR"/>
        </w:rPr>
        <w:t xml:space="preserve"> </w:t>
      </w:r>
      <w:r>
        <w:rPr>
          <w:bCs/>
          <w:spacing w:val="-2"/>
          <w:lang w:val="pt-BR"/>
        </w:rPr>
        <w:t xml:space="preserve">ba</w:t>
      </w:r>
      <w:r>
        <w:rPr>
          <w:bCs/>
          <w:spacing w:val="-2"/>
          <w:lang w:val="pt-BR"/>
        </w:rPr>
        <w:t xml:space="preserve"> </w:t>
      </w:r>
      <w:r>
        <w:rPr>
          <w:bCs/>
          <w:spacing w:val="-2"/>
          <w:lang w:val="pt-BR"/>
        </w:rPr>
        <w:t xml:space="preserve">nào</w:t>
      </w:r>
      <w:r>
        <w:rPr>
          <w:bCs/>
          <w:spacing w:val="-2"/>
          <w:lang w:val="pt-BR"/>
        </w:rPr>
        <w:t xml:space="preserve"> </w:t>
      </w:r>
      <w:r>
        <w:rPr>
          <w:bCs/>
          <w:spacing w:val="-2"/>
          <w:lang w:val="pt-BR"/>
        </w:rPr>
        <w:t xml:space="preserve">khác</w:t>
      </w:r>
      <w:r>
        <w:rPr>
          <w:bCs/>
          <w:spacing w:val="-2"/>
          <w:lang w:val="pt-BR"/>
        </w:rPr>
        <w:t xml:space="preserve"> </w:t>
      </w:r>
      <w:r>
        <w:rPr>
          <w:bCs/>
          <w:spacing w:val="-2"/>
          <w:lang w:val="pt-BR"/>
        </w:rPr>
        <w:t xml:space="preserve">cùng</w:t>
      </w:r>
      <w:r>
        <w:rPr>
          <w:bCs/>
          <w:spacing w:val="-2"/>
          <w:lang w:val="pt-BR"/>
        </w:rPr>
        <w:t xml:space="preserve"> </w:t>
      </w:r>
      <w:r>
        <w:rPr>
          <w:bCs/>
          <w:spacing w:val="-2"/>
          <w:lang w:val="pt-BR"/>
        </w:rPr>
        <w:t xml:space="preserve">đưa</w:t>
      </w:r>
      <w:r>
        <w:rPr>
          <w:bCs/>
          <w:spacing w:val="-2"/>
          <w:lang w:val="pt-BR"/>
        </w:rPr>
        <w:t xml:space="preserve"> </w:t>
      </w:r>
      <w:r>
        <w:rPr>
          <w:bCs/>
          <w:spacing w:val="-2"/>
          <w:lang w:val="pt-BR"/>
        </w:rPr>
        <w:t xml:space="preserve">ra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ảnh</w:t>
      </w:r>
      <w:r>
        <w:rPr>
          <w:bCs/>
          <w:spacing w:val="-2"/>
          <w:lang w:val="pt-BR"/>
        </w:rPr>
        <w:t xml:space="preserve"> </w:t>
      </w:r>
      <w:r>
        <w:rPr>
          <w:bCs/>
          <w:spacing w:val="-2"/>
          <w:lang w:val="pt-BR"/>
        </w:rPr>
        <w:t xml:space="preserve">hưởng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nếu</w:t>
      </w:r>
      <w:r>
        <w:rPr>
          <w:bCs/>
          <w:spacing w:val="-2"/>
          <w:lang w:val="pt-BR"/>
        </w:rPr>
        <w:t xml:space="preserve"> </w:t>
      </w:r>
      <w:r>
        <w:rPr>
          <w:bCs/>
          <w:spacing w:val="-2"/>
          <w:lang w:val="pt-BR"/>
        </w:rPr>
        <w:t xml:space="preserve">có</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thuộc</w:t>
      </w:r>
      <w:r>
        <w:rPr>
          <w:bCs/>
          <w:spacing w:val="-2"/>
          <w:lang w:val="pt-BR"/>
        </w:rPr>
        <w:t xml:space="preserve"> </w:t>
      </w:r>
      <w:r>
        <w:rPr>
          <w:bCs/>
          <w:spacing w:val="-2"/>
          <w:lang w:val="pt-BR"/>
        </w:rPr>
        <w:t xml:space="preserve">nghĩa</w:t>
      </w:r>
      <w:r>
        <w:rPr>
          <w:bCs/>
          <w:spacing w:val="-2"/>
          <w:lang w:val="pt-BR"/>
        </w:rPr>
        <w:t xml:space="preserve"> </w:t>
      </w:r>
      <w:r>
        <w:rPr>
          <w:bCs/>
          <w:spacing w:val="-2"/>
          <w:lang w:val="pt-BR"/>
        </w:rPr>
        <w:t xml:space="preserve">vụ</w:t>
      </w:r>
      <w:r>
        <w:rPr>
          <w:bCs/>
          <w:spacing w:val="-2"/>
          <w:lang w:val="pt-BR"/>
        </w:rPr>
        <w:t xml:space="preserve"> </w:t>
      </w:r>
      <w:r>
        <w:rPr>
          <w:bCs/>
          <w:spacing w:val="-2"/>
          <w:lang w:val="pt-BR"/>
        </w:rPr>
        <w:t xml:space="preserve">bắt</w:t>
      </w:r>
      <w:r>
        <w:rPr>
          <w:bCs/>
          <w:spacing w:val="-2"/>
          <w:lang w:val="pt-BR"/>
        </w:rPr>
        <w:t xml:space="preserve"> </w:t>
      </w:r>
      <w:r>
        <w:rPr>
          <w:bCs/>
          <w:spacing w:val="-2"/>
          <w:lang w:val="pt-BR"/>
        </w:rPr>
        <w:t xml:space="preserve">buộc</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đến</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w:t>
      </w:r>
      <w:r>
        <w:rPr>
          <w:bCs/>
          <w:spacing w:val="-2"/>
          <w:lang w:val="pt-BR"/>
        </w:rPr>
      </w:r>
    </w:p>
    <w:p>
      <w:pPr>
        <w:pStyle w:val="856"/>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p>
    <w:p>
      <w:pPr>
        <w:pStyle w:val="856"/>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p>
    <w:p>
      <w:pPr>
        <w:pStyle w:val="856"/>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p>
    <w:p>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p>
    <w:p>
      <w:pPr>
        <w:pStyle w:val="856"/>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p>
    <w:p>
      <w:pPr>
        <w:pStyle w:val="856"/>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275/2026/0296/VFI-CT.27.A</w:t>
      </w:r>
      <w:r>
        <w:rPr>
          <w:color w:val="ff0000"/>
          <w:lang w:val="vi-VN"/>
        </w:rPr>
        <w:t xml:space="preserve"> </w:t>
      </w:r>
      <w:r>
        <w:rPr>
          <w:color w:val="000000" w:themeColor="text1"/>
        </w:rPr>
        <w:t xml:space="preserve">ngày 9 tháng 2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p>
    <w:p>
      <w:pPr>
        <w:pStyle w:val="856"/>
        <w:pBdr/>
        <w:tabs>
          <w:tab w:val="left" w:leader="none" w:pos="993"/>
        </w:tabs>
        <w:spacing w:after="120" w:before="120" w:line="288" w:lineRule="auto"/>
        <w:ind w:left="0"/>
        <w:jc w:val="both"/>
        <w:rPr>
          <w:lang w:val="vi-VN"/>
        </w:rPr>
      </w:pPr>
      <w:r>
        <w:rPr>
          <w:lang w:val="vi-VN"/>
        </w:rPr>
      </w:r>
      <w:r>
        <w:rPr>
          <w:lang w:val="vi-VN"/>
        </w:rPr>
      </w:r>
    </w:p>
    <w:p>
      <w:pPr>
        <w:pStyle w:val="856"/>
        <w:pBdr/>
        <w:tabs>
          <w:tab w:val="left" w:leader="none" w:pos="993"/>
        </w:tabs>
        <w:spacing w:after="120" w:before="120" w:line="288" w:lineRule="auto"/>
        <w:ind w:left="0"/>
        <w:jc w:val="both"/>
        <w:rPr>
          <w:lang w:val="vi-VN"/>
        </w:rPr>
      </w:pPr>
      <w:r>
        <w:rPr>
          <w:lang w:val="vi-VN"/>
        </w:rPr>
      </w:r>
      <w:r>
        <w:rPr>
          <w:lang w:val="vi-VN"/>
        </w:rPr>
      </w:r>
    </w:p>
    <w:p>
      <w:pPr>
        <w:pStyle w:val="856"/>
        <w:pBdr/>
        <w:tabs>
          <w:tab w:val="left" w:leader="none" w:pos="993"/>
        </w:tabs>
        <w:spacing w:after="120" w:before="120" w:line="288" w:lineRule="auto"/>
        <w:ind w:left="0"/>
        <w:jc w:val="both"/>
        <w:rPr>
          <w:lang w:val="pt-BR"/>
        </w:rPr>
      </w:pP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Dung</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p>
          <w:p>
            <w:pPr>
              <w:pBdr/>
              <w:spacing w:line="276" w:lineRule="auto"/>
              <w:ind/>
              <w:rPr>
                <w:rFonts w:eastAsia="Calibri"/>
                <w:b/>
                <w:lang w:val="pt-BR"/>
              </w:rPr>
            </w:pP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275/2026/0296/VFI-BC.27.A</w:t>
      </w:r>
      <w:r>
        <w:rPr>
          <w:i/>
          <w:lang w:val="pt-BR"/>
        </w:rPr>
        <w:t xml:space="preserve"> </w:t>
      </w:r>
      <w:r>
        <w:rPr>
          <w:i/>
          <w:lang w:val="pt-BR"/>
        </w:rPr>
        <w:t xml:space="preserve">9 tháng 2 năm 2026</w:t>
      </w:r>
      <w:r>
        <w:rPr>
          <w:i/>
          <w:lang w:val="pt-BR"/>
        </w:rPr>
        <w:t xml:space="preserve"> </w:t>
      </w:r>
      <w:r>
        <w:rPr>
          <w:i/>
          <w:lang w:val="pt-BR"/>
        </w:rPr>
        <w:t xml:space="preserve">của</w:t>
      </w:r>
      <w:r>
        <w:rPr>
          <w:i/>
          <w:lang w:val="pt-BR"/>
        </w:rPr>
        <w:t xml:space="preserve"> </w:t>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p>
    <w:tbl>
      <w:tblPr>
        <w:tblStyle w:val="86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2.50pt;height:150.00pt;mso-wrap-distance-left:0.00pt;mso-wrap-distance-top:0.00pt;mso-wrap-distance-right:0.00pt;mso-wrap-distance-bottom:0.00pt;z-index:1;" stroked="false">
                      <v:imagedata r:id="rId18" o:title=""/>
                      <o:lock v:ext="edit" rotation="t"/>
                    </v:shape>
                  </w:pict>
                </mc:Fallback>
              </mc:AlternateContent>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0.00pt;height:150.00pt;mso-wrap-distance-left:0.00pt;mso-wrap-distance-top:0.00pt;mso-wrap-distance-right:0.00pt;mso-wrap-distance-bottom:0.00pt;z-index:1;" stroked="false">
                      <v:imagedata r:id="rId19" o:title=""/>
                      <o:lock v:ext="edit" rotation="t"/>
                    </v:shape>
                  </w:pict>
                </mc:Fallback>
              </mc:AlternateContent>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275/2026/0296/VFI-BC.27.A</w:t>
      </w:r>
      <w:r>
        <w:rPr>
          <w:i/>
          <w:lang w:val="pt-BR"/>
        </w:rPr>
        <w:t xml:space="preserve"> </w:t>
      </w:r>
      <w:r>
        <w:rPr>
          <w:i/>
          <w:lang w:val="pt-BR"/>
        </w:rPr>
        <w:t xml:space="preserve">9 tháng 2 năm 2026</w:t>
      </w:r>
      <w:r>
        <w:rPr>
          <w:i/>
          <w:lang w:val="pt-BR"/>
        </w:rPr>
        <w:t xml:space="preserve"> </w:t>
      </w:r>
      <w:r>
        <w:rPr>
          <w:i/>
          <w:lang w:val="pt-BR"/>
        </w:rPr>
        <w:t xml:space="preserve">của</w:t>
      </w:r>
      <w:r>
        <w:rPr>
          <w:i/>
          <w:lang w:val="pt-BR"/>
        </w:rPr>
        <w:t xml:space="preserve"> </w:t>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p>
    <w:p>
      <w:pPr>
        <w:pBdr/>
        <w:spacing w:after="120"/>
        <w:ind/>
        <w:jc w:val="center"/>
        <w:rPr>
          <w:b/>
          <w:bCs/>
          <w:iCs/>
          <w:lang w:val="pt-BR"/>
        </w:rPr>
      </w:pPr>
      <w:r>
        <w:rPr>
          <w:b/>
          <w:bCs/>
          <w:iCs/>
          <w:lang w:val="pt-BR"/>
        </w:rPr>
        <w:t xml:space="preserve">TSSS1</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https://www.facebook.com/share/p/1Bz7aQ5fPG/</w:t>
            </w:r>
            <w:r>
              <w:rPr>
                <w:color w:val="000000" w:themeColor="text1"/>
                <w:sz w:val="22"/>
                <w:szCs w:val="22"/>
              </w:rPr>
              <w:br/>
              <w:t xml:space="preserve">0941893600</w:t>
            </w:r>
            <w:r>
              <w:rPr>
                <w:sz w:val="22"/>
                <w:szCs w:val="22"/>
              </w:rPr>
              <w:t xml:space="preserve"> </w:t>
            </w:r>
            <w:r>
              <w:rPr>
                <w:sz w:val="22"/>
                <w:szCs w:val="22"/>
              </w:rPr>
              <w:br/>
              <w:t xml:space="preserve">(Chị Phạm Hiền</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12.500.000.000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11.250.000.000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(86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Đường Quốc lộ 23B, Thị trấn Quang Minh, Huyện Mê Linh, Thành phố Hà Nội, đường Tài sản tiếp giáp QL23, cách UBND xã Quang Minh khoảng 2km, độ rộng đường trước mặt tài sản 10m, mặt tiền 4.4m, 21.17445274421056, 105.73274750264484</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86</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4.4</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đường trước sau</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147149" cy="317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314714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47.81pt;height:250.00pt;mso-wrap-distance-left:0.00pt;mso-wrap-distance-top:0.00pt;mso-wrap-distance-right:0.00pt;mso-wrap-distance-bottom:0.00pt;z-index:1;" stroked="false">
                      <v:imagedata r:id="rId2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716653" cy="317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171665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35.17pt;height:250.00pt;mso-wrap-distance-left:0.00pt;mso-wrap-distance-top:0.00pt;mso-wrap-distance-right:0.00pt;mso-wrap-distance-bottom:0.00pt;z-index:1;" stroked="false">
                      <v:imagedata r:id="rId2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p>
    <w:p>
      <w:pPr>
        <w:pBdr/>
        <w:spacing w:after="200" w:line="276" w:lineRule="auto"/>
        <w:ind/>
        <w:jc w:val="center"/>
        <w:rPr>
          <w:i/>
          <w:lang w:val="pt-BR"/>
        </w:rPr>
      </w:pP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pPr>
            <w:r>
              <w:t xml:space="preserve">Trần Trung Chính</w:t>
            </w:r>
            <w:r/>
          </w:p>
        </w:tc>
      </w:tr>
      <w:tr>
        <w:trPr>
          <w:trHeight w:val="298"/>
        </w:trPr>
        <w:tc>
          <w:tcPr>
            <w:tcBorders/>
            <w:tcW w:w="4358" w:type="dxa"/>
            <w:vAlign w:val="bottom"/>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b/>
                <w:bCs/>
              </w:rPr>
            </w:pPr>
            <w:r>
              <w:rPr>
                <w:b/>
                <w:bCs/>
              </w:rPr>
            </w:r>
            <w:r>
              <w:rPr>
                <w:b/>
                <w:bCs/>
              </w:rPr>
            </w:r>
          </w:p>
        </w:tc>
      </w:tr>
    </w:tbl>
    <w:p>
      <w:pPr>
        <w:pBdr/>
        <w:spacing w:after="200" w:line="276" w:lineRule="auto"/>
        <w:ind/>
        <w:jc w:val="center"/>
        <w:rPr>
          <w:b/>
          <w:bCs/>
          <w:iCs/>
          <w:lang w:val="pt-BR"/>
        </w:rPr>
      </w:pP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p>
    <w:p>
      <w:pPr>
        <w:pBdr/>
        <w:spacing w:after="200" w:line="276" w:lineRule="auto"/>
        <w:ind/>
        <w:jc w:val="center"/>
        <w:rPr>
          <w:iCs/>
          <w:lang w:val="pt-BR"/>
        </w:rPr>
      </w:pPr>
      <w:r>
        <w:rPr>
          <w:b/>
          <w:bCs/>
          <w:iCs/>
          <w:lang w:val="pt-BR"/>
        </w:rPr>
        <w:t xml:space="preserve">TSSS2</w:t>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https://www.facebook.com/groups/852261119046020/permalink/1618007625804695/?rdid=dHSCecvdqiKxb8na#</w:t>
            </w:r>
            <w:r>
              <w:rPr>
                <w:color w:val="000000" w:themeColor="text1"/>
                <w:sz w:val="22"/>
                <w:szCs w:val="22"/>
              </w:rPr>
              <w:br/>
              <w:t xml:space="preserve">0946738656</w:t>
            </w:r>
            <w:r>
              <w:rPr>
                <w:sz w:val="22"/>
                <w:szCs w:val="22"/>
              </w:rPr>
              <w:t xml:space="preserve"> </w:t>
            </w:r>
            <w:r>
              <w:rPr>
                <w:sz w:val="22"/>
                <w:szCs w:val="22"/>
              </w:rPr>
              <w:br/>
              <w:t xml:space="preserve">(Anh Đanh</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14.250.000.000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12.825.000.000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(113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Quang Minh, Thành phố Hà Nội, độ rộng đường trước mặt tài sản 10m, đường xe máy lưu thông nhỏ hơn 2.5m, mặt tiền 6m, 21.177666522057265, 105.72925771163392</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113</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Nở hậu</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0088" cy="317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238008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87.41pt;height:250.00pt;mso-wrap-distance-left:0.00pt;mso-wrap-distance-top:0.00pt;mso-wrap-distance-right:0.00pt;mso-wrap-distance-bottom:0.00pt;z-index:1;" stroked="false">
                      <v:imagedata r:id="rId2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0088" cy="317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238008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87.41pt;height:250.00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84313"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428431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37.35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634662"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563466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43.67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939106"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293910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31.43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878972"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287897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26.69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rPr>
                <w:b/>
                <w:bCs/>
              </w:rPr>
            </w:pP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t xml:space="preserve">Nguyễn Thị Thùy Dung</w:t>
            </w:r>
            <w:r/>
          </w:p>
          <w:p>
            <w:pPr>
              <w:pBdr/>
              <w:spacing/>
              <w:ind/>
              <w:jc w:val="center"/>
              <w:rPr/>
            </w:pPr>
            <w:r/>
            <w:r/>
          </w:p>
        </w:tc>
      </w:tr>
    </w:tbl>
    <w:p>
      <w:pPr>
        <w:pBdr/>
        <w:spacing w:after="200" w:line="276" w:lineRule="auto"/>
        <w:ind/>
        <w:rPr>
          <w:iCs/>
          <w:lang w:val="pt-BR"/>
        </w:rPr>
      </w:pPr>
      <w:r>
        <w:rPr>
          <w:iCs/>
          <w:lang w:val="pt-BR"/>
        </w:rPr>
      </w:r>
      <w:r>
        <w:rPr>
          <w:iCs/>
          <w:lang w:val="pt-BR"/>
        </w:rPr>
      </w:r>
    </w:p>
    <w:p>
      <w:pPr>
        <w:pBdr/>
        <w:spacing w:after="200" w:line="276" w:lineRule="auto"/>
        <w:ind/>
        <w:rPr>
          <w:iCs/>
          <w:lang w:val="pt-BR"/>
        </w:rPr>
      </w:pPr>
      <w:r>
        <w:rPr>
          <w:iCs/>
          <w:lang w:val="pt-BR"/>
        </w:rPr>
        <w:br w:type="page" w:clear="all"/>
      </w:r>
      <w:r>
        <w:rPr>
          <w:iCs/>
          <w:lang w:val="pt-BR"/>
        </w:rPr>
      </w:r>
    </w:p>
    <w:p>
      <w:pPr>
        <w:pBdr/>
        <w:spacing w:after="200" w:line="276" w:lineRule="auto"/>
        <w:ind/>
        <w:jc w:val="center"/>
        <w:rPr>
          <w:b/>
          <w:bCs/>
          <w:iCs/>
          <w:lang w:val="pt-BR"/>
        </w:rPr>
      </w:pPr>
      <w:r>
        <w:rPr>
          <w:b/>
          <w:bCs/>
          <w:iCs/>
          <w:lang w:val="pt-BR"/>
        </w:rPr>
        <w:t xml:space="preserve">TSSS 3</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0336.550.596</w:t>
            </w:r>
            <w:r>
              <w:rPr>
                <w:sz w:val="22"/>
                <w:szCs w:val="22"/>
              </w:rPr>
              <w:t xml:space="preserve"> </w:t>
            </w:r>
            <w:r>
              <w:rPr>
                <w:sz w:val="22"/>
                <w:szCs w:val="22"/>
              </w:rPr>
              <w:br/>
              <w:t xml:space="preserve">(Anh Thái</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7.000.000.000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6.300.000.000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(75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Quang Minh, Thành phố Hà Nội, độ rộng đường trước mặt tài sản 1m, mặt tiền 5m, 21.204580791221026, 105.70751973115074</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Khá</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67020"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146702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15.51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940054"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294005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31.50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t xml:space="preserve">Nguyễn Thị Thùy Dung</w:t>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r>
            <w:r>
              <w:rPr>
                <w:b/>
                <w:bCs/>
              </w:rPr>
            </w:r>
          </w:p>
        </w:tc>
      </w:tr>
    </w:tbl>
    <w:p>
      <w:pPr>
        <w:pBdr/>
        <w:spacing w:after="200" w:line="276" w:lineRule="auto"/>
        <w:ind/>
        <w:rPr>
          <w:iCs/>
          <w:lang w:val="pt-BR"/>
        </w:rPr>
      </w:pP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p>
  <w:p>
    <w:pPr>
      <w:pStyle w:val="85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4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4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4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4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4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4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4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4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4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4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4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4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4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4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4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4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4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4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4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4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4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4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4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4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4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4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4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4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4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4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4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4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4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4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4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4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4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4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4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4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4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4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4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4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4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4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84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84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84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84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84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4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4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4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4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4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4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4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4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3">
    <w:name w:val="Heading 5"/>
    <w:basedOn w:val="834"/>
    <w:next w:val="83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34"/>
    <w:next w:val="83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34"/>
    <w:next w:val="83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34"/>
    <w:next w:val="83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34"/>
    <w:next w:val="83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4">
    <w:name w:val="Heading 5 Char"/>
    <w:basedOn w:val="839"/>
    <w:link w:val="143"/>
    <w:uiPriority w:val="9"/>
    <w:pPr>
      <w:pBdr/>
      <w:spacing/>
      <w:ind/>
    </w:pPr>
    <w:rPr>
      <w:rFonts w:ascii="Arial" w:hAnsi="Arial" w:eastAsia="Arial" w:cs="Arial"/>
      <w:color w:val="0f4761" w:themeColor="accent1" w:themeShade="BF"/>
    </w:rPr>
  </w:style>
  <w:style w:type="character" w:styleId="155">
    <w:name w:val="Heading 6 Char"/>
    <w:basedOn w:val="839"/>
    <w:link w:val="144"/>
    <w:uiPriority w:val="9"/>
    <w:pPr>
      <w:pBdr/>
      <w:spacing/>
      <w:ind/>
    </w:pPr>
    <w:rPr>
      <w:rFonts w:ascii="Arial" w:hAnsi="Arial" w:eastAsia="Arial" w:cs="Arial"/>
      <w:i/>
      <w:iCs/>
      <w:color w:val="595959" w:themeColor="text1" w:themeTint="A6"/>
    </w:rPr>
  </w:style>
  <w:style w:type="character" w:styleId="156">
    <w:name w:val="Heading 7 Char"/>
    <w:basedOn w:val="839"/>
    <w:link w:val="145"/>
    <w:uiPriority w:val="9"/>
    <w:pPr>
      <w:pBdr/>
      <w:spacing/>
      <w:ind/>
    </w:pPr>
    <w:rPr>
      <w:rFonts w:ascii="Arial" w:hAnsi="Arial" w:eastAsia="Arial" w:cs="Arial"/>
      <w:color w:val="595959" w:themeColor="text1" w:themeTint="A6"/>
    </w:rPr>
  </w:style>
  <w:style w:type="character" w:styleId="157">
    <w:name w:val="Heading 8 Char"/>
    <w:basedOn w:val="839"/>
    <w:link w:val="146"/>
    <w:uiPriority w:val="9"/>
    <w:pPr>
      <w:pBdr/>
      <w:spacing/>
      <w:ind/>
    </w:pPr>
    <w:rPr>
      <w:rFonts w:ascii="Arial" w:hAnsi="Arial" w:eastAsia="Arial" w:cs="Arial"/>
      <w:i/>
      <w:iCs/>
      <w:color w:val="272727" w:themeColor="text1" w:themeTint="D8"/>
    </w:rPr>
  </w:style>
  <w:style w:type="character" w:styleId="158">
    <w:name w:val="Heading 9 Char"/>
    <w:basedOn w:val="839"/>
    <w:link w:val="147"/>
    <w:uiPriority w:val="9"/>
    <w:pPr>
      <w:pBdr/>
      <w:spacing/>
      <w:ind/>
    </w:pPr>
    <w:rPr>
      <w:rFonts w:ascii="Arial" w:hAnsi="Arial" w:eastAsia="Arial" w:cs="Arial"/>
      <w:i/>
      <w:iCs/>
      <w:color w:val="272727" w:themeColor="text1" w:themeTint="D8"/>
    </w:rPr>
  </w:style>
  <w:style w:type="paragraph" w:styleId="161">
    <w:name w:val="Subtitle"/>
    <w:basedOn w:val="834"/>
    <w:next w:val="834"/>
    <w:link w:val="162"/>
    <w:uiPriority w:val="11"/>
    <w:qFormat/>
    <w:pPr>
      <w:numPr>
        <w:ilvl w:val="1"/>
      </w:numPr>
      <w:pBdr/>
      <w:spacing/>
      <w:ind/>
    </w:pPr>
    <w:rPr>
      <w:color w:val="595959" w:themeColor="text1" w:themeTint="A6"/>
      <w:spacing w:val="15"/>
      <w:sz w:val="28"/>
      <w:szCs w:val="28"/>
    </w:rPr>
  </w:style>
  <w:style w:type="character" w:styleId="162">
    <w:name w:val="Subtitle Char"/>
    <w:basedOn w:val="839"/>
    <w:link w:val="161"/>
    <w:uiPriority w:val="11"/>
    <w:pPr>
      <w:pBdr/>
      <w:spacing/>
      <w:ind/>
    </w:pPr>
    <w:rPr>
      <w:color w:val="595959" w:themeColor="text1" w:themeTint="A6"/>
      <w:spacing w:val="15"/>
      <w:sz w:val="28"/>
      <w:szCs w:val="28"/>
    </w:rPr>
  </w:style>
  <w:style w:type="paragraph" w:styleId="163">
    <w:name w:val="Quote"/>
    <w:basedOn w:val="834"/>
    <w:next w:val="834"/>
    <w:link w:val="164"/>
    <w:uiPriority w:val="29"/>
    <w:qFormat/>
    <w:pPr>
      <w:pBdr/>
      <w:spacing w:before="160"/>
      <w:ind/>
      <w:jc w:val="center"/>
    </w:pPr>
    <w:rPr>
      <w:i/>
      <w:iCs/>
      <w:color w:val="404040" w:themeColor="text1" w:themeTint="BF"/>
    </w:rPr>
  </w:style>
  <w:style w:type="character" w:styleId="164">
    <w:name w:val="Quote Char"/>
    <w:basedOn w:val="839"/>
    <w:link w:val="163"/>
    <w:uiPriority w:val="29"/>
    <w:pPr>
      <w:pBdr/>
      <w:spacing/>
      <w:ind/>
    </w:pPr>
    <w:rPr>
      <w:i/>
      <w:iCs/>
      <w:color w:val="404040" w:themeColor="text1" w:themeTint="BF"/>
    </w:rPr>
  </w:style>
  <w:style w:type="character" w:styleId="166">
    <w:name w:val="Intense Emphasis"/>
    <w:basedOn w:val="839"/>
    <w:uiPriority w:val="21"/>
    <w:qFormat/>
    <w:pPr>
      <w:pBdr/>
      <w:spacing/>
      <w:ind/>
    </w:pPr>
    <w:rPr>
      <w:i/>
      <w:iCs/>
      <w:color w:val="0f4761" w:themeColor="accent1" w:themeShade="BF"/>
    </w:rPr>
  </w:style>
  <w:style w:type="paragraph" w:styleId="167">
    <w:name w:val="Intense Quote"/>
    <w:basedOn w:val="834"/>
    <w:next w:val="83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39"/>
    <w:link w:val="167"/>
    <w:uiPriority w:val="30"/>
    <w:pPr>
      <w:pBdr/>
      <w:spacing/>
      <w:ind/>
    </w:pPr>
    <w:rPr>
      <w:i/>
      <w:iCs/>
      <w:color w:val="0f4761" w:themeColor="accent1" w:themeShade="BF"/>
    </w:rPr>
  </w:style>
  <w:style w:type="character" w:styleId="169">
    <w:name w:val="Intense Reference"/>
    <w:basedOn w:val="839"/>
    <w:uiPriority w:val="32"/>
    <w:qFormat/>
    <w:pPr>
      <w:pBdr/>
      <w:spacing/>
      <w:ind/>
    </w:pPr>
    <w:rPr>
      <w:b/>
      <w:bCs/>
      <w:smallCaps/>
      <w:color w:val="0f4761" w:themeColor="accent1" w:themeShade="BF"/>
      <w:spacing w:val="5"/>
    </w:rPr>
  </w:style>
  <w:style w:type="paragraph" w:styleId="170">
    <w:name w:val="No Spacing"/>
    <w:basedOn w:val="834"/>
    <w:uiPriority w:val="1"/>
    <w:qFormat/>
    <w:pPr>
      <w:pBdr/>
      <w:spacing w:after="0" w:line="240" w:lineRule="auto"/>
      <w:ind/>
    </w:pPr>
  </w:style>
  <w:style w:type="character" w:styleId="171">
    <w:name w:val="Subtle Emphasis"/>
    <w:basedOn w:val="839"/>
    <w:uiPriority w:val="19"/>
    <w:qFormat/>
    <w:pPr>
      <w:pBdr/>
      <w:spacing/>
      <w:ind/>
    </w:pPr>
    <w:rPr>
      <w:i/>
      <w:iCs/>
      <w:color w:val="404040" w:themeColor="text1" w:themeTint="BF"/>
    </w:rPr>
  </w:style>
  <w:style w:type="character" w:styleId="174">
    <w:name w:val="Subtle Reference"/>
    <w:basedOn w:val="839"/>
    <w:uiPriority w:val="31"/>
    <w:qFormat/>
    <w:pPr>
      <w:pBdr/>
      <w:spacing/>
      <w:ind/>
    </w:pPr>
    <w:rPr>
      <w:smallCaps/>
      <w:color w:val="5a5a5a" w:themeColor="text1" w:themeTint="A5"/>
    </w:rPr>
  </w:style>
  <w:style w:type="character" w:styleId="175">
    <w:name w:val="Book Title"/>
    <w:basedOn w:val="839"/>
    <w:uiPriority w:val="33"/>
    <w:qFormat/>
    <w:pPr>
      <w:pBdr/>
      <w:spacing/>
      <w:ind/>
    </w:pPr>
    <w:rPr>
      <w:b/>
      <w:bCs/>
      <w:i/>
      <w:iCs/>
      <w:spacing w:val="5"/>
    </w:rPr>
  </w:style>
  <w:style w:type="paragraph" w:styleId="180">
    <w:name w:val="Caption"/>
    <w:basedOn w:val="834"/>
    <w:next w:val="834"/>
    <w:uiPriority w:val="35"/>
    <w:unhideWhenUsed/>
    <w:qFormat/>
    <w:pPr>
      <w:pBdr/>
      <w:spacing w:after="200" w:line="240" w:lineRule="auto"/>
      <w:ind/>
    </w:pPr>
    <w:rPr>
      <w:i/>
      <w:iCs/>
      <w:color w:val="0e2841" w:themeColor="text2"/>
      <w:sz w:val="18"/>
      <w:szCs w:val="18"/>
    </w:rPr>
  </w:style>
  <w:style w:type="paragraph" w:styleId="181">
    <w:name w:val="footnote text"/>
    <w:basedOn w:val="834"/>
    <w:link w:val="182"/>
    <w:uiPriority w:val="99"/>
    <w:semiHidden/>
    <w:unhideWhenUsed/>
    <w:pPr>
      <w:pBdr/>
      <w:spacing w:after="0" w:line="240" w:lineRule="auto"/>
      <w:ind/>
    </w:pPr>
    <w:rPr>
      <w:sz w:val="20"/>
      <w:szCs w:val="20"/>
    </w:rPr>
  </w:style>
  <w:style w:type="character" w:styleId="182">
    <w:name w:val="Footnote Text Char"/>
    <w:basedOn w:val="839"/>
    <w:link w:val="181"/>
    <w:uiPriority w:val="99"/>
    <w:semiHidden/>
    <w:pPr>
      <w:pBdr/>
      <w:spacing/>
      <w:ind/>
    </w:pPr>
    <w:rPr>
      <w:sz w:val="20"/>
      <w:szCs w:val="20"/>
    </w:rPr>
  </w:style>
  <w:style w:type="character" w:styleId="183">
    <w:name w:val="footnote reference"/>
    <w:basedOn w:val="839"/>
    <w:uiPriority w:val="99"/>
    <w:semiHidden/>
    <w:unhideWhenUsed/>
    <w:pPr>
      <w:pBdr/>
      <w:spacing/>
      <w:ind/>
    </w:pPr>
    <w:rPr>
      <w:vertAlign w:val="superscript"/>
    </w:rPr>
  </w:style>
  <w:style w:type="paragraph" w:styleId="184">
    <w:name w:val="endnote text"/>
    <w:basedOn w:val="834"/>
    <w:link w:val="185"/>
    <w:uiPriority w:val="99"/>
    <w:semiHidden/>
    <w:unhideWhenUsed/>
    <w:pPr>
      <w:pBdr/>
      <w:spacing w:after="0" w:line="240" w:lineRule="auto"/>
      <w:ind/>
    </w:pPr>
    <w:rPr>
      <w:sz w:val="20"/>
      <w:szCs w:val="20"/>
    </w:rPr>
  </w:style>
  <w:style w:type="character" w:styleId="185">
    <w:name w:val="Endnote Text Char"/>
    <w:basedOn w:val="839"/>
    <w:link w:val="184"/>
    <w:uiPriority w:val="99"/>
    <w:semiHidden/>
    <w:pPr>
      <w:pBdr/>
      <w:spacing/>
      <w:ind/>
    </w:pPr>
    <w:rPr>
      <w:sz w:val="20"/>
      <w:szCs w:val="20"/>
    </w:rPr>
  </w:style>
  <w:style w:type="character" w:styleId="186">
    <w:name w:val="endnote reference"/>
    <w:basedOn w:val="839"/>
    <w:uiPriority w:val="99"/>
    <w:semiHidden/>
    <w:unhideWhenUsed/>
    <w:pPr>
      <w:pBdr/>
      <w:spacing/>
      <w:ind/>
    </w:pPr>
    <w:rPr>
      <w:vertAlign w:val="superscript"/>
    </w:rPr>
  </w:style>
  <w:style w:type="paragraph" w:styleId="189">
    <w:name w:val="toc 1"/>
    <w:basedOn w:val="834"/>
    <w:next w:val="834"/>
    <w:uiPriority w:val="39"/>
    <w:unhideWhenUsed/>
    <w:pPr>
      <w:pBdr/>
      <w:spacing w:after="100"/>
      <w:ind/>
    </w:pPr>
  </w:style>
  <w:style w:type="paragraph" w:styleId="190">
    <w:name w:val="toc 2"/>
    <w:basedOn w:val="834"/>
    <w:next w:val="834"/>
    <w:uiPriority w:val="39"/>
    <w:unhideWhenUsed/>
    <w:pPr>
      <w:pBdr/>
      <w:spacing w:after="100"/>
      <w:ind w:left="220"/>
    </w:pPr>
  </w:style>
  <w:style w:type="paragraph" w:styleId="191">
    <w:name w:val="toc 3"/>
    <w:basedOn w:val="834"/>
    <w:next w:val="834"/>
    <w:uiPriority w:val="39"/>
    <w:unhideWhenUsed/>
    <w:pPr>
      <w:pBdr/>
      <w:spacing w:after="100"/>
      <w:ind w:left="440"/>
    </w:pPr>
  </w:style>
  <w:style w:type="paragraph" w:styleId="192">
    <w:name w:val="toc 4"/>
    <w:basedOn w:val="834"/>
    <w:next w:val="834"/>
    <w:uiPriority w:val="39"/>
    <w:unhideWhenUsed/>
    <w:pPr>
      <w:pBdr/>
      <w:spacing w:after="100"/>
      <w:ind w:left="660"/>
    </w:pPr>
  </w:style>
  <w:style w:type="paragraph" w:styleId="193">
    <w:name w:val="toc 5"/>
    <w:basedOn w:val="834"/>
    <w:next w:val="834"/>
    <w:uiPriority w:val="39"/>
    <w:unhideWhenUsed/>
    <w:pPr>
      <w:pBdr/>
      <w:spacing w:after="100"/>
      <w:ind w:left="880"/>
    </w:pPr>
  </w:style>
  <w:style w:type="paragraph" w:styleId="194">
    <w:name w:val="toc 6"/>
    <w:basedOn w:val="834"/>
    <w:next w:val="834"/>
    <w:uiPriority w:val="39"/>
    <w:unhideWhenUsed/>
    <w:pPr>
      <w:pBdr/>
      <w:spacing w:after="100"/>
      <w:ind w:left="1100"/>
    </w:pPr>
  </w:style>
  <w:style w:type="paragraph" w:styleId="195">
    <w:name w:val="toc 7"/>
    <w:basedOn w:val="834"/>
    <w:next w:val="834"/>
    <w:uiPriority w:val="39"/>
    <w:unhideWhenUsed/>
    <w:pPr>
      <w:pBdr/>
      <w:spacing w:after="100"/>
      <w:ind w:left="1320"/>
    </w:pPr>
  </w:style>
  <w:style w:type="paragraph" w:styleId="196">
    <w:name w:val="toc 8"/>
    <w:basedOn w:val="834"/>
    <w:next w:val="834"/>
    <w:uiPriority w:val="39"/>
    <w:unhideWhenUsed/>
    <w:pPr>
      <w:pBdr/>
      <w:spacing w:after="100"/>
      <w:ind w:left="1540"/>
    </w:pPr>
  </w:style>
  <w:style w:type="paragraph" w:styleId="197">
    <w:name w:val="toc 9"/>
    <w:basedOn w:val="834"/>
    <w:next w:val="834"/>
    <w:uiPriority w:val="39"/>
    <w:unhideWhenUsed/>
    <w:pPr>
      <w:pBdr/>
      <w:spacing w:after="100"/>
      <w:ind w:left="1760"/>
    </w:pPr>
  </w:style>
  <w:style w:type="character" w:styleId="198">
    <w:name w:val="Placeholder Text"/>
    <w:basedOn w:val="839"/>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34"/>
    <w:next w:val="834"/>
    <w:uiPriority w:val="99"/>
    <w:unhideWhenUsed/>
    <w:pPr>
      <w:pBdr/>
      <w:spacing w:after="0" w:afterAutospacing="0"/>
      <w:ind/>
    </w:pPr>
  </w:style>
  <w:style w:type="paragraph" w:styleId="834" w:default="1">
    <w:name w:val="Normal"/>
    <w:qFormat/>
    <w:pPr>
      <w:pBdr/>
      <w:spacing w:after="0" w:line="240" w:lineRule="auto"/>
      <w:ind/>
    </w:pPr>
    <w:rPr>
      <w:rFonts w:ascii="Times New Roman" w:hAnsi="Times New Roman" w:eastAsia="Times New Roman" w:cs="Times New Roman"/>
      <w:sz w:val="24"/>
      <w:szCs w:val="24"/>
    </w:rPr>
  </w:style>
  <w:style w:type="paragraph" w:styleId="835">
    <w:name w:val="Heading 1"/>
    <w:basedOn w:val="834"/>
    <w:next w:val="834"/>
    <w:link w:val="842"/>
    <w:qFormat/>
    <w:pPr>
      <w:keepNext w:val="true"/>
      <w:pBdr/>
      <w:spacing w:after="120" w:before="120"/>
      <w:ind/>
      <w:jc w:val="center"/>
      <w:outlineLvl w:val="0"/>
    </w:pPr>
    <w:rPr>
      <w:b/>
      <w:bCs/>
      <w:sz w:val="27"/>
      <w:szCs w:val="27"/>
    </w:rPr>
  </w:style>
  <w:style w:type="paragraph" w:styleId="836">
    <w:name w:val="Heading 2"/>
    <w:basedOn w:val="834"/>
    <w:next w:val="834"/>
    <w:link w:val="84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837">
    <w:name w:val="Heading 3"/>
    <w:basedOn w:val="834"/>
    <w:next w:val="834"/>
    <w:link w:val="844"/>
    <w:qFormat/>
    <w:pPr>
      <w:keepNext w:val="true"/>
      <w:pBdr/>
      <w:spacing w:before="60"/>
      <w:ind/>
      <w:outlineLvl w:val="2"/>
    </w:pPr>
    <w:rPr>
      <w:sz w:val="28"/>
      <w:szCs w:val="28"/>
    </w:rPr>
  </w:style>
  <w:style w:type="paragraph" w:styleId="838">
    <w:name w:val="Heading 4"/>
    <w:basedOn w:val="834"/>
    <w:next w:val="834"/>
    <w:link w:val="845"/>
    <w:qFormat/>
    <w:pPr>
      <w:keepNext w:val="true"/>
      <w:pBdr/>
      <w:spacing/>
      <w:ind/>
      <w:jc w:val="center"/>
      <w:outlineLvl w:val="3"/>
    </w:pPr>
    <w:rPr>
      <w:b/>
      <w:bCs/>
    </w:rPr>
  </w:style>
  <w:style w:type="character" w:styleId="839" w:default="1">
    <w:name w:val="Default Paragraph Font"/>
    <w:uiPriority w:val="1"/>
    <w:semiHidden/>
    <w:unhideWhenUsed/>
    <w:pPr>
      <w:pBdr/>
      <w:spacing/>
      <w:ind/>
    </w:pPr>
  </w:style>
  <w:style w:type="table" w:styleId="84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41" w:default="1">
    <w:name w:val="No List"/>
    <w:uiPriority w:val="99"/>
    <w:semiHidden/>
    <w:unhideWhenUsed/>
    <w:pPr>
      <w:pBdr/>
      <w:spacing/>
      <w:ind/>
    </w:pPr>
  </w:style>
  <w:style w:type="character" w:styleId="842" w:customStyle="1">
    <w:name w:val="Heading 1 Char"/>
    <w:basedOn w:val="839"/>
    <w:link w:val="835"/>
    <w:pPr>
      <w:pBdr/>
      <w:spacing/>
      <w:ind/>
    </w:pPr>
    <w:rPr>
      <w:rFonts w:ascii="Times New Roman" w:hAnsi="Times New Roman" w:eastAsia="Times New Roman" w:cs="Times New Roman"/>
      <w:b/>
      <w:bCs/>
      <w:sz w:val="27"/>
      <w:szCs w:val="27"/>
    </w:rPr>
  </w:style>
  <w:style w:type="character" w:styleId="843" w:customStyle="1">
    <w:name w:val="Heading 2 Char"/>
    <w:basedOn w:val="839"/>
    <w:link w:val="836"/>
    <w:uiPriority w:val="9"/>
    <w:pPr>
      <w:pBdr/>
      <w:spacing/>
      <w:ind/>
    </w:pPr>
    <w:rPr>
      <w:rFonts w:asciiTheme="majorHAnsi" w:hAnsiTheme="majorHAnsi" w:eastAsiaTheme="majorEastAsia" w:cstheme="majorBidi"/>
      <w:color w:val="365f91" w:themeColor="accent1" w:themeShade="BF"/>
      <w:sz w:val="26"/>
      <w:szCs w:val="26"/>
    </w:rPr>
  </w:style>
  <w:style w:type="character" w:styleId="844" w:customStyle="1">
    <w:name w:val="Heading 3 Char"/>
    <w:basedOn w:val="839"/>
    <w:link w:val="837"/>
    <w:pPr>
      <w:pBdr/>
      <w:spacing/>
      <w:ind/>
    </w:pPr>
    <w:rPr>
      <w:rFonts w:ascii="Times New Roman" w:hAnsi="Times New Roman" w:eastAsia="Times New Roman" w:cs="Times New Roman"/>
      <w:sz w:val="28"/>
      <w:szCs w:val="28"/>
    </w:rPr>
  </w:style>
  <w:style w:type="character" w:styleId="845" w:customStyle="1">
    <w:name w:val="Heading 4 Char"/>
    <w:basedOn w:val="839"/>
    <w:link w:val="838"/>
    <w:pPr>
      <w:pBdr/>
      <w:spacing/>
      <w:ind/>
    </w:pPr>
    <w:rPr>
      <w:rFonts w:ascii="Times New Roman" w:hAnsi="Times New Roman" w:eastAsia="Times New Roman" w:cs="Times New Roman"/>
      <w:b/>
      <w:bCs/>
      <w:sz w:val="24"/>
      <w:szCs w:val="24"/>
    </w:rPr>
  </w:style>
  <w:style w:type="character" w:styleId="846">
    <w:name w:val="Hyperlink"/>
    <w:uiPriority w:val="99"/>
    <w:pPr>
      <w:pBdr/>
      <w:spacing/>
      <w:ind/>
    </w:pPr>
    <w:rPr>
      <w:color w:val="000000"/>
      <w:u w:val="single"/>
    </w:rPr>
  </w:style>
  <w:style w:type="character" w:styleId="847">
    <w:name w:val="Strong"/>
    <w:uiPriority w:val="22"/>
    <w:qFormat/>
    <w:pPr>
      <w:pBdr/>
      <w:spacing/>
      <w:ind/>
    </w:pPr>
    <w:rPr>
      <w:b/>
      <w:bCs/>
    </w:rPr>
  </w:style>
  <w:style w:type="paragraph" w:styleId="848">
    <w:name w:val="Balloon Text"/>
    <w:basedOn w:val="834"/>
    <w:link w:val="849"/>
    <w:uiPriority w:val="99"/>
    <w:semiHidden/>
    <w:unhideWhenUsed/>
    <w:pPr>
      <w:pBdr/>
      <w:spacing/>
      <w:ind/>
    </w:pPr>
    <w:rPr>
      <w:rFonts w:ascii="Tahoma" w:hAnsi="Tahoma" w:cs="Tahoma"/>
      <w:sz w:val="16"/>
      <w:szCs w:val="16"/>
    </w:rPr>
  </w:style>
  <w:style w:type="character" w:styleId="849" w:customStyle="1">
    <w:name w:val="Balloon Text Char"/>
    <w:basedOn w:val="839"/>
    <w:link w:val="848"/>
    <w:uiPriority w:val="99"/>
    <w:semiHidden/>
    <w:pPr>
      <w:pBdr/>
      <w:spacing/>
      <w:ind/>
    </w:pPr>
    <w:rPr>
      <w:rFonts w:ascii="Tahoma" w:hAnsi="Tahoma" w:eastAsia="Times New Roman" w:cs="Tahoma"/>
      <w:sz w:val="16"/>
      <w:szCs w:val="16"/>
    </w:rPr>
  </w:style>
  <w:style w:type="paragraph" w:styleId="850">
    <w:name w:val="Header"/>
    <w:basedOn w:val="834"/>
    <w:link w:val="851"/>
    <w:unhideWhenUsed/>
    <w:pPr>
      <w:pBdr/>
      <w:tabs>
        <w:tab w:val="center" w:leader="none" w:pos="4680"/>
        <w:tab w:val="right" w:leader="none" w:pos="9360"/>
      </w:tabs>
      <w:spacing/>
      <w:ind/>
    </w:pPr>
  </w:style>
  <w:style w:type="character" w:styleId="851" w:customStyle="1">
    <w:name w:val="Header Char"/>
    <w:basedOn w:val="839"/>
    <w:link w:val="850"/>
    <w:pPr>
      <w:pBdr/>
      <w:spacing/>
      <w:ind/>
    </w:pPr>
    <w:rPr>
      <w:rFonts w:ascii="Times New Roman" w:hAnsi="Times New Roman" w:eastAsia="Times New Roman" w:cs="Times New Roman"/>
      <w:sz w:val="24"/>
      <w:szCs w:val="24"/>
    </w:rPr>
  </w:style>
  <w:style w:type="paragraph" w:styleId="852">
    <w:name w:val="Footer"/>
    <w:basedOn w:val="834"/>
    <w:link w:val="853"/>
    <w:uiPriority w:val="99"/>
    <w:unhideWhenUsed/>
    <w:pPr>
      <w:pBdr/>
      <w:tabs>
        <w:tab w:val="center" w:leader="none" w:pos="4680"/>
        <w:tab w:val="right" w:leader="none" w:pos="9360"/>
      </w:tabs>
      <w:spacing/>
      <w:ind/>
    </w:pPr>
  </w:style>
  <w:style w:type="character" w:styleId="853" w:customStyle="1">
    <w:name w:val="Footer Char"/>
    <w:basedOn w:val="839"/>
    <w:link w:val="852"/>
    <w:uiPriority w:val="99"/>
    <w:pPr>
      <w:pBdr/>
      <w:spacing/>
      <w:ind/>
    </w:pPr>
    <w:rPr>
      <w:rFonts w:ascii="Times New Roman" w:hAnsi="Times New Roman" w:eastAsia="Times New Roman" w:cs="Times New Roman"/>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normal-p"/>
    <w:basedOn w:val="834"/>
    <w:pPr>
      <w:pBdr/>
      <w:spacing/>
      <w:ind/>
      <w:jc w:val="both"/>
    </w:pPr>
    <w:rPr>
      <w:sz w:val="20"/>
      <w:szCs w:val="20"/>
    </w:rPr>
  </w:style>
  <w:style w:type="paragraph" w:styleId="856">
    <w:name w:val="List Paragraph"/>
    <w:basedOn w:val="834"/>
    <w:link w:val="943"/>
    <w:uiPriority w:val="34"/>
    <w:qFormat/>
    <w:pPr>
      <w:pBdr/>
      <w:spacing/>
      <w:ind w:left="720"/>
    </w:pPr>
  </w:style>
  <w:style w:type="paragraph" w:styleId="857">
    <w:name w:val="Normal (Web)"/>
    <w:basedOn w:val="834"/>
    <w:uiPriority w:val="99"/>
    <w:pPr>
      <w:pBdr/>
      <w:spacing w:after="100" w:afterAutospacing="1" w:before="100" w:beforeAutospacing="1"/>
      <w:ind/>
    </w:pPr>
  </w:style>
  <w:style w:type="paragraph" w:styleId="858">
    <w:name w:val="Body Text"/>
    <w:basedOn w:val="834"/>
    <w:link w:val="859"/>
    <w:pPr>
      <w:pBdr/>
      <w:spacing w:after="120"/>
      <w:ind/>
      <w:jc w:val="both"/>
    </w:pPr>
  </w:style>
  <w:style w:type="character" w:styleId="859" w:customStyle="1">
    <w:name w:val="Body Text Char"/>
    <w:basedOn w:val="839"/>
    <w:link w:val="858"/>
    <w:pPr>
      <w:pBdr/>
      <w:spacing/>
      <w:ind/>
    </w:pPr>
    <w:rPr>
      <w:rFonts w:ascii="Times New Roman" w:hAnsi="Times New Roman" w:eastAsia="Times New Roman" w:cs="Times New Roman"/>
      <w:sz w:val="24"/>
      <w:szCs w:val="24"/>
    </w:rPr>
  </w:style>
  <w:style w:type="table" w:styleId="860">
    <w:name w:val="Table Grid"/>
    <w:basedOn w:val="84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862">
    <w:name w:val="annotation reference"/>
    <w:basedOn w:val="839"/>
    <w:uiPriority w:val="99"/>
    <w:semiHidden/>
    <w:unhideWhenUsed/>
    <w:pPr>
      <w:pBdr/>
      <w:spacing/>
      <w:ind/>
    </w:pPr>
    <w:rPr>
      <w:sz w:val="16"/>
      <w:szCs w:val="16"/>
    </w:rPr>
  </w:style>
  <w:style w:type="paragraph" w:styleId="863">
    <w:name w:val="annotation text"/>
    <w:basedOn w:val="834"/>
    <w:link w:val="864"/>
    <w:uiPriority w:val="99"/>
    <w:unhideWhenUsed/>
    <w:pPr>
      <w:pBdr/>
      <w:spacing/>
      <w:ind/>
    </w:pPr>
    <w:rPr>
      <w:sz w:val="20"/>
      <w:szCs w:val="20"/>
    </w:rPr>
  </w:style>
  <w:style w:type="character" w:styleId="864" w:customStyle="1">
    <w:name w:val="Comment Text Char"/>
    <w:basedOn w:val="839"/>
    <w:link w:val="863"/>
    <w:uiPriority w:val="99"/>
    <w:pPr>
      <w:pBdr/>
      <w:spacing/>
      <w:ind/>
    </w:pPr>
    <w:rPr>
      <w:rFonts w:ascii="Times New Roman" w:hAnsi="Times New Roman" w:eastAsia="Times New Roman" w:cs="Times New Roman"/>
      <w:sz w:val="20"/>
      <w:szCs w:val="20"/>
    </w:rPr>
  </w:style>
  <w:style w:type="paragraph" w:styleId="865">
    <w:name w:val="annotation subject"/>
    <w:basedOn w:val="863"/>
    <w:next w:val="863"/>
    <w:link w:val="866"/>
    <w:uiPriority w:val="99"/>
    <w:semiHidden/>
    <w:unhideWhenUsed/>
    <w:pPr>
      <w:pBdr/>
      <w:spacing/>
      <w:ind/>
    </w:pPr>
    <w:rPr>
      <w:b/>
      <w:bCs/>
    </w:rPr>
  </w:style>
  <w:style w:type="character" w:styleId="866" w:customStyle="1">
    <w:name w:val="Comment Subject Char"/>
    <w:basedOn w:val="864"/>
    <w:link w:val="865"/>
    <w:uiPriority w:val="99"/>
    <w:semiHidden/>
    <w:pPr>
      <w:pBdr/>
      <w:spacing/>
      <w:ind/>
    </w:pPr>
    <w:rPr>
      <w:rFonts w:ascii="Times New Roman" w:hAnsi="Times New Roman" w:eastAsia="Times New Roman" w:cs="Times New Roman"/>
      <w:b/>
      <w:bCs/>
      <w:sz w:val="20"/>
      <w:szCs w:val="20"/>
    </w:rPr>
  </w:style>
  <w:style w:type="paragraph" w:styleId="867" w:customStyle="1">
    <w:name w:val="font5"/>
    <w:basedOn w:val="834"/>
    <w:pPr>
      <w:pBdr/>
      <w:spacing w:after="100" w:afterAutospacing="1" w:before="100" w:beforeAutospacing="1"/>
      <w:ind/>
    </w:pPr>
    <w:rPr>
      <w:rFonts w:ascii="Tahoma" w:hAnsi="Tahoma" w:cs="Tahoma"/>
      <w:color w:val="000000"/>
      <w:sz w:val="18"/>
      <w:szCs w:val="18"/>
    </w:rPr>
  </w:style>
  <w:style w:type="paragraph" w:styleId="868" w:customStyle="1">
    <w:name w:val="font6"/>
    <w:basedOn w:val="834"/>
    <w:pPr>
      <w:pBdr/>
      <w:spacing w:after="100" w:afterAutospacing="1" w:before="100" w:beforeAutospacing="1"/>
      <w:ind/>
    </w:pPr>
    <w:rPr>
      <w:rFonts w:ascii="Tahoma" w:hAnsi="Tahoma" w:cs="Tahoma"/>
      <w:b/>
      <w:bCs/>
      <w:color w:val="000000"/>
      <w:sz w:val="18"/>
      <w:szCs w:val="18"/>
    </w:rPr>
  </w:style>
  <w:style w:type="paragraph" w:styleId="869" w:customStyle="1">
    <w:name w:val="xl23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70" w:customStyle="1">
    <w:name w:val="xl234"/>
    <w:basedOn w:val="834"/>
    <w:pPr>
      <w:pBdr/>
      <w:spacing w:after="100" w:afterAutospacing="1" w:before="100" w:beforeAutospacing="1"/>
      <w:ind/>
      <w:jc w:val="center"/>
    </w:pPr>
  </w:style>
  <w:style w:type="paragraph" w:styleId="871" w:customStyle="1">
    <w:name w:val="xl235"/>
    <w:basedOn w:val="834"/>
    <w:pPr>
      <w:pBdr/>
      <w:spacing w:after="100" w:afterAutospacing="1" w:before="100" w:beforeAutospacing="1"/>
      <w:ind/>
      <w:jc w:val="center"/>
    </w:pPr>
    <w:rPr>
      <w:b/>
      <w:bCs/>
    </w:rPr>
  </w:style>
  <w:style w:type="paragraph" w:styleId="872" w:customStyle="1">
    <w:name w:val="xl236"/>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73" w:customStyle="1">
    <w:name w:val="xl23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4" w:customStyle="1">
    <w:name w:val="xl238"/>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75" w:customStyle="1">
    <w:name w:val="xl23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76" w:customStyle="1">
    <w:name w:val="xl240"/>
    <w:basedOn w:val="834"/>
    <w:pPr>
      <w:pBdr/>
      <w:spacing w:after="100" w:afterAutospacing="1" w:before="100" w:beforeAutospacing="1"/>
      <w:ind/>
    </w:pPr>
  </w:style>
  <w:style w:type="paragraph" w:styleId="877" w:customStyle="1">
    <w:name w:val="xl241"/>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8" w:customStyle="1">
    <w:name w:val="xl242"/>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79" w:customStyle="1">
    <w:name w:val="xl243"/>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80" w:customStyle="1">
    <w:name w:val="xl244"/>
    <w:basedOn w:val="834"/>
    <w:pPr>
      <w:pBdr/>
      <w:spacing w:after="100" w:afterAutospacing="1" w:before="100" w:beforeAutospacing="1"/>
      <w:ind/>
    </w:pPr>
    <w:rPr>
      <w:b/>
      <w:bCs/>
    </w:rPr>
  </w:style>
  <w:style w:type="paragraph" w:styleId="881" w:customStyle="1">
    <w:name w:val="xl245"/>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82" w:customStyle="1">
    <w:name w:val="xl24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83" w:customStyle="1">
    <w:name w:val="xl247"/>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84" w:customStyle="1">
    <w:name w:val="xl24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885" w:customStyle="1">
    <w:name w:val="xl24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86" w:customStyle="1">
    <w:name w:val="xl25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887" w:customStyle="1">
    <w:name w:val="xl25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888" w:customStyle="1">
    <w:name w:val="xl25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89" w:customStyle="1">
    <w:name w:val="xl253"/>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0" w:customStyle="1">
    <w:name w:val="xl254"/>
    <w:basedOn w:val="83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91" w:customStyle="1">
    <w:name w:val="xl255"/>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892" w:customStyle="1">
    <w:name w:val="xl25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93" w:customStyle="1">
    <w:name w:val="xl25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4" w:customStyle="1">
    <w:name w:val="xl258"/>
    <w:basedOn w:val="83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95" w:customStyle="1">
    <w:name w:val="xl25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6" w:customStyle="1">
    <w:name w:val="xl260"/>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7" w:customStyle="1">
    <w:name w:val="xl261"/>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98" w:customStyle="1">
    <w:name w:val="xl262"/>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99" w:customStyle="1">
    <w:name w:val="xl263"/>
    <w:basedOn w:val="834"/>
    <w:pPr>
      <w:pBdr/>
      <w:shd w:val="clear" w:color="000000" w:fill="ffffff"/>
      <w:spacing w:after="100" w:afterAutospacing="1" w:before="100" w:beforeAutospacing="1"/>
      <w:ind/>
    </w:pPr>
  </w:style>
  <w:style w:type="paragraph" w:styleId="900" w:customStyle="1">
    <w:name w:val="xl264"/>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01" w:customStyle="1">
    <w:name w:val="xl265"/>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02" w:customStyle="1">
    <w:name w:val="xl26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903" w:customStyle="1">
    <w:name w:val="xl26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904" w:customStyle="1">
    <w:name w:val="xl268"/>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5" w:customStyle="1">
    <w:name w:val="xl269"/>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6" w:customStyle="1">
    <w:name w:val="xl27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07" w:customStyle="1">
    <w:name w:val="xl271"/>
    <w:basedOn w:val="83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908" w:customStyle="1">
    <w:name w:val="xl27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909" w:customStyle="1">
    <w:name w:val="xl273"/>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10" w:customStyle="1">
    <w:name w:val="xl274"/>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11" w:customStyle="1">
    <w:name w:val="xl275"/>
    <w:basedOn w:val="834"/>
    <w:pPr>
      <w:pBdr/>
      <w:spacing w:after="100" w:afterAutospacing="1" w:before="100" w:beforeAutospacing="1"/>
      <w:ind/>
    </w:pPr>
  </w:style>
  <w:style w:type="paragraph" w:styleId="912" w:customStyle="1">
    <w:name w:val="xl27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13" w:customStyle="1">
    <w:name w:val="xl277"/>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914" w:customStyle="1">
    <w:name w:val="xl27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5" w:customStyle="1">
    <w:name w:val="xl27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6" w:customStyle="1">
    <w:name w:val="xl28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17" w:customStyle="1">
    <w:name w:val="xl28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918" w:customStyle="1">
    <w:name w:val="xl28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19" w:customStyle="1">
    <w:name w:val="xl28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0" w:customStyle="1">
    <w:name w:val="xl284"/>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21" w:customStyle="1">
    <w:name w:val="xl285"/>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22" w:customStyle="1">
    <w:name w:val="xl28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3" w:customStyle="1">
    <w:name w:val="xl287"/>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4" w:customStyle="1">
    <w:name w:val="xl288"/>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5" w:customStyle="1">
    <w:name w:val="xl289"/>
    <w:basedOn w:val="834"/>
    <w:pPr>
      <w:pBdr>
        <w:left w:val="single" w:color="000000" w:sz="4" w:space="0"/>
        <w:right w:val="single" w:color="000000" w:sz="4" w:space="0"/>
      </w:pBdr>
      <w:spacing w:after="100" w:afterAutospacing="1" w:before="100" w:beforeAutospacing="1"/>
      <w:ind/>
    </w:pPr>
    <w:rPr>
      <w:b/>
      <w:bCs/>
    </w:rPr>
  </w:style>
  <w:style w:type="paragraph" w:styleId="926" w:customStyle="1">
    <w:name w:val="xl29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27" w:customStyle="1">
    <w:name w:val="xl291"/>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28" w:customStyle="1">
    <w:name w:val="xl292"/>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9" w:customStyle="1">
    <w:name w:val="xl293"/>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30" w:customStyle="1">
    <w:name w:val="xl294"/>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31">
    <w:name w:val="Title"/>
    <w:basedOn w:val="834"/>
    <w:link w:val="932"/>
    <w:qFormat/>
    <w:pPr>
      <w:pBdr/>
      <w:spacing/>
      <w:ind/>
      <w:jc w:val="center"/>
    </w:pPr>
    <w:rPr>
      <w:b/>
      <w:bCs/>
      <w:sz w:val="32"/>
      <w:szCs w:val="26"/>
    </w:rPr>
  </w:style>
  <w:style w:type="character" w:styleId="932" w:customStyle="1">
    <w:name w:val="Title Char"/>
    <w:basedOn w:val="839"/>
    <w:link w:val="931"/>
    <w:pPr>
      <w:pBdr/>
      <w:spacing/>
      <w:ind/>
    </w:pPr>
    <w:rPr>
      <w:rFonts w:ascii="Times New Roman" w:hAnsi="Times New Roman" w:eastAsia="Times New Roman" w:cs="Times New Roman"/>
      <w:b/>
      <w:bCs/>
      <w:sz w:val="32"/>
      <w:szCs w:val="26"/>
    </w:rPr>
  </w:style>
  <w:style w:type="character" w:styleId="933" w:customStyle="1">
    <w:name w:val="Unresolved Mention1"/>
    <w:basedOn w:val="839"/>
    <w:uiPriority w:val="99"/>
    <w:semiHidden/>
    <w:unhideWhenUsed/>
    <w:pPr>
      <w:pBdr/>
      <w:spacing/>
      <w:ind/>
    </w:pPr>
    <w:rPr>
      <w:color w:val="605e5c"/>
      <w:shd w:val="clear" w:color="auto" w:fill="e1dfdd"/>
    </w:rPr>
  </w:style>
  <w:style w:type="character" w:styleId="934" w:customStyle="1">
    <w:name w:val="Body text (3)_"/>
    <w:link w:val="935"/>
    <w:pPr>
      <w:pBdr/>
      <w:spacing/>
      <w:ind/>
    </w:pPr>
    <w:rPr>
      <w:rFonts w:ascii="Times New Roman" w:hAnsi="Times New Roman" w:cs="Times New Roman"/>
      <w:i/>
      <w:iCs/>
      <w:spacing w:val="4"/>
      <w:shd w:val="clear" w:color="auto" w:fill="ffffff"/>
    </w:rPr>
  </w:style>
  <w:style w:type="paragraph" w:styleId="935" w:customStyle="1">
    <w:name w:val="Body text (3)1"/>
    <w:basedOn w:val="834"/>
    <w:link w:val="93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936" w:customStyle="1">
    <w:name w:val="t-j"/>
    <w:basedOn w:val="834"/>
    <w:pPr>
      <w:pBdr/>
      <w:spacing w:after="100" w:afterAutospacing="1" w:before="100" w:beforeAutospacing="1"/>
      <w:ind/>
    </w:pPr>
  </w:style>
  <w:style w:type="character" w:styleId="937" w:customStyle="1">
    <w:name w:val="Unresolved Mention2"/>
    <w:basedOn w:val="839"/>
    <w:uiPriority w:val="99"/>
    <w:semiHidden/>
    <w:unhideWhenUsed/>
    <w:pPr>
      <w:pBdr/>
      <w:spacing/>
      <w:ind/>
    </w:pPr>
    <w:rPr>
      <w:color w:val="605e5c"/>
      <w:shd w:val="clear" w:color="auto" w:fill="e1dfdd"/>
    </w:rPr>
  </w:style>
  <w:style w:type="character" w:styleId="938">
    <w:name w:val="FollowedHyperlink"/>
    <w:basedOn w:val="839"/>
    <w:uiPriority w:val="99"/>
    <w:semiHidden/>
    <w:unhideWhenUsed/>
    <w:pPr>
      <w:pBdr/>
      <w:spacing/>
      <w:ind/>
    </w:pPr>
    <w:rPr>
      <w:color w:val="800080" w:themeColor="followedHyperlink"/>
      <w:u w:val="single"/>
    </w:rPr>
  </w:style>
  <w:style w:type="character" w:styleId="939" w:customStyle="1">
    <w:name w:val="text"/>
    <w:basedOn w:val="839"/>
    <w:pPr>
      <w:pBdr/>
      <w:spacing/>
      <w:ind/>
    </w:pPr>
  </w:style>
  <w:style w:type="character" w:styleId="940" w:customStyle="1">
    <w:name w:val="card-send-time__sendtime"/>
    <w:basedOn w:val="839"/>
    <w:pPr>
      <w:pBdr/>
      <w:spacing/>
      <w:ind/>
    </w:pPr>
  </w:style>
  <w:style w:type="character" w:styleId="941" w:customStyle="1">
    <w:name w:val="Đề cập Chưa giải quyết1"/>
    <w:basedOn w:val="839"/>
    <w:uiPriority w:val="99"/>
    <w:semiHidden/>
    <w:unhideWhenUsed/>
    <w:pPr>
      <w:pBdr/>
      <w:spacing/>
      <w:ind/>
    </w:pPr>
    <w:rPr>
      <w:color w:val="605e5c"/>
      <w:shd w:val="clear" w:color="auto" w:fill="e1dfdd"/>
    </w:rPr>
  </w:style>
  <w:style w:type="paragraph" w:styleId="942" w:customStyle="1">
    <w:name w:val="nqtitle"/>
    <w:basedOn w:val="834"/>
    <w:pPr>
      <w:pBdr/>
      <w:spacing w:after="100" w:afterAutospacing="1" w:before="100" w:beforeAutospacing="1"/>
      <w:ind/>
    </w:pPr>
    <w:rPr>
      <w:lang w:val="vi-VN" w:eastAsia="vi-VN"/>
    </w:rPr>
  </w:style>
  <w:style w:type="character" w:styleId="943" w:customStyle="1">
    <w:name w:val="List Paragraph Char"/>
    <w:link w:val="856"/>
    <w:uiPriority w:val="34"/>
    <w:qFormat/>
    <w:pPr>
      <w:pBdr/>
      <w:spacing/>
      <w:ind/>
    </w:pPr>
    <w:rPr>
      <w:rFonts w:ascii="Times New Roman" w:hAnsi="Times New Roman" w:eastAsia="Times New Roman" w:cs="Times New Roman"/>
      <w:sz w:val="24"/>
      <w:szCs w:val="24"/>
    </w:rPr>
  </w:style>
  <w:style w:type="character" w:styleId="944" w:customStyle="1">
    <w:name w:val="Đề cập Chưa giải quyết2"/>
    <w:basedOn w:val="839"/>
    <w:uiPriority w:val="99"/>
    <w:semiHidden/>
    <w:unhideWhenUsed/>
    <w:pPr>
      <w:pBdr/>
      <w:spacing/>
      <w:ind/>
    </w:pPr>
    <w:rPr>
      <w:color w:val="605e5c"/>
      <w:shd w:val="clear" w:color="auto" w:fill="e1dfdd"/>
    </w:rPr>
  </w:style>
  <w:style w:type="character" w:styleId="945" w:customStyle="1">
    <w:name w:val="Unresolved Mention3"/>
    <w:basedOn w:val="839"/>
    <w:uiPriority w:val="99"/>
    <w:semiHidden/>
    <w:unhideWhenUsed/>
    <w:pPr>
      <w:pBdr/>
      <w:spacing/>
      <w:ind/>
    </w:pPr>
    <w:rPr>
      <w:color w:val="605e5c"/>
      <w:shd w:val="clear" w:color="auto" w:fill="e1dfdd"/>
    </w:rPr>
  </w:style>
  <w:style w:type="character" w:styleId="946" w:customStyle="1">
    <w:name w:val="copy"/>
    <w:basedOn w:val="839"/>
    <w:pPr>
      <w:pBdr/>
      <w:spacing/>
      <w:ind/>
    </w:pPr>
  </w:style>
  <w:style w:type="paragraph" w:styleId="947" w:customStyle="1">
    <w:name w:val="align-justify"/>
    <w:basedOn w:val="834"/>
    <w:pPr>
      <w:pBdr/>
      <w:spacing w:after="100" w:afterAutospacing="1" w:before="100" w:beforeAutospacing="1"/>
      <w:ind/>
    </w:pPr>
  </w:style>
  <w:style w:type="character" w:styleId="948" w:customStyle="1">
    <w:name w:val="btn"/>
    <w:basedOn w:val="839"/>
    <w:pPr>
      <w:pBdr/>
      <w:spacing/>
      <w:ind/>
    </w:pPr>
  </w:style>
  <w:style w:type="character" w:styleId="949" w:customStyle="1">
    <w:name w:val="hide_mobile"/>
    <w:basedOn w:val="839"/>
    <w:pPr>
      <w:pBdr/>
      <w:spacing/>
      <w:ind/>
    </w:pPr>
  </w:style>
  <w:style w:type="character" w:styleId="950">
    <w:name w:val="Emphasis"/>
    <w:basedOn w:val="839"/>
    <w:uiPriority w:val="20"/>
    <w:qFormat/>
    <w:pPr>
      <w:pBdr/>
      <w:spacing/>
      <w:ind/>
    </w:pPr>
    <w:rPr>
      <w:i/>
      <w:iCs/>
    </w:rPr>
  </w:style>
  <w:style w:type="character" w:styleId="951" w:customStyle="1">
    <w:name w:val="t1"/>
    <w:basedOn w:val="839"/>
    <w:pPr>
      <w:pBdr/>
      <w:spacing/>
      <w:ind/>
    </w:pPr>
  </w:style>
  <w:style w:type="character" w:styleId="952" w:customStyle="1">
    <w:name w:val="Unresolved Mention4"/>
    <w:basedOn w:val="839"/>
    <w:uiPriority w:val="99"/>
    <w:semiHidden/>
    <w:unhideWhenUsed/>
    <w:pPr>
      <w:pBdr/>
      <w:spacing/>
      <w:ind/>
    </w:pPr>
    <w:rPr>
      <w:color w:val="605e5c"/>
      <w:shd w:val="clear" w:color="auto" w:fill="e1dfdd"/>
    </w:rPr>
  </w:style>
  <w:style w:type="character" w:styleId="953">
    <w:name w:val="Unresolved Mention"/>
    <w:basedOn w:val="83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 Dung</cp:lastModifiedBy>
  <cp:revision>271</cp:revision>
  <dcterms:created xsi:type="dcterms:W3CDTF">2025-09-15T09:58:00Z</dcterms:created>
  <dcterms:modified xsi:type="dcterms:W3CDTF">2026-02-09T10:02:40Z</dcterms:modified>
</cp:coreProperties>
</file>