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29115</wp:posOffset>
                </wp:positionH>
                <wp:positionV relativeFrom="paragraph">
                  <wp:posOffset>116554</wp:posOffset>
                </wp:positionV>
                <wp:extent cx="5687893" cy="301844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687892" cy="3018447"/>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275/2026/0292/VFI-CT.21.A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VÀ XÂY DỰNG VINA2</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w:t>
                            </w:r>
                            <w:r>
                              <w:rPr>
                                <w:color w:val="000000"/>
                              </w:rPr>
                              <w:t xml:space="preserve">ền sử dụng đất tại thửa đất số: 427, tờ bản đồ số 66 có địa chỉ: Xóm Văn Yên, xã Yên Thành, tỉnh Nghệ An theo Giấy chứng nhận quyền sử dụng đất, quyền sở hữu tài sản gắn liền với đất số: AA 06416719, số vào sổ cấp GCN: CN 10392 do Chi nhánh văn phòng đăng </w:t>
                            </w:r>
                            <w:r>
                              <w:rPr>
                                <w:color w:val="000000"/>
                              </w:rPr>
                              <w:t xml:space="preserve">ký đất đai huyện Yên Thành cấp ngày 29/01/2026; Chủ sử dụng đất là Bà Nguyễn Thị Trầm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2.29pt;mso-position-horizontal:absolute;mso-position-vertical-relative:text;margin-top:9.18pt;mso-position-vertical:absolute;width:447.87pt;height:237.67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275/2026/0292/VFI-CT.21.A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ĐẦU TƯ VÀ XÂY DỰNG VINA2</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w:t>
                      </w:r>
                      <w:r>
                        <w:rPr>
                          <w:color w:val="000000"/>
                        </w:rPr>
                        <w:t xml:space="preserve">ền sử dụng đất tại thửa đất số: 427, tờ bản đồ số 66 có địa chỉ: Xóm Văn Yên, xã Yên Thành, tỉnh Nghệ An theo Giấy chứng nhận quyền sử dụng đất, quyền sở hữu tài sản gắn liền với đất số: AA 06416719, số vào sổ cấp GCN: CN 10392 do Chi nhánh văn phòng đăng </w:t>
                      </w:r>
                      <w:r>
                        <w:rPr>
                          <w:color w:val="000000"/>
                        </w:rPr>
                        <w:t xml:space="preserve">ký đất đai huyện Yên Thành cấp ngày 29/01/2026; Chủ sử dụng đất là Bà Nguyễn Thị Trầm</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21-26</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3" w:type="dxa"/>
        <w:tblBorders/>
        <w:tblLayout w:type="fixed"/>
        <w:tblLook w:val="04A0" w:firstRow="1" w:lastRow="0" w:firstColumn="1" w:lastColumn="0" w:noHBand="0" w:noVBand="1"/>
      </w:tblPr>
      <w:tblGrid>
        <w:gridCol w:w="170"/>
        <w:gridCol w:w="1559"/>
        <w:gridCol w:w="8079"/>
        <w:gridCol w:w="285"/>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36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60"/>
        </w:trPr>
        <w:tc>
          <w:tcPr>
            <w:gridSpan w:val="2"/>
            <w:shd w:val="clear" w:color="auto" w:fill="auto"/>
            <w:tcBorders/>
            <w:tcMar>
              <w:left w:w="108" w:type="dxa"/>
              <w:top w:w="0" w:type="dxa"/>
              <w:right w:w="108" w:type="dxa"/>
              <w:bottom w:w="0" w:type="dxa"/>
            </w:tcMar>
            <w:tcW w:w="9638"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275/2026/0292/VFI-CT.21.A                                      </w:t>
            </w: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07 tháng 02 năm 2026</w:t>
            </w:r>
            <w:r>
              <w:rPr>
                <w:color w:val="000000" w:themeColor="text1"/>
                <w:sz w:val="24"/>
                <w:szCs w:val="24"/>
              </w:rPr>
            </w:r>
            <w:r>
              <w:rPr>
                <w:color w:val="000000" w:themeColor="text1"/>
                <w:sz w:val="24"/>
                <w:szCs w:val="24"/>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ĐẦU TƯ VÀ XÂY DỰNG VINA2</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275/2026/0292/VFI-HĐTĐ.21.A</w:t>
      </w:r>
      <w:r>
        <w:rPr>
          <w:spacing w:val="-4"/>
          <w:lang w:val="vi-VN"/>
        </w:rPr>
        <w:t xml:space="preserve"> ký ngày 06 tháng 02 năm 2026</w:t>
      </w:r>
      <w:r>
        <w:rPr>
          <w:spacing w:val="-4"/>
          <w:lang w:val="vi-VN"/>
        </w:rPr>
        <w:t xml:space="preserve"> </w:t>
      </w:r>
      <w:r>
        <w:rPr>
          <w:spacing w:val="-4"/>
          <w:lang w:val="vi-VN"/>
        </w:rPr>
        <w:t xml:space="preserve">giữa </w:t>
      </w:r>
      <w:r>
        <w:rPr>
          <w:color w:val="000000" w:themeColor="text1"/>
          <w:spacing w:val="-4"/>
        </w:rPr>
        <w:t xml:space="preserve">Công ty Cổ phần Đầu tư và Xây dựng VINA2</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275/2026/0292/VFI-BC.21.A</w:t>
      </w:r>
      <w:r>
        <w:rPr>
          <w:spacing w:val="-2"/>
          <w:lang w:val="pt-BR"/>
        </w:rPr>
        <w:t xml:space="preserve"> </w:t>
      </w:r>
      <w:r>
        <w:rPr>
          <w:spacing w:val="-2"/>
          <w:lang w:val="pt-BR"/>
        </w:rPr>
        <w:t xml:space="preserve">ngày 07 tháng 02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b/>
                <w:bCs/>
              </w:rPr>
              <w:t xml:space="preserve">CÔNG TY CỔ PHẦN ĐẦU TƯ VÀ XÂY DỰNG VINA2</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Tầng 2 - 4, toà nhà B - KĐTM Kim Văn – Kĩm Lũ, phường Định Công, Thành phố Hà Nội</w:t>
            </w:r>
            <w:r>
              <w:rPr>
                <w:color w:val="ff0000"/>
                <w:lang w:val="pt-BR"/>
              </w:rPr>
            </w:r>
            <w:r>
              <w:rPr>
                <w:color w:val="ff0000"/>
                <w:lang w:val="pt-BR"/>
              </w:rPr>
            </w:r>
          </w:p>
        </w:tc>
      </w:tr>
      <w:tr>
        <w:trPr>
          <w:trHeight w:val="20"/>
        </w:trPr>
        <w:tc>
          <w:tcPr>
            <w:shd w:val="clear" w:color="ffffff" w:fill="ffffff"/>
            <w:tcBorders/>
            <w:tcW w:w="1109" w:type="pct"/>
            <w:vAlign w:val="center"/>
            <w:vMerge w:val="restart"/>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0100105895</w:t>
            </w:r>
            <w:r>
              <w:rPr>
                <w:color w:val="000000" w:themeColor="text1"/>
                <w:lang w:val="vi-VN"/>
              </w:rPr>
            </w:r>
            <w:r>
              <w:rPr>
                <w:color w:val="000000" w:themeColor="text1"/>
                <w:lang w:val="vi-VN"/>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Ông Nguyễn Thanh Tuyên</w:t>
            </w:r>
            <w:r>
              <w:rPr>
                <w:b/>
                <w:bCs/>
                <w:color w:val="ff0000"/>
              </w:rPr>
            </w:r>
            <w:r>
              <w:rPr>
                <w:b/>
                <w:bCs/>
                <w:color w:val="ff0000"/>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Chủ tịch Hội đồng quản trị</w:t>
            </w:r>
            <w:r>
              <w:rPr>
                <w:b/>
                <w:bCs/>
                <w:color w:val="ff0000"/>
              </w:rPr>
            </w:r>
            <w:r>
              <w:rPr>
                <w:b/>
                <w:bCs/>
                <w:color w:val="ff0000"/>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rPr>
        <w:t xml:space="preserve">Q</w:t>
      </w:r>
      <w:r>
        <w:rPr>
          <w:color w:val="000000"/>
        </w:rPr>
        <w:t xml:space="preserve">uy</w:t>
      </w:r>
      <w:r>
        <w:rPr>
          <w:color w:val="000000"/>
        </w:rPr>
        <w:t xml:space="preserve">ền sử dụng đất tại thửa đất số: 427, tờ bản đồ số 66 có địa chỉ: Xóm Văn Yên, xã Yên Thành, tỉnh Nghệ An theo Giấy chứng nhận quyền sử dụng đất, quyền sở hữu tài sản gắn liền với đất số: AA 06416719, số vào sổ cấp GCN: CN 10392 do Chi nhánh văn phòng đăng </w:t>
      </w:r>
      <w:r>
        <w:rPr>
          <w:color w:val="000000"/>
        </w:rPr>
        <w:t xml:space="preserve">ký đất đai huyện Yên Thành cấp ngày 29/01/2026; Chủ sử dụng đất là Bà Nguyễn Thị Trầm</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12"/>
        <w:gridCol w:w="3143"/>
        <w:gridCol w:w="1701"/>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1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74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1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2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w:t>
            </w:r>
            <w:r>
              <w:rPr>
                <w:rFonts w:ascii="Times New Roman" w:hAnsi="Times New Roman" w:eastAsia="Times New Roman" w:cs="Times New Roman"/>
                <w:b/>
                <w:color w:val="000000"/>
                <w:sz w:val="24"/>
              </w:rPr>
              <w:t xml:space="preserve">yền sử dụng đất tại thửa đất số: 427, tờ bản đồ số 66 có địa chỉ: Xóm Văn Yên, xã Yên Thành, tỉnh Nghệ An theo Giấy chứng nhận quyền sử dụng đất, quyền sở hữu tài sản gắn liền với đất số: AA 06416719, số vào sổ cấp GCN: CN 10392 do Chi nhánh văn phòng đăng</w:t>
            </w:r>
            <w:r>
              <w:rPr>
                <w:rFonts w:ascii="Times New Roman" w:hAnsi="Times New Roman" w:eastAsia="Times New Roman" w:cs="Times New Roman"/>
                <w:b/>
                <w:color w:val="000000"/>
                <w:sz w:val="24"/>
              </w:rPr>
              <w:t xml:space="preserve"> ký đất đai huyện Yên Thành cấp ngày 29/01/2026; Chủ sử dụng đất là Bà Nguyễn Thị Trầm.</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1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143" w:type="dxa"/>
            <w:vAlign w:val="center"/>
            <w:textDirection w:val="lrTb"/>
            <w:noWrap w:val="false"/>
          </w:tcPr>
          <w:p>
            <w:pPr>
              <w:pBdr/>
              <w:tabs>
                <w:tab w:val="center" w:leader="none" w:pos="1564"/>
              </w:tabs>
              <w:spacing w:after="0" w:before="0" w:line="276" w:lineRule="auto"/>
              <w:ind/>
              <w:rPr/>
            </w:pPr>
            <w:r>
              <w:rPr>
                <w:rFonts w:ascii="Times New Roman" w:hAnsi="Times New Roman" w:eastAsia="Times New Roman" w:cs="Times New Roman"/>
                <w:color w:val="000000"/>
                <w:sz w:val="24"/>
              </w:rPr>
              <w:t xml:space="preserve">Đất ONT + CLN nằm ngoài CGQHGT</w:t>
            </w:r>
            <w:r>
              <w:tab/>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523,4</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3.663.800.000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712" w:type="dxa"/>
            <w:vAlign w:val="center"/>
            <w:textDirection w:val="lrTb"/>
            <w:noWrap/>
          </w:tcPr>
          <w:p>
            <w:pPr>
              <w:pBdr/>
              <w:spacing w:after="0" w:before="0" w:line="276"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02</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3143" w:type="dxa"/>
            <w:vAlign w:val="bottom"/>
            <w:textDirection w:val="lrTb"/>
            <w:noWrap w:val="false"/>
          </w:tcPr>
          <w:p>
            <w:pPr>
              <w:pBdr/>
              <w:spacing w:after="0" w:before="0" w:line="276"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Đất CLN nằm trong CGQHG</w:t>
            </w:r>
            <w:r>
              <w:rPr>
                <w:rFonts w:ascii="Times New Roman" w:hAnsi="Times New Roman" w:eastAsia="Times New Roman" w:cs="Times New Roman"/>
                <w:color w:val="000000"/>
                <w:sz w:val="24"/>
                <w:szCs w:val="24"/>
              </w:rPr>
              <w:t xml:space="preserve">T</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220,1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63.000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13.866.300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4"/>
              </w:rPr>
              <w:t xml:space="preserve">3.677.666.300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4"/>
              </w:rPr>
              <w:t xml:space="preserve">3.678.000.000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Ba tỷ, sáu trăm bảy mươi tám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408" w:type="dxa"/>
        <w:tblBorders/>
        <w:tblLayout w:type="fixed"/>
        <w:tblLook w:val="04A0" w:firstRow="1" w:lastRow="0" w:firstColumn="1" w:lastColumn="0" w:noHBand="0" w:noVBand="1"/>
      </w:tblPr>
      <w:tblGrid>
        <w:gridCol w:w="170"/>
        <w:gridCol w:w="1701"/>
        <w:gridCol w:w="8362"/>
        <w:gridCol w:w="175"/>
      </w:tblGrid>
      <w:tr>
        <w:trPr>
          <w:trHeight w:val="1559"/>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53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364"/>
        </w:trPr>
        <w:tc>
          <w:tcPr>
            <w:gridSpan w:val="2"/>
            <w:shd w:val="clear" w:color="auto" w:fill="auto"/>
            <w:tcBorders/>
            <w:tcMar>
              <w:left w:w="108" w:type="dxa"/>
              <w:top w:w="0" w:type="dxa"/>
              <w:right w:w="108" w:type="dxa"/>
              <w:bottom w:w="0" w:type="dxa"/>
            </w:tcMar>
            <w:tcW w:w="10063"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w:t>
            </w:r>
            <w:r>
              <w:rPr>
                <w:rStyle w:val="1029"/>
                <w:rFonts w:ascii="Times New Roman" w:hAnsi="Times New Roman"/>
                <w:color w:val="000000" w:themeColor="text1"/>
                <w:lang w:val="pt-BR"/>
              </w:rPr>
              <w:t xml:space="preserve">: </w:t>
            </w:r>
            <w:r>
              <w:rPr>
                <w:rStyle w:val="1029"/>
                <w:rFonts w:ascii="Times New Roman" w:hAnsi="Times New Roman"/>
                <w:color w:val="000000" w:themeColor="text1"/>
                <w:lang w:val="pt-BR"/>
              </w:rPr>
              <w:t xml:space="preserve">275/2026/0292/VFI-BC.21.A                                             </w:t>
            </w:r>
            <w:r>
              <w:rPr>
                <w:rStyle w:val="1029"/>
                <w:rFonts w:ascii="Times New Roman" w:hAnsi="Times New Roman"/>
                <w:i/>
                <w:color w:val="auto"/>
              </w:rPr>
              <w:t xml:space="preserve">TP. </w:t>
            </w:r>
            <w:r>
              <w:rPr>
                <w:rStyle w:val="1029"/>
                <w:rFonts w:ascii="Times New Roman" w:hAnsi="Times New Roman"/>
                <w:i/>
                <w:color w:val="auto"/>
              </w:rPr>
              <w:t xml:space="preserve">Hà</w:t>
            </w:r>
            <w:r>
              <w:rPr>
                <w:rStyle w:val="1029"/>
                <w:rFonts w:ascii="Times New Roman" w:hAnsi="Times New Roman"/>
                <w:i/>
                <w:color w:val="auto"/>
              </w:rPr>
              <w:t xml:space="preserve"> </w:t>
            </w:r>
            <w:r>
              <w:rPr>
                <w:rStyle w:val="1029"/>
                <w:rFonts w:ascii="Times New Roman" w:hAnsi="Times New Roman"/>
                <w:i/>
                <w:color w:val="auto"/>
              </w:rPr>
              <w:t xml:space="preserve">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07 tháng 02 năm 2026</w:t>
            </w:r>
            <w:r>
              <w:rPr>
                <w:color w:val="000000" w:themeColor="text1"/>
                <w:sz w:val="24"/>
                <w:szCs w:val="24"/>
              </w:rPr>
            </w:r>
            <w:r>
              <w:rPr>
                <w:color w:val="000000" w:themeColor="text1"/>
                <w:sz w:val="24"/>
                <w:szCs w:val="24"/>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275/2026/0292/VFI-CT.21.A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07 tháng 02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r>
            <w:r>
              <w:rPr>
                <w:b/>
                <w:bCs/>
                <w:lang w:val="vi-VN"/>
              </w:rPr>
            </w:r>
          </w:p>
        </w:tc>
      </w:tr>
      <w:tr>
        <w:trPr>
          <w:trHeight w:val="20"/>
        </w:trPr>
        <w:tc>
          <w:tcPr>
            <w:tcBorders/>
            <w:tcW w:w="2552"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6940"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r>
            <w:r>
              <w:rPr>
                <w:b/>
                <w:bCs/>
              </w:rPr>
              <w:t xml:space="preserve">CÔNG TY CỔ PHẦN ĐẦU TƯ VÀ XÂY DỰNG VINA2</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Tầng 2 - 4, toà nhà B - KĐTM Kim Văn – Kĩm Lũ, phường Định Công,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6945" w:type="dxa"/>
            <w:vAlign w:val="center"/>
            <w:textDirection w:val="lrTb"/>
            <w:noWrap w:val="false"/>
          </w:tcPr>
          <w:p>
            <w:pPr>
              <w:pBdr/>
              <w:spacing w:after="40" w:before="40" w:line="276" w:lineRule="auto"/>
              <w:ind/>
              <w:jc w:val="both"/>
              <w:rPr>
                <w:color w:val="000000" w:themeColor="text1"/>
                <w:lang w:val="vi-VN"/>
              </w:rPr>
            </w:pPr>
            <w:r>
              <w:rPr>
                <w:color w:val="000000" w:themeColor="text1"/>
                <w:lang w:val="vi-VN"/>
              </w:rPr>
              <w:t xml:space="preserve">0100105895</w:t>
            </w:r>
            <w:r>
              <w:rPr>
                <w:color w:val="000000" w:themeColor="text1"/>
                <w:lang w:val="vi-VN"/>
              </w:rPr>
            </w:r>
            <w:r>
              <w:rPr>
                <w:color w:val="000000" w:themeColor="text1"/>
                <w:lang w:val="vi-VN"/>
              </w:rPr>
            </w:r>
          </w:p>
        </w:tc>
      </w:tr>
      <w:tr>
        <w:trPr>
          <w:trHeight w:val="20"/>
        </w:trPr>
        <w:tc>
          <w:tcPr>
            <w:tcBorders/>
            <w:tcW w:w="2518"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vMerge w:val="restart"/>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vMerge w:val="restart"/>
            <w:textDirection w:val="lrTb"/>
            <w:noWrap w:val="false"/>
          </w:tcPr>
          <w:p>
            <w:pPr>
              <w:pBdr/>
              <w:spacing w:after="40" w:before="40" w:line="276" w:lineRule="auto"/>
              <w:ind/>
              <w:jc w:val="both"/>
              <w:rPr>
                <w:b/>
                <w:bCs/>
                <w:color w:val="ff0000"/>
              </w:rPr>
            </w:pPr>
            <w:r>
              <w:rPr>
                <w:b/>
                <w:bCs/>
                <w:color w:val="000000" w:themeColor="text1"/>
                <w:lang w:val="vi-VN"/>
              </w:rPr>
              <w:t xml:space="preserve">Ông Nguyễn Thanh Tuyên</w:t>
            </w:r>
            <w:r>
              <w:rPr>
                <w:b/>
                <w:bCs/>
                <w:color w:val="ff0000"/>
              </w:rPr>
            </w:r>
            <w:r>
              <w:rPr>
                <w:b/>
                <w:bCs/>
                <w:color w:val="ff0000"/>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Chức vụ</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Chủ tịch Hội đồng quản trị</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color w:val="000000"/>
              </w:rPr>
              <w:t xml:space="preserve">Q</w:t>
            </w:r>
            <w:r>
              <w:rPr>
                <w:color w:val="000000"/>
              </w:rPr>
              <w:t xml:space="preserve">uyền sử dụng đất tại thửa đất số: 427, tờ bản đồ số 66 có địa chỉ: Xóm Văn Yên, xã Yên Thành, tỉnh Nghệ An theo </w:t>
            </w:r>
            <w:r>
              <w:rPr>
                <w:color w:val="000000"/>
              </w:rPr>
              <w:t xml:space="preserve">Giấy chứng nhận quyền sử dụng đất, quyền sở hữu tài sản gắn liền với đất</w:t>
            </w:r>
            <w:r>
              <w:rPr>
                <w:color w:val="000000"/>
              </w:rPr>
              <w:t xml:space="preserve"> số: AA 06416719, số vào sổ cấp GCN: CN 10392 do Chi nhánh văn phòng đăng </w:t>
            </w:r>
            <w:r>
              <w:rPr>
                <w:color w:val="000000"/>
              </w:rPr>
              <w:t xml:space="preserve">ký đất đai huyện Yên Thành cấp ngày 29/01/2026; Chủ sử dụng đất là Bà Nguyễn Thị Trầm</w:t>
            </w:r>
            <w:r>
              <w:rPr>
                <w:bCs/>
                <w:color w:val="000000" w:themeColor="text1"/>
                <w:lang w:val="pt-BR"/>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r>
            <w:r>
              <w:rPr>
                <w:bCs/>
                <w:color w:val="000000" w:themeColor="text1"/>
                <w:spacing w:val="-4"/>
              </w:rPr>
              <w:t xml:space="preserve">Kết quả thẩm định giá để phục vụ công tác vay vốn tại tổ chức tín dụng</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Yên Thành, Tỉnh Nghệ An</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19.009234, 105.492744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highlight w:val="none"/>
          <w:lang w:val="pt-BR" w:bidi="pt-BR"/>
        </w:rPr>
      </w:r>
      <w:r>
        <w:rPr>
          <w:rFonts w:ascii="Times New Roman" w:hAnsi="Times New Roman" w:eastAsia="Times New Roman" w:cs="Times New Roman"/>
          <w:color w:val="000000"/>
          <w:sz w:val="24"/>
        </w:rPr>
        <w:t xml:space="preserve">Quyết định số 35/2025/NQ-UBND ngày 12/12/2025 của Hội đồng nhân dân tỉnh Nghệ An về việc Quy định Bảng giá đất các phường, xã trên địa bàn tỉnh Nghệ An</w:t>
      </w:r>
      <w:r/>
      <w:r>
        <w:rPr>
          <w:highlight w:val="none"/>
          <w:lang w:val="pt-BR" w:bidi="pt-BR"/>
        </w:rPr>
        <w:t xml:space="preserve">;</w:t>
      </w:r>
      <w:r>
        <w:rPr>
          <w:highlight w:val="none"/>
          <w:lang w:val="pt-BR" w:bidi="pt-BR"/>
        </w:rPr>
      </w:r>
      <w:r>
        <w:rPr>
          <w:highlight w:val="none"/>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tài sản gắn liền với đất</w:t>
      </w:r>
      <w:r>
        <w:rPr>
          <w:color w:val="000000"/>
        </w:rPr>
        <w:t xml:space="preserve"> số: AA 06416719, số vào sổ cấp GCN: CN 10392 do Chi nhánh văn phòng đăng </w:t>
      </w:r>
      <w:r>
        <w:rPr>
          <w:color w:val="000000"/>
        </w:rPr>
        <w:t xml:space="preserve">ký đất đai huyện Yên Thành cấp ngày 29/01/2026; Chủ sử dụng đất là Bà Nguyễn Thị Trầm</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275/2026/0292/VFI-HĐTĐ.21.A</w:t>
      </w:r>
      <w:r>
        <w:rPr>
          <w:spacing w:val="-4"/>
          <w:lang w:val="vi-VN"/>
        </w:rPr>
        <w:t xml:space="preserve"> ký ngày 06 tháng 02 năm 2026</w:t>
      </w:r>
      <w:r>
        <w:rPr>
          <w:spacing w:val="-4"/>
          <w:lang w:val="vi-VN"/>
        </w:rPr>
        <w:t xml:space="preserve"> </w:t>
      </w:r>
      <w:r>
        <w:rPr>
          <w:spacing w:val="-4"/>
          <w:lang w:val="vi-VN"/>
        </w:rPr>
        <w:t xml:space="preserve">giữa </w:t>
      </w:r>
      <w:r>
        <w:rPr>
          <w:color w:val="000000" w:themeColor="text1"/>
          <w:spacing w:val="-4"/>
        </w:rPr>
        <w:t xml:space="preserve">Công ty Cổ phần Đầu tư và Xây dựng VINA2</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color w:val="000000" w:themeColor="text1"/>
          <w:lang w:val="pt-BR"/>
        </w:rPr>
        <w:t xml:space="preserve">.</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b/>
          <w:bCs/>
          <w:i/>
          <w:spacing w:val="-4"/>
          <w14:ligatures w14:val="none"/>
        </w:rPr>
      </w:pPr>
      <w:r>
        <w:rPr>
          <w:b/>
          <w:bCs/>
          <w:i/>
          <w:iCs/>
          <w:spacing w:val="-4"/>
          <w:lang w:val="vi-VN"/>
        </w:rPr>
        <w:tab/>
        <w:t xml:space="preserve">Tổng quan bất động sản tỉnh Nghệ An</w:t>
      </w:r>
      <w:r>
        <w:rPr>
          <w:b/>
          <w:bCs/>
          <w:i/>
          <w:spacing w:val="-4"/>
          <w14:ligatures w14:val="none"/>
        </w:rPr>
      </w:r>
      <w:r>
        <w:rPr>
          <w:b/>
          <w:bCs/>
          <w:i/>
          <w:spacing w:val="-4"/>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Làm rõ tiềm năng và cơ hội chuyển mình của thị trường bất động sản Nghệ An, trình bày tham luận tại Hội thảo, bà Phạm Thị Miền, Phó Viện trưởng VARS IRE cho biết, 3 năm trở lại đây, nguồn cung BĐS tại Nghệ An có xu hướng cải thiện. Từ mức 1.100 sản phẩm nă</w:t>
      </w:r>
      <w:r>
        <w:rPr>
          <w:spacing w:val="-4"/>
          <w:lang w:val="vi-VN"/>
        </w:rPr>
        <w:t xml:space="preserve">m 2023, nguồn cung mới đã tăng lên 2.400 sản phẩm trong năm 2024. Sơ bộ 11 tháng năm 2025, thị trường BĐS Nghệ An ghi nhận khoảng 1.900 sản phẩm mở bán mới, cùng một số dự án quy mô ra mắt, chuẩn bị mở bán.</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Dù đã được cải thiện, tuy nhiên, nguồn cung BĐS tại Nghệ An vẫn còn rất hạn chế. Toàn tỉnh hiện chỉ có khoảng 97 dự án nhà ở cao tầng với tổng quy mô hơn 20.000 căn, cùng khoảng 20 dự án khu đô thị quy mô nhỏ. Trong khi đó, theo Kế hoạch phát triển nhà ở c</w:t>
      </w:r>
      <w:r>
        <w:rPr>
          <w:spacing w:val="-4"/>
          <w:lang w:val="vi-VN"/>
        </w:rPr>
        <w:t xml:space="preserve">ủa tỉnh, giai đoạn 2025-2030, Nghệ An cần phát triển thêm tới 240 nghìn đơn vị nhà ở. Trong số đó, có khoảng 135 nghìn đơn vị nhà ở từ các dự án đang triển khai và cần thu hút đầu tư mới khoảng 105.000 đơn vị nhà ở.</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Đáng chú ý, khác với các thị trường khác - thiếu sản phẩm nhà ở giá phù hợp, Nghệ An lại thiếu hụt các sản phẩm BĐS cao cấp, đặc biệt tại khu vực thủ phủ Nghệ An.</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Nguồn cung khan hiếm nhưng nhu cầu về BĐS Nghệ An, bao gồm cả nhu cầu ở thực và nhu cầu đầu tư rất lớn và đang có xu hướng gia tăng mạnh mẽ. Sự gia tăng nhu cầu này được dẫn dắt bởi nhiều động lực quan trọng: quy mô dân số lớn, tốc độ đô thị hóa được đẩy n</w:t>
      </w:r>
      <w:r>
        <w:rPr>
          <w:spacing w:val="-4"/>
          <w:lang w:val="vi-VN"/>
        </w:rPr>
        <w:t xml:space="preserve">hanh, nền kinh tế tăng trưởng ấn tượng, tầng lớp trung – thượng lưu mở rộng, dòng vốn FDI liên tục đổ vào các khu công nghiệp, lực lượng chuyên gia đến làm việc ngày càng nhiều, cùng nguồn kiều hối ổn định 650–700 triệu USD mỗi năm. Đặc biệt, dòng tiền đầu</w:t>
      </w:r>
      <w:r>
        <w:rPr>
          <w:spacing w:val="-4"/>
          <w:lang w:val="vi-VN"/>
        </w:rPr>
        <w:t xml:space="preserve"> tư từ cộng đồng người Nghệ An xa quê đang quay trở lại mạnh mẽ khi nhận </w:t>
      </w:r>
      <w:r>
        <w:rPr>
          <w:spacing w:val="-4"/>
          <w:lang w:val="vi-VN"/>
        </w:rPr>
        <w:t xml:space="preserve">thấy chỉ báo mô hình phát triển quen thuộc c</w:t>
      </w:r>
      <w:r>
        <w:rPr>
          <w:spacing w:val="-4"/>
          <w:lang w:val="vi-VN"/>
        </w:rPr>
        <w:t xml:space="preserve">ủa các thị trường từng bứt phá mạnh: hạ tầng đi trước, cùng quy hoạch.</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Ngoài ra, nhu cầu đầu tư còn được thúc đẩy mạnh mẽ bởi sự “đổ bộ” của các ông lớn BĐS. Sự tham gia của các tập đoàn quy mô lớn, giàu kinh nghiệm và có năng lực tài chính vững mạnh không chỉ nâng tầm thị trường mà còn tạo cú hích niềm tin cho thị trường, từ</w:t>
      </w:r>
      <w:r>
        <w:rPr>
          <w:spacing w:val="-4"/>
          <w:lang w:val="vi-VN"/>
        </w:rPr>
        <w:t xml:space="preserve"> đó kích thích dòng vốn đầu tư đổ vào Nghệ An.</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Nguồn cung thị trường có cải thiện nhưng vẫn thấp hơn nhiều so với nhu cầu, giúp các dự án mở bán duy trì tỷ lệ hấp thụ cao. Năm 2024, tỷ lệ hấp thụ đạt 82%, chủ yếu đến từ một dự án xanh, chất lượng cao hiếm hoi tại trung tâm. Trong 11 tháng 2025 (sơ bộ),</w:t>
      </w:r>
      <w:r>
        <w:rPr>
          <w:spacing w:val="-4"/>
          <w:lang w:val="vi-VN"/>
        </w:rPr>
        <w:t xml:space="preserve"> tỷ lệ hấp thụ đạt 74%. Đáng chú ý, lượng giao dịch này được đóng góp chủ yếu bởi nhu cầu đầu tư dài hạn và khách hàng có nhu cầu ở thực.</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Giao dịch trên thị trường thứ cấp cũng ghi nhận tăng trưởng rõ rệt, với mức tăng khoảng 20% so với 2024, tập trung ở khu vực trung tâm thành phố, xung quanh các khu công nghiệp và các dự án hạ tầng, đầu tư.</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Giá BĐS tiếp tục tăng ổn định. Các dự án mở bán tăng giá theo từng đợt ra hàng nhưng vẫn hấp thụ tốt nhờ mặt bằng giá vẫn chỉ bằng khoảng 2/3 các dự án cùng phân khúc có vị trí tương đương tại địa phương khác. Trên thị trường thứ cấp, giá duy trì đà tăng t</w:t>
      </w:r>
      <w:r>
        <w:rPr>
          <w:spacing w:val="-4"/>
          <w:lang w:val="vi-VN"/>
        </w:rPr>
        <w:t xml:space="preserve">rưởng ổn định theo năm và có xu hướng tăng nhanh hơn trong một năm trở lại đây, đặc biệt tại các khu đô thị bài bản, phân khúc cao cấp, vị trí trung tâm và khu vực dọc các trục hạ tầng trọng điểm.</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“Thủ phủ Nghệ An có nhiều nét tương đồng với Đà Nẵng và Khánh Hòa 10 năm trước: giá BĐS còn thấp, dư địa tăng trưởng lớn. Thị trường hiện tại đang đứng trước cơ hội bước vào giai đoạn “vàng son”, mở ra cơ hội gặt hái lợi nhuận cho các nhà đầu tư tiên phong</w:t>
      </w:r>
      <w:r>
        <w:rPr>
          <w:spacing w:val="-4"/>
          <w:lang w:val="vi-VN"/>
        </w:rPr>
        <w:t xml:space="preserve">, đặc biệt tại khu vực trung tâm và gần các dự án hạ tầng trọng điểm”, bà Miền nhận định.</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b/>
          <w:bCs/>
          <w:i/>
          <w:spacing w:val="-4"/>
          <w14:ligatures w14:val="none"/>
        </w:rPr>
      </w:pPr>
      <w:r>
        <w:rPr>
          <w:b/>
          <w:bCs/>
          <w:i/>
          <w:iCs/>
          <w:spacing w:val="-4"/>
          <w:lang w:val="vi-VN"/>
        </w:rPr>
        <w:tab/>
        <w:t xml:space="preserve">Xu hướng phát triển và giá trị sống bền vững</w:t>
      </w:r>
      <w:r>
        <w:rPr>
          <w:b/>
          <w:bCs/>
          <w:i/>
          <w:spacing w:val="-4"/>
          <w14:ligatures w14:val="none"/>
        </w:rPr>
      </w:r>
      <w:r>
        <w:rPr>
          <w:b/>
          <w:bCs/>
          <w:i/>
          <w:spacing w:val="-4"/>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Trong khuôn khổ Hội thảo, VARS tổ chức tọa đàm “Đô thị xanh giữa trung tâm thành phố: Xu hướng phát triển và giá trị sống bền vững”. Tại Tọa đàm, các chuyên gia đều thống nhất rằng xu hướng “xanh hóa” đang trở thành lựa chọn tất yếu và là chuẩn sống mới củ</w:t>
      </w:r>
      <w:r>
        <w:rPr>
          <w:spacing w:val="-4"/>
          <w:lang w:val="vi-VN"/>
        </w:rPr>
        <w:t xml:space="preserve">a người dân đô thị.</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‘Sống xanh’ không chỉ dừng lại ở việc sở hữu không gian nhiều cây xanh, mà còn là sống trong một công trình xanh - nơi cảnh quan, kiến trúc, vật liệu xây dựng và hệ thống vận hành đều được tối ưu để giảm thiểu tác động tiêu cực đến môi trường, đồng thời n</w:t>
      </w:r>
      <w:r>
        <w:rPr>
          <w:spacing w:val="-4"/>
          <w:lang w:val="vi-VN"/>
        </w:rPr>
        <w:t xml:space="preserve">âng cao chất lượng sống một cách toàn diện cho cư dân”, TS. Trần Xuân Lượng, Phó Viện trưởng VARS IRE, Giảng viên Khoa BĐS nhấn mạnh.</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Từ góc độ quy hoạch và kinh tế đô thị, TS. Nguyễn Văn Đính, Phó Chủ tịch Hiệp hội Bất động sản Việt Nam, Chủ tịch VARS chia sẻ, mô hình sống xanh tại vị trí trung tâm được đánh giá đặc biệt tiềm năng. Bởi lẽ, vị trí trung tâm luôn bảo đảm khả năng tăng giá</w:t>
      </w:r>
      <w:r>
        <w:rPr>
          <w:spacing w:val="-4"/>
          <w:lang w:val="vi-VN"/>
        </w:rPr>
        <w:t xml:space="preserve"> dài hạn, trong khi các dự án xanh lại có mức hấp thụ tốt, tỷ lệ khai thác cao và đem đến tỷ suất sinh lời vượt trội so với các dự án thông thường. Thực tế thị trường cho thấy các sản phẩm nhà ở đạt chứng chỉ xanh thường có mức tăng giá ổn định và khả năng</w:t>
      </w:r>
      <w:r>
        <w:rPr>
          <w:spacing w:val="-4"/>
          <w:lang w:val="vi-VN"/>
        </w:rPr>
        <w:t xml:space="preserve"> giữ giá tốt ngay cả trong bối cảnh thị trường biến động. Những dự án công trình xanh chú trọng sức khỏe cư dân, tiện ích nhân văn và môi trường xung quanh đang trở thành tâm điểm quan tâm, với lượng giao dịch và thanh khoản vượt trội.</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Trong bối cảnh quỹ đất nội đô ngày càng hạn chế, đặc biệt tại các đô thị lớn, các công trình xanh chủ yếu phát triển ở khu vực vệ tinh. Đơn cử như tại Hà Nội, tình trạng ô nhiễm khiến những người muốn sống xanh phải dịch chuyển sang vùng ven. Vì vậy, công </w:t>
      </w:r>
      <w:r>
        <w:rPr>
          <w:spacing w:val="-4"/>
          <w:lang w:val="vi-VN"/>
        </w:rPr>
        <w:t xml:space="preserve">trình xanh tại trung tâm trở thành “hàng độc”, mang giá trị khác biệt và tính khan hiếm cao.</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Đồng quan điểm, TS. Nguyễn Minh Phong - Phó Chủ tịch Hiệp hội Thông tin tư vấn kinh tế thương mại Việt Nam chia sẻ thêm, khách hàng sở hữu BĐS xanh tại trung tâm vừa có một nơi ở thuận tiện, vừa tận hưởng một không gian nghỉ dưỡng mà không cần đầu tư thêm </w:t>
      </w:r>
      <w:r>
        <w:rPr>
          <w:spacing w:val="-4"/>
          <w:lang w:val="vi-VN"/>
        </w:rPr>
        <w:t xml:space="preserve">‘second home’. Song song đó, những năm gần đây, thứ tự ưu tiên khi mua nhà của người dân đã có sự thay đổi rõ rệt. Nhóm khách hàng trẻ và phân khúc trung, thượng lưu ngày càng chú trọng đến chất lượng không gian sống, ưu tiên những dự án đề cao yếu tố sức </w:t>
      </w:r>
      <w:r>
        <w:rPr>
          <w:spacing w:val="-4"/>
          <w:lang w:val="vi-VN"/>
        </w:rPr>
        <w:t xml:space="preserve">khỏe, hạnh phúc và bền vững. Điều này tiếp tục thúc đẩy nhu cầu đối với các dự án xanh, thân thiện môi trường, đồng thời khẳng định xu hướng phát triển tất yếu của thị trường BĐS trong giai đoạn tới.</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Theo chia sẻ từ khách mời, một trong những đơn vị phát triển BĐS uy tín hàng đầu Việt Nam, tiên phong triển khai các dự án quy mô tại Nghệ An và góp phần thay đổi diện mạo đô thị xứ Nghệ, nhu cầu về những khu đô thị xanh, hiện đại ngay tại trung tâm đang g</w:t>
      </w:r>
      <w:r>
        <w:rPr>
          <w:spacing w:val="-4"/>
          <w:lang w:val="vi-VN"/>
        </w:rPr>
        <w:t xml:space="preserve">ia tăng mạnh mẽ. Doanh nghiệp hiện đang triển khai nhiều dự án đô thị xanh tại Nghệ An, hướng tới kiến tạo môi trường sống chất lượng cao, đáp ứng đúng kỳ vọng của nhóm khách hàng trẻ và phân khúc trung - thượng lưu.</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“Khu đô thị xanh đáp ứng tiêu chí công trình xanh (sử dụng vật liệu thân thiện môi trường, tiết kiệm năng lượng; ứng dụng điện mặt trời cho hệ thống chiếu sáng; tối ưu chất lượng sống nhờ thông gió tự nhiên, công nghệ xử lý nước thải đạt chuẩn A và hệ thốn</w:t>
      </w:r>
      <w:r>
        <w:rPr>
          <w:spacing w:val="-4"/>
          <w:lang w:val="vi-VN"/>
        </w:rPr>
        <w:t xml:space="preserve">g thu gom rác thông minh). Cảnh quan xanh (cây xanh, thảm thực vật đa tầng, mặt nước). Vận hành xanh (nước sau xử lý có thể tưới cây, hệ thống thu gom rác thải thông minh vận hành bằng năng lượng mặt trời)", đại diện doanh nghiệp chia sẻ.</w:t>
      </w:r>
      <w:r>
        <w:rPr>
          <w:spacing w:val="-4"/>
          <w:lang w:val="vi-VN"/>
          <w14:ligatures w14:val="none"/>
        </w:rPr>
      </w:r>
      <w:r>
        <w:rPr>
          <w:spacing w:val="-4"/>
          <w:lang w:val="vi-VN"/>
          <w14:ligatures w14:val="none"/>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r>
      <w:r>
        <w:rPr>
          <w:spacing w:val="-4"/>
          <w:lang w:val="vi-VN"/>
        </w:rPr>
        <w:t xml:space="preserve">Tổng kết tại Hội thảo, TS. Nguyễn Văn Đính cho biết, những dự án tiên phong phát triển mô hình đô thị xanh với cảnh quan xanh, công trình xanh, vận hành xanh ngay tại trung tâm - xu hướng tất yếu khi chất lượng sống, sự hài hòa với thiên nhiên và môi trườn</w:t>
      </w:r>
      <w:r>
        <w:rPr>
          <w:spacing w:val="-4"/>
          <w:lang w:val="vi-VN"/>
        </w:rPr>
        <w:t xml:space="preserve">g trong lành trở thành ưu tiên hàng đầu của cư dân hiện đại, như Eurowindow Sport Garden, Eurowindow Central Avenue không chỉ góp phần định hình, nâng cấp diện mạo đô thị và hạ tầng toàn vùng, mà còn hứa hẹn sẽ trở thành điểm đến hấp dẫn dòng vốn, thu hút </w:t>
      </w:r>
      <w:r>
        <w:rPr>
          <w:spacing w:val="-4"/>
          <w:lang w:val="vi-VN"/>
        </w:rPr>
        <w:t xml:space="preserve">mạnh mẽ cả nhóm khách hàng trung lưu, thượng lưu địa phương, lẫn nhà đầu tư trên cả nước, đặc biệt là nhóm khách hàng trẻ. Ông cũng nhấn mạnh "những sản phẩm tại khu đô thị này có giá trị gia tăng mạnh mẽ hơn cả so với những khu đô thị thông thường cũng ph</w:t>
      </w:r>
      <w:r>
        <w:rPr>
          <w:spacing w:val="-4"/>
          <w:lang w:val="vi-VN"/>
        </w:rPr>
        <w:t xml:space="preserve">ân khúc”.</w:t>
      </w:r>
      <w:r>
        <w:rPr>
          <w:spacing w:val="-4"/>
          <w:lang w:val="vi-VN"/>
          <w14:ligatures w14:val="none"/>
        </w:rPr>
      </w:r>
      <w:r>
        <w:rPr>
          <w:spacing w:val="-4"/>
          <w:lang w:val="vi-VN"/>
          <w14:ligatures w14:val="none"/>
        </w:rPr>
      </w:r>
    </w:p>
    <w:p>
      <w:pPr>
        <w:pBdr/>
        <w:tabs>
          <w:tab w:val="left" w:leader="none" w:pos="426"/>
        </w:tabs>
        <w:spacing w:after="120" w:before="120" w:line="276" w:lineRule="auto"/>
        <w:ind/>
        <w:jc w:val="center"/>
        <w:rPr>
          <w:bCs/>
          <w:i/>
        </w:rPr>
      </w:pPr>
      <w:r>
        <w:rPr>
          <w:i/>
          <w:iCs/>
          <w:lang w:val="pt-BR"/>
        </w:rPr>
        <w:t xml:space="preserve">(Nguồn tham khảo: </w:t>
      </w:r>
      <w:r>
        <w:rPr>
          <w:i/>
          <w:iCs/>
          <w:lang w:val="pt-BR"/>
        </w:rPr>
        <w:t xml:space="preserve">https://diendandoanhnghiep.vn/bat-dong-san-nghe-an-buoc-vao-giai-doan-vang-son-10167044.html</w:t>
      </w:r>
      <w:r>
        <w:rPr>
          <w:i/>
          <w:iCs/>
          <w:lang w:val="pt-BR"/>
        </w:rPr>
        <w:t xml:space="preserve">)</w:t>
      </w:r>
      <w:r>
        <w:rPr>
          <w:bCs/>
          <w:i/>
        </w:rPr>
      </w:r>
      <w:r>
        <w:rPr>
          <w:bCs/>
          <w:i/>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427, tờ bản đồ số 66 có địa chỉ: Xóm Văn Yên, xã Yên Thành, tỉnh Nghệ An theo Giấy chứng nhận quyền sử dụng đất, quyền sở hữu tài sản gắn liền với đất số: AA 06416719, số vào sổ cấp GCN: CN 10392 do Chi nhánh văn phòng đă</w:t>
            </w:r>
            <w:r>
              <w:rPr>
                <w:rFonts w:ascii="Times New Roman" w:hAnsi="Times New Roman" w:eastAsia="Times New Roman" w:cs="Times New Roman"/>
                <w:b/>
                <w:color w:val="000000"/>
                <w:sz w:val="24"/>
              </w:rPr>
              <w:t xml:space="preserve">ng ký đất đai huyện Yên Thành cấp ngày 29/01/2026; Chủ sử dụng đất là Bà Nguyễn Thị Trầm.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427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Xóm Văn Yên, Xã Yên Thành, Tỉnh Nghệ An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743,5</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200m2</w:t>
              <w:br/>
              <w:t xml:space="preserve">Đất trồng cây lâu năm: 543,5m2</w:t>
            </w:r>
            <w:r/>
          </w:p>
        </w:tc>
        <w:tc>
          <w:tcPr>
            <w:tcBorders/>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Lâu dài</w:t>
              <w:br/>
              <w:t xml:space="preserve">Đất trồng cây lâu năm: Sử dụng đến ngày 12/4/2045</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Theo sơ đồ thửa đất tại Mục 4 GCN, Thửa đất có 220,1m2 đất nằm trong CGQHGT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w:t>
            </w: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7m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xóm Văn Yên, xã Yên Thành, tỉnh Nghệ An; cách DT53B khoảng 1,1km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Nam: Tiếp giáp đường bê tông khoảng 7m.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19.009234</w:t>
            </w:r>
            <w:r>
              <w:rPr>
                <w:color w:val="000000"/>
              </w:rPr>
              <w:t xml:space="preserve">, </w:t>
            </w:r>
            <w:r>
              <w:rPr>
                <w:color w:val="000000"/>
              </w:rPr>
              <w:t xml:space="preserve">105.492744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474783" cy="279612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87061" name=""/>
                              <pic:cNvPicPr>
                                <a:picLocks noChangeAspect="1"/>
                              </pic:cNvPicPr>
                              <pic:nvPr/>
                            </pic:nvPicPr>
                            <pic:blipFill rotWithShape="1">
                              <a:blip r:embed="rId17"/>
                              <a:stretch/>
                            </pic:blipFill>
                            <pic:spPr bwMode="auto">
                              <a:xfrm flipH="0" flipV="0">
                                <a:off x="0" y="0"/>
                                <a:ext cx="5474782" cy="27961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09pt;height:220.17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743,5</w:t>
            </w: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46,77</w:t>
            </w: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14,63-17,26</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Đa giác</w:t>
            </w: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Nam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w:t>
            </w:r>
            <w:r>
              <w:rPr>
                <w:color w:val="000000"/>
              </w:rPr>
            </w:r>
            <w:r>
              <w:rPr>
                <w:color w:val="000000"/>
              </w:rPr>
            </w:r>
          </w:p>
          <w:p>
            <w:pPr>
              <w:pBdr/>
              <w:spacing/>
              <w:ind/>
              <w:rPr>
                <w:color w:val="000000"/>
              </w:rPr>
            </w:pPr>
            <w:r>
              <w:rPr>
                <w:color w:val="000000"/>
              </w:rPr>
              <w:t xml:space="preserve">Hạ tầng thoát nước: Rãnh có nắp, </w:t>
            </w:r>
            <w:r>
              <w:rPr>
                <w:color w:val="000000"/>
              </w:rPr>
            </w:r>
            <w:r>
              <w:rPr>
                <w:color w:val="000000"/>
              </w:rPr>
            </w:r>
          </w:p>
          <w:p>
            <w:pPr>
              <w:pBdr/>
              <w:spacing/>
              <w:ind/>
              <w:rPr>
                <w:color w:val="000000"/>
              </w:rPr>
            </w:pPr>
            <w:r>
              <w:rPr>
                <w:color w:val="000000"/>
              </w:rPr>
              <w:t xml:space="preserve">Hạ tầng cấp điện: Điện lưới, </w:t>
            </w:r>
            <w:r>
              <w:rPr>
                <w:color w:val="000000"/>
              </w:rPr>
            </w:r>
            <w:r>
              <w:rPr>
                <w:color w:val="000000"/>
              </w:rPr>
            </w:r>
          </w:p>
          <w:p>
            <w:pPr>
              <w:pBdr/>
              <w:spacing/>
              <w:ind/>
              <w:rPr>
                <w:color w:val="000000"/>
              </w:rPr>
            </w:pPr>
            <w:r>
              <w:rPr>
                <w:color w:val="000000"/>
              </w:rPr>
              <w:t xml:space="preserve">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w:t>
            </w: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Tại thời điểm khảo sát dưới sự hướng dẫn của Khách hàng, CTXD gắn liền với đất gồm:</w:t>
              <w:br/>
              <w:t xml:space="preserve">- Nhà 01 tầng BTCT, xây dựng năm 2016, diện tích xây dựng khoảng 121m2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Nhà 02 tầng BTCT, xây dựng năm 2014, diện tích xây dựng khoảng 85m2, diện tích sàn khoảng 135m2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Nhà mái tôn (bếp + nhà vệ sinh), diện tích khoảng 51,2m2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Mái tôn che sân khoảng 97m2</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Các công trình này chưa được chứng nhận trên GCN.</w:t>
            </w:r>
            <w:r/>
          </w:p>
        </w:tc>
      </w:tr>
    </w:tbl>
    <w:p>
      <w:pPr>
        <w:pBdr/>
        <w:spacing w:line="235" w:lineRule="auto"/>
        <w:ind w:left="646"/>
        <w:jc w:val="both"/>
        <w:rPr>
          <w:u w:val="single"/>
        </w:rPr>
      </w:pPr>
      <w:r>
        <w:rPr>
          <w:u w:val="single"/>
        </w:rPr>
      </w:r>
      <w:r>
        <w:rPr>
          <w:u w:val="single"/>
        </w:rPr>
      </w:r>
      <w:r>
        <w:rPr>
          <w:u w:val="single"/>
        </w:rPr>
      </w:r>
    </w:p>
    <w:p>
      <w:pPr>
        <w:pBdr/>
        <w:shd w:val="nil"/>
        <w:spacing/>
        <w:ind/>
        <w:rPr>
          <w:b/>
          <w:bCs/>
        </w:rPr>
      </w:pPr>
      <w:r>
        <w:rPr>
          <w:b/>
          <w:bCs/>
          <w:highlight w:val="none"/>
          <w:shd w:val="clear" w:color="auto" w:fill="ffffff"/>
        </w:rPr>
        <w:br w:type="page" w:clear="all"/>
      </w:r>
      <w:r>
        <w:rPr>
          <w:b/>
          <w:bCs/>
          <w:highlight w:val="none"/>
          <w:shd w:val="clear" w:color="auto" w:fill="ffffff"/>
        </w:rPr>
      </w:r>
      <w:r>
        <w:rPr>
          <w:b/>
          <w:bCs/>
          <w:highlight w:val="none"/>
          <w:shd w:val="clear" w:color="auto" w:fill="ffffff"/>
        </w:rPr>
      </w:r>
    </w:p>
    <w:p>
      <w:pPr>
        <w:pBdr/>
        <w:spacing w:line="312" w:lineRule="auto"/>
        <w:ind/>
        <w:rPr>
          <w:b/>
          <w:bCs/>
          <w:highlight w:val="none"/>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tbl>
      <w:tblPr>
        <w:tblStyle w:val="1035"/>
        <w:jc w:val="center"/>
        <w:tblW w:w="0" w:type="auto"/>
        <w:tblBorders/>
        <w:tblLayout w:type="fixed"/>
        <w:tblLook w:val="04A0" w:firstRow="1" w:lastRow="0" w:firstColumn="1" w:lastColumn="0" w:noHBand="0" w:noVBand="1"/>
      </w:tblPr>
      <w:tblGrid>
        <w:gridCol w:w="732"/>
        <w:gridCol w:w="1843"/>
        <w:gridCol w:w="2197"/>
        <w:gridCol w:w="2197"/>
        <w:gridCol w:w="1274"/>
        <w:gridCol w:w="1274"/>
      </w:tblGrid>
      <w:tr>
        <w:trPr>
          <w:jc w:val="center"/>
        </w:trPr>
        <w:tc>
          <w:tcPr>
            <w:tcBorders/>
            <w:tcW w:w="732" w:type="dxa"/>
            <w:vAlign w:val="center"/>
            <w:textDirection w:val="lrTb"/>
            <w:noWrap w:val="false"/>
          </w:tcPr>
          <w:p>
            <w:pPr>
              <w:pBdr/>
              <w:spacing/>
              <w:ind/>
              <w:jc w:val="center"/>
              <w:rPr>
                <w:b/>
                <w:bCs/>
              </w:rPr>
            </w:pPr>
            <w:r>
              <w:rPr>
                <w:b/>
                <w:bCs/>
              </w:rPr>
              <w:t xml:space="preserve">STT</w:t>
            </w:r>
            <w:r>
              <w:rPr>
                <w:b/>
                <w:bCs/>
              </w:rPr>
            </w:r>
            <w:r>
              <w:rPr>
                <w:b/>
                <w:bCs/>
              </w:rPr>
            </w:r>
          </w:p>
        </w:tc>
        <w:tc>
          <w:tcPr>
            <w:tcBorders/>
            <w:tcW w:w="184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TSTĐ</w:t>
            </w:r>
            <w:r>
              <w:rPr>
                <w:b/>
                <w:bCs/>
              </w:rPr>
            </w:r>
            <w:r>
              <w:rPr>
                <w:b/>
                <w:bCs/>
              </w:rPr>
            </w:r>
          </w:p>
        </w:tc>
        <w:tc>
          <w:tcPr>
            <w:tcBorders/>
            <w:tcW w:w="2197"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r>
              <w:rPr>
                <w:b/>
                <w:bCs/>
              </w:rPr>
            </w:r>
          </w:p>
        </w:tc>
        <w:tc>
          <w:tcPr>
            <w:tcBorders/>
            <w:tcW w:w="1274"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r>
              <w:rPr>
                <w:b/>
                <w:bCs/>
              </w:rPr>
            </w:r>
          </w:p>
        </w:tc>
        <w:tc>
          <w:tcPr>
            <w:tcBorders/>
            <w:tcW w:w="1274"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r>
              <w:rPr>
                <w:b/>
                <w:bCs/>
              </w:rPr>
            </w:r>
          </w:p>
        </w:tc>
      </w:tr>
      <w:tr>
        <w:trPr>
          <w:jc w:val="center"/>
        </w:trPr>
        <w:tc>
          <w:tcPr>
            <w:tcBorders/>
            <w:tcW w:w="732" w:type="dxa"/>
            <w:vAlign w:val="center"/>
            <w:textDirection w:val="lrTb"/>
            <w:noWrap w:val="false"/>
          </w:tcPr>
          <w:p>
            <w:pPr>
              <w:pBdr/>
              <w:spacing/>
              <w:ind/>
              <w:jc w:val="center"/>
              <w:rPr/>
            </w:pPr>
            <w:r>
              <w:t xml:space="preserve">1</w:t>
            </w:r>
            <w:r/>
          </w:p>
        </w:tc>
        <w:tc>
          <w:tcPr>
            <w:tcBorders/>
            <w:tcW w:w="1843" w:type="dxa"/>
            <w:vAlign w:val="center"/>
            <w:textDirection w:val="lrTb"/>
            <w:noWrap w:val="false"/>
          </w:tcPr>
          <w:p>
            <w:pPr>
              <w:pBdr/>
              <w:spacing/>
              <w:ind/>
              <w:jc w:val="center"/>
              <w:rPr/>
            </w:pPr>
            <w:r>
              <w:t xml:space="preserve">Địa chỉ trên sổ</w:t>
            </w:r>
            <w:r/>
          </w:p>
        </w:tc>
        <w:tc>
          <w:tcPr>
            <w:tcBorders/>
            <w:tcW w:w="2197" w:type="dxa"/>
            <w:vAlign w:val="center"/>
            <w:textDirection w:val="lrTb"/>
            <w:noWrap w:val="false"/>
          </w:tcPr>
          <w:p>
            <w:pPr>
              <w:pBdr/>
              <w:spacing/>
              <w:ind/>
              <w:jc w:val="center"/>
              <w:rPr/>
            </w:pPr>
            <w:r>
              <w:t xml:space="preserve">Xóm Văn Yên, xã Yên Thành, tỉnh Nghệ An</w:t>
            </w:r>
            <w:r/>
          </w:p>
        </w:tc>
        <w:tc>
          <w:tcPr>
            <w:tcBorders/>
            <w:tcW w:w="2197" w:type="dxa"/>
            <w:vAlign w:val="center"/>
            <w:textDirection w:val="lrTb"/>
            <w:noWrap w:val="false"/>
          </w:tcPr>
          <w:p>
            <w:pPr>
              <w:pBdr/>
              <w:spacing/>
              <w:ind/>
              <w:jc w:val="center"/>
              <w:rPr/>
            </w:pPr>
            <w:r>
              <w:t xml:space="preserve">Xóm Văn Yên, Xã Yên Thành, Tỉnh Nghệ An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2</w:t>
            </w:r>
            <w:r/>
          </w:p>
        </w:tc>
        <w:tc>
          <w:tcPr>
            <w:tcBorders/>
            <w:tcW w:w="1843" w:type="dxa"/>
            <w:vAlign w:val="center"/>
            <w:textDirection w:val="lrTb"/>
            <w:noWrap w:val="false"/>
          </w:tcPr>
          <w:p>
            <w:pPr>
              <w:pBdr/>
              <w:spacing/>
              <w:ind/>
              <w:jc w:val="center"/>
              <w:rPr/>
            </w:pPr>
            <w:r>
              <w:t xml:space="preserve">Địa chỉ thực tế</w:t>
            </w:r>
            <w:r/>
          </w:p>
        </w:tc>
        <w:tc>
          <w:tcPr>
            <w:tcBorders/>
            <w:tcW w:w="2197" w:type="dxa"/>
            <w:vAlign w:val="center"/>
            <w:textDirection w:val="lrTb"/>
            <w:noWrap w:val="false"/>
          </w:tcPr>
          <w:p>
            <w:pPr>
              <w:pBdr/>
              <w:spacing/>
              <w:ind/>
              <w:jc w:val="center"/>
              <w:rPr/>
            </w:pPr>
            <w:r>
              <w:t xml:space="preserve">Xóm Văn Yên, xã Yên Thành, tỉnh Nghệ An</w:t>
            </w:r>
            <w:r/>
          </w:p>
        </w:tc>
        <w:tc>
          <w:tcPr>
            <w:tcBorders/>
            <w:tcW w:w="2197" w:type="dxa"/>
            <w:vAlign w:val="center"/>
            <w:textDirection w:val="lrTb"/>
            <w:noWrap w:val="false"/>
          </w:tcPr>
          <w:p>
            <w:pPr>
              <w:pBdr/>
              <w:spacing/>
              <w:ind/>
              <w:jc w:val="center"/>
              <w:rPr/>
            </w:pPr>
            <w:r>
              <w:t xml:space="preserve">Xóm Văn Yên, Xã Yên Thành, Tỉnh Nghệ An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3</w:t>
            </w:r>
            <w:r/>
          </w:p>
        </w:tc>
        <w:tc>
          <w:tcPr>
            <w:tcBorders/>
            <w:tcW w:w="1843" w:type="dxa"/>
            <w:vAlign w:val="center"/>
            <w:textDirection w:val="lrTb"/>
            <w:noWrap w:val="false"/>
          </w:tcPr>
          <w:p>
            <w:pPr>
              <w:pBdr/>
              <w:spacing/>
              <w:ind/>
              <w:jc w:val="center"/>
              <w:rPr/>
            </w:pPr>
            <w:r>
              <w:t xml:space="preserve">Pháp lý</w:t>
            </w:r>
            <w:r/>
          </w:p>
        </w:tc>
        <w:tc>
          <w:tcPr>
            <w:tcBorders/>
            <w:tcW w:w="2197" w:type="dxa"/>
            <w:vAlign w:val="center"/>
            <w:textDirection w:val="lrTb"/>
            <w:noWrap w:val="false"/>
          </w:tcPr>
          <w:p>
            <w:pPr>
              <w:pBdr/>
              <w:spacing/>
              <w:ind/>
              <w:jc w:val="center"/>
              <w:rPr/>
            </w:pPr>
            <w:r>
              <w:t xml:space="preserve">Giấy chứng nhận quyền sử dụng đất, quyền sở hữu tài sản gắn liền với đất</w:t>
            </w:r>
            <w:r/>
          </w:p>
        </w:tc>
        <w:tc>
          <w:tcPr>
            <w:tcBorders/>
            <w:tcW w:w="2197" w:type="dxa"/>
            <w:vAlign w:val="center"/>
            <w:textDirection w:val="lrTb"/>
            <w:noWrap w:val="false"/>
          </w:tcPr>
          <w:p>
            <w:pPr>
              <w:pBdr/>
              <w:spacing/>
              <w:ind/>
              <w:jc w:val="center"/>
              <w:rPr/>
            </w:pPr>
            <w:r>
              <w:t xml:space="preserve">Giấy chứng nhận quyền sử dụng đất, quyền sở hữu tài sản gắn liền với đất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4</w:t>
            </w:r>
            <w:r/>
          </w:p>
        </w:tc>
        <w:tc>
          <w:tcPr>
            <w:tcBorders/>
            <w:tcW w:w="1843" w:type="dxa"/>
            <w:vAlign w:val="center"/>
            <w:textDirection w:val="lrTb"/>
            <w:noWrap w:val="false"/>
          </w:tcPr>
          <w:p>
            <w:pPr>
              <w:pBdr/>
              <w:spacing/>
              <w:ind/>
              <w:jc w:val="center"/>
              <w:rPr/>
            </w:pPr>
            <w:r>
              <w:t xml:space="preserve">Loại đất</w:t>
            </w:r>
            <w:r/>
          </w:p>
        </w:tc>
        <w:tc>
          <w:tcPr>
            <w:tcBorders/>
            <w:tcW w:w="2197" w:type="dxa"/>
            <w:vAlign w:val="center"/>
            <w:textDirection w:val="lrTb"/>
            <w:noWrap w:val="false"/>
          </w:tcPr>
          <w:p>
            <w:pPr>
              <w:pBdr/>
              <w:spacing/>
              <w:ind/>
              <w:jc w:val="center"/>
              <w:rPr/>
            </w:pPr>
            <w:r>
              <w:t xml:space="preserve">Đất ở tại nông thôn, Đất trồng cây lâu năm </w:t>
            </w:r>
            <w:r/>
          </w:p>
        </w:tc>
        <w:tc>
          <w:tcPr>
            <w:tcBorders/>
            <w:tcW w:w="2197" w:type="dxa"/>
            <w:vAlign w:val="center"/>
            <w:textDirection w:val="lrTb"/>
            <w:noWrap w:val="false"/>
          </w:tcPr>
          <w:p>
            <w:pPr>
              <w:pBdr/>
              <w:spacing/>
              <w:ind/>
              <w:jc w:val="center"/>
              <w:rPr/>
            </w:pPr>
            <w:r>
              <w:t xml:space="preserve">Đất ở tại nông thôn, Đất trồng cây lâu năm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5</w:t>
            </w:r>
            <w:r/>
          </w:p>
        </w:tc>
        <w:tc>
          <w:tcPr>
            <w:tcBorders/>
            <w:tcW w:w="1843" w:type="dxa"/>
            <w:vAlign w:val="center"/>
            <w:textDirection w:val="lrTb"/>
            <w:noWrap w:val="false"/>
          </w:tcPr>
          <w:p>
            <w:pPr>
              <w:pBdr/>
              <w:spacing/>
              <w:ind/>
              <w:jc w:val="center"/>
              <w:rPr/>
            </w:pPr>
            <w:r>
              <w:t xml:space="preserve">Thời hạn sử dụng</w:t>
            </w:r>
            <w:r/>
          </w:p>
        </w:tc>
        <w:tc>
          <w:tcPr>
            <w:tcBorders/>
            <w:tcW w:w="2197" w:type="dxa"/>
            <w:vAlign w:val="center"/>
            <w:textDirection w:val="lrTb"/>
            <w:noWrap w:val="false"/>
          </w:tcPr>
          <w:p>
            <w:pPr>
              <w:pBdr/>
              <w:spacing/>
              <w:ind/>
              <w:jc w:val="center"/>
              <w:rPr/>
            </w:pPr>
            <w:r>
              <w:t xml:space="preserve">Lâu dài</w:t>
            </w:r>
            <w:r/>
          </w:p>
        </w:tc>
        <w:tc>
          <w:tcPr>
            <w:tcBorders/>
            <w:tcW w:w="2197" w:type="dxa"/>
            <w:vAlign w:val="center"/>
            <w:textDirection w:val="lrTb"/>
            <w:noWrap w:val="false"/>
          </w:tcPr>
          <w:p>
            <w:pPr>
              <w:pBdr/>
              <w:spacing/>
              <w:ind/>
              <w:jc w:val="center"/>
              <w:rPr/>
            </w:pPr>
            <w:r>
              <w:t xml:space="preserve">Lâu dài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7</w:t>
            </w:r>
            <w:r/>
          </w:p>
        </w:tc>
        <w:tc>
          <w:tcPr>
            <w:tcBorders/>
            <w:tcW w:w="1843" w:type="dxa"/>
            <w:vAlign w:val="center"/>
            <w:textDirection w:val="lrTb"/>
            <w:noWrap w:val="false"/>
          </w:tcPr>
          <w:p>
            <w:pPr>
              <w:pBdr/>
              <w:spacing/>
              <w:ind/>
              <w:jc w:val="center"/>
              <w:rPr/>
            </w:pPr>
            <w:r>
              <w:t xml:space="preserve">Kết cấu mặt đường</w:t>
            </w:r>
            <w:r/>
          </w:p>
        </w:tc>
        <w:tc>
          <w:tcPr>
            <w:tcBorders/>
            <w:tcW w:w="2197" w:type="dxa"/>
            <w:vAlign w:val="center"/>
            <w:textDirection w:val="lrTb"/>
            <w:noWrap w:val="false"/>
          </w:tcPr>
          <w:p>
            <w:pPr>
              <w:pBdr/>
              <w:spacing/>
              <w:ind/>
              <w:jc w:val="center"/>
              <w:rPr/>
            </w:pPr>
            <w:r>
              <w:t xml:space="preserve">Đường bê tông</w:t>
            </w:r>
            <w:r/>
          </w:p>
        </w:tc>
        <w:tc>
          <w:tcPr>
            <w:tcBorders/>
            <w:tcW w:w="2197" w:type="dxa"/>
            <w:vAlign w:val="center"/>
            <w:textDirection w:val="lrTb"/>
            <w:noWrap w:val="false"/>
          </w:tcPr>
          <w:p>
            <w:pPr>
              <w:pBdr/>
              <w:spacing/>
              <w:ind/>
              <w:jc w:val="center"/>
              <w:rPr/>
            </w:pPr>
            <w:r>
              <w:t xml:space="preserve">Đường bê tông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8</w:t>
            </w:r>
            <w:r/>
          </w:p>
        </w:tc>
        <w:tc>
          <w:tcPr>
            <w:tcBorders/>
            <w:tcW w:w="1843" w:type="dxa"/>
            <w:vAlign w:val="center"/>
            <w:textDirection w:val="lrTb"/>
            <w:noWrap w:val="false"/>
          </w:tcPr>
          <w:p>
            <w:pPr>
              <w:pBdr/>
              <w:spacing/>
              <w:ind/>
              <w:jc w:val="center"/>
              <w:rPr/>
            </w:pPr>
            <w:r>
              <w:t xml:space="preserve">Mặt cắt đường trước nhà</w:t>
            </w:r>
            <w:r/>
          </w:p>
        </w:tc>
        <w:tc>
          <w:tcPr>
            <w:tcBorders/>
            <w:tcW w:w="2197" w:type="dxa"/>
            <w:vAlign w:val="center"/>
            <w:textDirection w:val="lrTb"/>
            <w:noWrap w:val="false"/>
          </w:tcPr>
          <w:p>
            <w:pPr>
              <w:pBdr/>
              <w:spacing/>
              <w:ind/>
              <w:jc w:val="center"/>
              <w:rPr/>
            </w:pPr>
            <w:r>
              <w:t xml:space="preserve">7,0</w:t>
            </w:r>
            <w:r/>
          </w:p>
        </w:tc>
        <w:tc>
          <w:tcPr>
            <w:tcBorders/>
            <w:tcW w:w="2197" w:type="dxa"/>
            <w:vAlign w:val="center"/>
            <w:textDirection w:val="lrTb"/>
            <w:noWrap w:val="false"/>
          </w:tcPr>
          <w:p>
            <w:pPr>
              <w:pBdr/>
              <w:spacing/>
              <w:ind/>
              <w:jc w:val="center"/>
              <w:rPr/>
            </w:pPr>
            <w:r>
              <w:t xml:space="preserve">7,0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11</w:t>
            </w:r>
            <w:r/>
          </w:p>
        </w:tc>
        <w:tc>
          <w:tcPr>
            <w:tcBorders/>
            <w:tcW w:w="1843" w:type="dxa"/>
            <w:vAlign w:val="center"/>
            <w:textDirection w:val="lrTb"/>
            <w:noWrap w:val="false"/>
          </w:tcPr>
          <w:p>
            <w:pPr>
              <w:pBdr/>
              <w:spacing/>
              <w:ind/>
              <w:jc w:val="center"/>
              <w:rPr/>
            </w:pPr>
            <w:r>
              <w:t xml:space="preserve">Diện tích</w:t>
            </w:r>
            <w:r/>
          </w:p>
        </w:tc>
        <w:tc>
          <w:tcPr>
            <w:tcBorders/>
            <w:tcW w:w="2197" w:type="dxa"/>
            <w:vAlign w:val="center"/>
            <w:textDirection w:val="lrTb"/>
            <w:noWrap w:val="false"/>
          </w:tcPr>
          <w:p>
            <w:pPr>
              <w:pBdr/>
              <w:spacing/>
              <w:ind/>
              <w:jc w:val="center"/>
              <w:rPr/>
            </w:pPr>
            <w:r>
              <w:t xml:space="preserve">743,5</w:t>
            </w:r>
            <w:r/>
          </w:p>
        </w:tc>
        <w:tc>
          <w:tcPr>
            <w:tcBorders/>
            <w:tcW w:w="2197" w:type="dxa"/>
            <w:vAlign w:val="center"/>
            <w:textDirection w:val="lrTb"/>
            <w:noWrap w:val="false"/>
          </w:tcPr>
          <w:p>
            <w:pPr>
              <w:pBdr/>
              <w:spacing/>
              <w:ind/>
              <w:jc w:val="center"/>
              <w:rPr/>
            </w:pPr>
            <w:r>
              <w:t xml:space="preserve">743,5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rPr/>
            </w:pPr>
            <w:r/>
            <w:r/>
          </w:p>
        </w:tc>
      </w:tr>
      <w:tr>
        <w:trPr>
          <w:jc w:val="center"/>
        </w:trPr>
        <w:tc>
          <w:tcPr>
            <w:tcBorders/>
            <w:tcW w:w="732" w:type="dxa"/>
            <w:vAlign w:val="center"/>
            <w:textDirection w:val="lrTb"/>
            <w:noWrap w:val="false"/>
          </w:tcPr>
          <w:p>
            <w:pPr>
              <w:pBdr/>
              <w:spacing/>
              <w:ind/>
              <w:jc w:val="center"/>
              <w:rPr/>
            </w:pPr>
            <w:r>
              <w:t xml:space="preserve">12</w:t>
            </w:r>
            <w:r/>
          </w:p>
        </w:tc>
        <w:tc>
          <w:tcPr>
            <w:tcBorders/>
            <w:tcW w:w="1843" w:type="dxa"/>
            <w:vAlign w:val="center"/>
            <w:textDirection w:val="lrTb"/>
            <w:noWrap w:val="false"/>
          </w:tcPr>
          <w:p>
            <w:pPr>
              <w:pBdr/>
              <w:spacing/>
              <w:ind/>
              <w:jc w:val="center"/>
              <w:rPr/>
            </w:pPr>
            <w:r>
              <w:t xml:space="preserve">Mặt tiền</w:t>
            </w:r>
            <w:r/>
          </w:p>
        </w:tc>
        <w:tc>
          <w:tcPr>
            <w:tcBorders/>
            <w:tcW w:w="2197" w:type="dxa"/>
            <w:vAlign w:val="center"/>
            <w:textDirection w:val="lrTb"/>
            <w:noWrap w:val="false"/>
          </w:tcPr>
          <w:p>
            <w:pPr>
              <w:pBdr/>
              <w:spacing/>
              <w:ind/>
              <w:jc w:val="center"/>
              <w:rPr/>
            </w:pPr>
            <w:r>
              <w:t xml:space="preserve">46,77</w:t>
            </w:r>
            <w:r/>
          </w:p>
        </w:tc>
        <w:tc>
          <w:tcPr>
            <w:tcBorders/>
            <w:tcW w:w="2197" w:type="dxa"/>
            <w:vAlign w:val="center"/>
            <w:textDirection w:val="lrTb"/>
            <w:noWrap w:val="false"/>
          </w:tcPr>
          <w:p>
            <w:pPr>
              <w:pBdr/>
              <w:spacing/>
              <w:ind/>
              <w:jc w:val="center"/>
              <w:rPr/>
            </w:pPr>
            <w:r>
              <w:t xml:space="preserve">46,77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13</w:t>
            </w:r>
            <w:r/>
          </w:p>
        </w:tc>
        <w:tc>
          <w:tcPr>
            <w:tcBorders/>
            <w:tcW w:w="1843" w:type="dxa"/>
            <w:vAlign w:val="center"/>
            <w:textDirection w:val="lrTb"/>
            <w:noWrap w:val="false"/>
          </w:tcPr>
          <w:p>
            <w:pPr>
              <w:pBdr/>
              <w:spacing/>
              <w:ind/>
              <w:jc w:val="center"/>
              <w:rPr/>
            </w:pPr>
            <w:r>
              <w:t xml:space="preserve">Chiều sâu</w:t>
            </w:r>
            <w:r/>
          </w:p>
        </w:tc>
        <w:tc>
          <w:tcPr>
            <w:tcBorders/>
            <w:tcW w:w="2197" w:type="dxa"/>
            <w:vAlign w:val="center"/>
            <w:textDirection w:val="lrTb"/>
            <w:noWrap w:val="false"/>
          </w:tcPr>
          <w:p>
            <w:pPr>
              <w:pBdr/>
              <w:spacing/>
              <w:ind/>
              <w:jc w:val="center"/>
              <w:rPr/>
            </w:pPr>
            <w:r>
              <w:t xml:space="preserve">14,63-17,26</w:t>
            </w:r>
            <w:r/>
          </w:p>
        </w:tc>
        <w:tc>
          <w:tcPr>
            <w:tcBorders/>
            <w:tcW w:w="2197" w:type="dxa"/>
            <w:vAlign w:val="center"/>
            <w:textDirection w:val="lrTb"/>
            <w:noWrap w:val="false"/>
          </w:tcPr>
          <w:p>
            <w:pPr>
              <w:pBdr/>
              <w:spacing/>
              <w:ind/>
              <w:jc w:val="center"/>
              <w:rPr/>
            </w:pPr>
            <w:r>
              <w:t xml:space="preserve">14,63-17,26</w:t>
            </w:r>
            <w:r>
              <w:t xml:space="preserve">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14</w:t>
            </w:r>
            <w:r/>
          </w:p>
        </w:tc>
        <w:tc>
          <w:tcPr>
            <w:tcBorders/>
            <w:tcW w:w="1843" w:type="dxa"/>
            <w:vAlign w:val="center"/>
            <w:textDirection w:val="lrTb"/>
            <w:noWrap w:val="false"/>
          </w:tcPr>
          <w:p>
            <w:pPr>
              <w:pBdr/>
              <w:spacing/>
              <w:ind/>
              <w:jc w:val="center"/>
              <w:rPr/>
            </w:pPr>
            <w:r>
              <w:t xml:space="preserve">Mặt tiếp giáp</w:t>
            </w:r>
            <w:r/>
          </w:p>
        </w:tc>
        <w:tc>
          <w:tcPr>
            <w:tcBorders/>
            <w:tcW w:w="2197" w:type="dxa"/>
            <w:vAlign w:val="center"/>
            <w:textDirection w:val="lrTb"/>
            <w:noWrap w:val="false"/>
          </w:tcPr>
          <w:p>
            <w:pPr>
              <w:pBdr/>
              <w:spacing/>
              <w:ind/>
              <w:jc w:val="center"/>
              <w:rPr/>
            </w:pPr>
            <w:r>
              <w:t xml:space="preserve">01 mặt tiền</w:t>
            </w:r>
            <w:r/>
          </w:p>
        </w:tc>
        <w:tc>
          <w:tcPr>
            <w:tcBorders/>
            <w:tcW w:w="2197" w:type="dxa"/>
            <w:vAlign w:val="center"/>
            <w:textDirection w:val="lrTb"/>
            <w:noWrap w:val="false"/>
          </w:tcPr>
          <w:p>
            <w:pPr>
              <w:pBdr/>
              <w:spacing/>
              <w:ind/>
              <w:jc w:val="center"/>
              <w:rPr/>
            </w:pPr>
            <w:r>
              <w:t xml:space="preserve">01 mặt tiền</w:t>
            </w:r>
            <w:r>
              <w:t xml:space="preserve">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15</w:t>
            </w:r>
            <w:r/>
          </w:p>
        </w:tc>
        <w:tc>
          <w:tcPr>
            <w:tcBorders/>
            <w:tcW w:w="1843" w:type="dxa"/>
            <w:vAlign w:val="center"/>
            <w:textDirection w:val="lrTb"/>
            <w:noWrap w:val="false"/>
          </w:tcPr>
          <w:p>
            <w:pPr>
              <w:pBdr/>
              <w:spacing/>
              <w:ind/>
              <w:jc w:val="center"/>
              <w:rPr/>
            </w:pPr>
            <w:r>
              <w:t xml:space="preserve">Hình dạng thửa đất</w:t>
            </w:r>
            <w:r/>
          </w:p>
        </w:tc>
        <w:tc>
          <w:tcPr>
            <w:tcBorders/>
            <w:tcW w:w="2197" w:type="dxa"/>
            <w:vAlign w:val="center"/>
            <w:textDirection w:val="lrTb"/>
            <w:noWrap w:val="false"/>
          </w:tcPr>
          <w:p>
            <w:pPr>
              <w:pBdr/>
              <w:spacing/>
              <w:ind/>
              <w:jc w:val="center"/>
              <w:rPr/>
            </w:pPr>
            <w:r>
              <w:t xml:space="preserve">Đa giác khác</w:t>
            </w:r>
            <w:r/>
          </w:p>
        </w:tc>
        <w:tc>
          <w:tcPr>
            <w:tcBorders/>
            <w:tcW w:w="2197" w:type="dxa"/>
            <w:vAlign w:val="center"/>
            <w:textDirection w:val="lrTb"/>
            <w:noWrap w:val="false"/>
          </w:tcPr>
          <w:p>
            <w:pPr>
              <w:pBdr/>
              <w:spacing/>
              <w:ind/>
              <w:jc w:val="center"/>
              <w:rPr/>
            </w:pPr>
            <w:r>
              <w:t xml:space="preserve">Đa giác khác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r>
        <w:trPr>
          <w:jc w:val="center"/>
        </w:trPr>
        <w:tc>
          <w:tcPr>
            <w:tcBorders/>
            <w:tcW w:w="732" w:type="dxa"/>
            <w:vAlign w:val="center"/>
            <w:textDirection w:val="lrTb"/>
            <w:noWrap w:val="false"/>
          </w:tcPr>
          <w:p>
            <w:pPr>
              <w:pBdr/>
              <w:spacing/>
              <w:ind/>
              <w:jc w:val="center"/>
              <w:rPr/>
            </w:pPr>
            <w:r>
              <w:t xml:space="preserve">16</w:t>
            </w:r>
            <w:r/>
          </w:p>
        </w:tc>
        <w:tc>
          <w:tcPr>
            <w:tcBorders/>
            <w:tcW w:w="1843" w:type="dxa"/>
            <w:vAlign w:val="center"/>
            <w:textDirection w:val="lrTb"/>
            <w:noWrap w:val="false"/>
          </w:tcPr>
          <w:p>
            <w:pPr>
              <w:pBdr/>
              <w:spacing/>
              <w:ind/>
              <w:jc w:val="center"/>
              <w:rPr/>
            </w:pPr>
            <w:r>
              <w:t xml:space="preserve">Hướng</w:t>
            </w:r>
            <w:r/>
          </w:p>
        </w:tc>
        <w:tc>
          <w:tcPr>
            <w:tcBorders/>
            <w:tcW w:w="2197" w:type="dxa"/>
            <w:vAlign w:val="center"/>
            <w:textDirection w:val="lrTb"/>
            <w:noWrap w:val="false"/>
          </w:tcPr>
          <w:p>
            <w:pPr>
              <w:pBdr/>
              <w:spacing/>
              <w:ind/>
              <w:jc w:val="center"/>
              <w:rPr/>
            </w:pPr>
            <w:r>
              <w:t xml:space="preserve">Nam</w:t>
            </w:r>
            <w:r/>
          </w:p>
        </w:tc>
        <w:tc>
          <w:tcPr>
            <w:tcBorders/>
            <w:tcW w:w="2197" w:type="dxa"/>
            <w:vAlign w:val="center"/>
            <w:textDirection w:val="lrTb"/>
            <w:noWrap w:val="false"/>
          </w:tcPr>
          <w:p>
            <w:pPr>
              <w:pBdr/>
              <w:spacing/>
              <w:ind/>
              <w:jc w:val="center"/>
              <w:rPr/>
            </w:pPr>
            <w:r>
              <w:t xml:space="preserve">Nam ✔</w:t>
            </w:r>
            <w:r/>
          </w:p>
        </w:tc>
        <w:tc>
          <w:tcPr>
            <w:tcBorders/>
            <w:tcW w:w="1274" w:type="dxa"/>
            <w:vAlign w:val="center"/>
            <w:textDirection w:val="lrTb"/>
            <w:noWrap w:val="false"/>
          </w:tcPr>
          <w:p>
            <w:pPr>
              <w:pBdr/>
              <w:spacing/>
              <w:ind/>
              <w:jc w:val="center"/>
              <w:rPr/>
            </w:pPr>
            <w:r>
              <w:t xml:space="preserve">Không</w:t>
            </w:r>
            <w:r/>
          </w:p>
        </w:tc>
        <w:tc>
          <w:tcPr>
            <w:tcBorders/>
            <w:tcW w:w="1274" w:type="dxa"/>
            <w:vAlign w:val="center"/>
            <w:textDirection w:val="lrTb"/>
            <w:noWrap w:val="false"/>
          </w:tcPr>
          <w:p>
            <w:pPr>
              <w:pBdr/>
              <w:spacing/>
              <w:ind/>
              <w:jc w:val="center"/>
              <w:rPr/>
            </w:pPr>
            <w: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Theo sơ đồ thửa đất tại Mục 4 GCN, Thửa đất có 220,1m2 đất nằm trong CGQHG</w:t>
      </w:r>
      <w:r>
        <w:rPr>
          <w:spacing w:val="-2"/>
          <w:highlight w:val="none"/>
          <w:lang w:val="pt-BR" w:bidi="pt-BR"/>
        </w:rPr>
        <w:t xml:space="preserve">, hiện nay chưa có thông báo thu hồi đất/quyết định thu hồi đất/phương án giải tỏa bồi thường.</w:t>
      </w:r>
      <w:r>
        <w:rPr>
          <w:spacing w:val="-2"/>
          <w:highlight w:val="none"/>
          <w:lang w:val="pt-BR" w:bidi="pt-BR"/>
        </w:rPr>
        <w:t xml:space="preserve"> Ngoài ra, sơ đồ thửa đất tại Mục 4 GCN không thể hiện vị trí đất ở và CLN, do vậy, theo nguyên tắc sử dụng tốt nhất và hiệu quả nhất, Tổ thẩm đị</w:t>
      </w:r>
      <w:r>
        <w:rPr>
          <w:spacing w:val="-2"/>
          <w:highlight w:val="none"/>
          <w:lang w:val="pt-BR" w:bidi="pt-BR"/>
        </w:rPr>
        <w:t xml:space="preserve">nh giả định phần diện tích nằm trong quy hoạch là đất CLN (tương ứng diện tích đất CLN nằm trong </w:t>
      </w:r>
      <w:r>
        <w:rPr>
          <w:rFonts w:ascii="Times New Roman" w:hAnsi="Times New Roman" w:eastAsia="Times New Roman" w:cs="Times New Roman"/>
          <w:color w:val="000000"/>
          <w:sz w:val="24"/>
        </w:rPr>
        <w:t xml:space="preserve">CGQHG</w:t>
      </w:r>
      <w:r>
        <w:rPr>
          <w:spacing w:val="-2"/>
          <w:highlight w:val="none"/>
          <w:lang w:val="pt-BR" w:bidi="pt-BR"/>
        </w:rPr>
        <w:t xml:space="preserve"> </w:t>
      </w:r>
      <w:r>
        <w:rPr>
          <w:rFonts w:ascii="Times New Roman" w:hAnsi="Times New Roman" w:eastAsia="Times New Roman" w:cs="Times New Roman"/>
          <w:color w:val="000000"/>
          <w:sz w:val="24"/>
        </w:rPr>
        <w:t xml:space="preserve">là 220,1m2</w:t>
      </w:r>
      <w:r>
        <w:rPr>
          <w:spacing w:val="-2"/>
          <w:highlight w:val="none"/>
          <w:lang w:val="pt-BR" w:bidi="pt-BR"/>
        </w:rPr>
        <w:t xml:space="preserve">). </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Tại thời điểm khảo sát dưới sự hướng dẫn của Khách hàng, CTXD gắn liền với đất gồm: Nhà 01 tầng BTCT, xây dựng năm 2016, diện tích xây dựng khoảng 121m2, </w:t>
      </w:r>
      <w:r>
        <w:rPr>
          <w:rFonts w:ascii="Times New Roman" w:hAnsi="Times New Roman" w:eastAsia="Times New Roman" w:cs="Times New Roman"/>
          <w:color w:val="000000"/>
          <w:sz w:val="24"/>
          <w:szCs w:val="24"/>
        </w:rPr>
        <w:t xml:space="preserve">Nhà 02 tầng BTCT, xây dựng năm 2014, diện tích xây dựng khoảng 85m2, diện tích sàn khoảng 135m2, </w:t>
      </w:r>
      <w:r>
        <w:rPr>
          <w:rFonts w:ascii="Times New Roman" w:hAnsi="Times New Roman" w:eastAsia="Times New Roman" w:cs="Times New Roman"/>
          <w:color w:val="000000"/>
          <w:sz w:val="24"/>
          <w:szCs w:val="24"/>
        </w:rPr>
        <w:t xml:space="preserve">Nhà mái tôn (bếp + nhà vệ sinh), diện tích khoảng 51,2m2, </w:t>
      </w:r>
      <w:r>
        <w:rPr>
          <w:rFonts w:ascii="Times New Roman" w:hAnsi="Times New Roman" w:eastAsia="Times New Roman" w:cs="Times New Roman"/>
          <w:color w:val="000000"/>
          <w:sz w:val="24"/>
          <w:szCs w:val="24"/>
        </w:rPr>
        <w:t xml:space="preserve">Mái tôn che sân khoảng 97m2. </w:t>
      </w:r>
      <w:r>
        <w:rPr>
          <w:rFonts w:ascii="Times New Roman" w:hAnsi="Times New Roman" w:eastAsia="Times New Roman" w:cs="Times New Roman"/>
          <w:color w:val="000000"/>
          <w:sz w:val="24"/>
          <w:szCs w:val="24"/>
          <w:lang w:bidi="pt-BR"/>
        </w:rPr>
        <w:t xml:space="preserve">Các Công trình này chưa được chứng nhận trên GCN. Đồng thời, Tổ thẩm định không nhận đ</w:t>
      </w:r>
      <w:r>
        <w:rPr>
          <w:rFonts w:ascii="Times New Roman" w:hAnsi="Times New Roman" w:eastAsia="Times New Roman" w:cs="Times New Roman"/>
          <w:color w:val="000000"/>
          <w:sz w:val="24"/>
          <w:szCs w:val="24"/>
          <w:lang w:bidi="pt-BR"/>
        </w:rPr>
        <w:t xml:space="preserve">ư</w:t>
      </w:r>
      <w:r>
        <w:rPr>
          <w:rFonts w:ascii="Times New Roman" w:hAnsi="Times New Roman" w:eastAsia="Times New Roman" w:cs="Times New Roman"/>
          <w:color w:val="000000"/>
          <w:sz w:val="24"/>
          <w:szCs w:val="24"/>
          <w:lang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rFonts w:ascii="Times New Roman" w:hAnsi="Times New Roman" w:eastAsia="Times New Roman" w:cs="Times New Roman"/>
          <w:color w:val="000000"/>
          <w:sz w:val="24"/>
          <w:szCs w:val="24"/>
          <w:lang w:bidi="pt-BR"/>
        </w:rPr>
        <w:t xml:space="preserve"> nghị đơn vị sử dụng kết quả lưu ý</w:t>
      </w:r>
      <w:r>
        <w:rPr>
          <w:rFonts w:ascii="Times New Roman" w:hAnsi="Times New Roman" w:eastAsia="Times New Roman" w:cs="Times New Roman"/>
          <w:color w:val="000000"/>
          <w:sz w:val="24"/>
          <w:szCs w:val="24"/>
        </w:rPr>
        <w:t xml:space="preserve">.</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bCs/>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i/>
          <w:iCs/>
          <w:lang w:val="pt-BR"/>
        </w:rPr>
        <w:t xml:space="preserve"> </w:t>
      </w:r>
      <w:r>
        <w:rPr>
          <w:b/>
          <w:bCs/>
          <w:i/>
          <w:iCs/>
          <w:lang w:val="pt-BR"/>
        </w:rPr>
        <w:t xml:space="preserve">(</w:t>
      </w:r>
      <w:r>
        <w:rPr>
          <w:rFonts w:ascii="Times New Roman" w:hAnsi="Times New Roman" w:eastAsia="Times New Roman" w:cs="Times New Roman"/>
          <w:b/>
          <w:bCs/>
          <w:i/>
          <w:iCs/>
          <w:color w:val="000000"/>
          <w:sz w:val="24"/>
        </w:rPr>
        <w:t xml:space="preserve">Đất ONT + CLN nằm ngoài CGQHGT</w:t>
      </w:r>
      <w:r>
        <w:rPr>
          <w:b/>
          <w:bCs/>
          <w:i/>
          <w:iCs/>
          <w:lang w:val="pt-BR"/>
        </w:rPr>
        <w:t xml:space="preserve">):</w:t>
      </w:r>
      <w:r>
        <w:rPr>
          <w:b/>
          <w:bCs/>
          <w:lang w:val="pt-BR"/>
        </w:rPr>
      </w:r>
      <w:r>
        <w:rPr>
          <w:b/>
          <w:bCs/>
          <w:lang w:val="pt-BR"/>
        </w:rPr>
      </w:r>
    </w:p>
    <w:p>
      <w:pPr>
        <w:pStyle w:val="1031"/>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1701"/>
        <w:gridCol w:w="1772"/>
        <w:gridCol w:w="1772"/>
        <w:gridCol w:w="1772"/>
        <w:gridCol w:w="1772"/>
      </w:tblGrid>
      <w:tr>
        <w:trPr>
          <w:trHeight w:val="300"/>
          <w:tblHeader/>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97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Xóm Văn Yên, xã Yên Thành, tỉnh Nghệ An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Xóm Phan Đình Phùng, xã Yên Thành, tỉnh Nghệ An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Xóm Chu Trạc, xã Yên Thành, tỉnh Nghệ An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Xóm Phan Đình Phùng, xã Yên Thành, tỉnh Nghệ An</w:t>
            </w:r>
            <w:r/>
          </w:p>
        </w:tc>
      </w:tr>
      <w:tr>
        <w:trPr>
          <w:trHeight w:val="1019"/>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hyperlink r:id="rId18" w:tooltip="https://www.facebook.com/groups/2623249517704431/permalink/25558996670369724/" w:history="1">
              <w:r>
                <w:rPr>
                  <w:rStyle w:val="1021"/>
                  <w:rFonts w:ascii="Times New Roman" w:hAnsi="Times New Roman" w:eastAsia="Times New Roman" w:cs="Times New Roman"/>
                  <w:color w:val="000000"/>
                  <w:sz w:val="22"/>
                  <w:u w:val="none"/>
                </w:rPr>
                <w:t xml:space="preserve">https://www.facebook.com/groups/2623249517704431/permalink/25558996670369724/</w:t>
              </w:r>
            </w:hyperlink>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0975.542.999</w:t>
              <w:br/>
              <w:t xml:space="preserve">(Sale Lưu Sơn)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0348243026</w:t>
              <w:br/>
              <w:t xml:space="preserve">(Sale Phan Phúc)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SĐT: 0977814728</w:t>
              <w:br/>
              <w:t xml:space="preserve">(Sale Thiên Lý)</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02/2026 </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 phần đất nằm ngoài quy hoạch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200m2</w:t>
              <w:br/>
              <w:t xml:space="preserve">CLN: 323,4m2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85m2</w:t>
              <w:br/>
              <w:t xml:space="preserve">CLN: 49m2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130m2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ONT: 60m2</w:t>
              <w:br/>
              <w:t xml:space="preserve">CLN: 37,3m2</w:t>
            </w:r>
            <w:r/>
          </w:p>
        </w:tc>
      </w:tr>
      <w:tr>
        <w:trPr>
          <w:trHeight w:val="165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xóm Văn Yên, xã Yên Thành, tỉnh Nghệ An; cách DT53B khoảng 1,1km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xóm Phan Đình Phùng, xã Yên Thành, tỉnh Nghệ An; cách DT53B khoảng 200m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xóm Chu Trạc, xã Yên Thành, tỉnh Nghệ An; cách DT53B khoảng 900m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xóm Phan Đình Phùng, xã Yên Thành, tỉnh Nghệ An; cách DT53B khoảng 300m</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bê tông khoảng 7m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khoảng 7m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khoảng 7m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nhựa khoảng 7m</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743,5</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167,1</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183</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130,7</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CLN nằm trong quy hoạch (m²)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220,1</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33,1</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53</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33,4</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ngoài quy hoạch (m²)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523,4</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134,0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97,3</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46,77</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7,02</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6,91</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02 mặt tiền trước sau</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 giác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đối vuông vức</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Phù hợp để ở</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828"/>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2.300.000.000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1.600.000.000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1.955.000.000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1.785.000.000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1.360.000.000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CLN nằm trong quy hoạch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2.085.300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3.339.000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2.104.200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đất CLN nằm trong quy hoạch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63.000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nằm ngoài quy hoạch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1.952.914.700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1.781.661.000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1.357.895.800</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14.573.990</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13.705.085</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13.955.764</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 phần đất nằm ngoài quy hoạch</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52"/>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ngoài quy hoạch (m²)</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7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10"/>
        <w:gridCol w:w="1443"/>
        <w:gridCol w:w="715"/>
        <w:gridCol w:w="1689"/>
        <w:gridCol w:w="1689"/>
        <w:gridCol w:w="1689"/>
        <w:gridCol w:w="1689"/>
      </w:tblGrid>
      <w:tr>
        <w:trPr>
          <w:trHeight w:val="630"/>
          <w:tblHeader/>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1.952.914.700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1.781.661.000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1.357.895.800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14.573.990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13.705.085</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13.955.764</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14.573.990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13.705.085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13.955.764 </w:t>
            </w: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 phần đất nằm ngoài quy hoạch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200m2</w:t>
              <w:br/>
              <w:t xml:space="preserve">CLN: 323,4m2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85m2</w:t>
              <w:br/>
              <w:t xml:space="preserve">CLN: 49m2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130m2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ONT: 60m2</w:t>
              <w:br/>
              <w:t xml:space="preserve">CLN: 37,3m2</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-1.457.399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-2.741.017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-1.395.576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13.116.591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10.964.068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12.560.187 </w:t>
            </w:r>
            <w:r/>
          </w:p>
        </w:tc>
      </w:tr>
      <w:tr>
        <w:trPr>
          <w:trHeight w:val="13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xóm Văn Yên, xã Yên Thành, tỉnh Nghệ An; cách DT53B khoảng 1,1km</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xóm Phan Đình Phùng, xã Yên Thành, tỉnh Nghệ An; cách DT53B khoảng 200m</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xóm Chu Trạc, xã Yên Thành, tỉnh Nghệ An; cách DT53B khoảng 900m</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tại xóm Phan Đình Phùng, xã Yên Thành, tỉnh Nghệ An; cách DT53B khoảng 300m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-2.914.798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-2.791.153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10.201.793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10.964.068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9.769.035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bê tông khoảng 7m</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khoảng 7m</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khoảng 7m</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Đường nhựa khoảng 7m</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-8,00%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-1.165.919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-1.096.407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-1.116.461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9.035.874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9.867.661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8.652.573 </w:t>
            </w:r>
            <w:r/>
          </w:p>
        </w:tc>
      </w:tr>
      <w:tr>
        <w:trPr>
          <w:trHeight w:val="828"/>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đất nằm ngoài quy hoạch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523,4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134</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130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97,3</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-18,00%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-2.623.318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-2.466.915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-2.791.153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6.412.556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7.400.746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5.861.421 </w:t>
            </w:r>
            <w:r/>
          </w:p>
        </w:tc>
      </w:tr>
      <w:tr>
        <w:trPr>
          <w:trHeight w:val="276"/>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46,77</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7,02</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6,91</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2.186.099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2.055.763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2.093.365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8.598.654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9.456.508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7.954.785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02 mặt tiền trước sau</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-685.254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8.598.654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8.771.254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7.954.785 </w:t>
            </w:r>
            <w:r/>
          </w:p>
        </w:tc>
      </w:tr>
      <w:tr>
        <w:trPr>
          <w:trHeight w:val="552"/>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610"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Tương đối vuông vức</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-9,00%</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-1.311.659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-1.644.610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-1.256.019 </w:t>
            </w:r>
            <w:r/>
          </w:p>
        </w:tc>
      </w:tr>
      <w:tr>
        <w:trPr>
          <w:trHeight w:val="276"/>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7.286.995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7.126.644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6.698.767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7.286.995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7.126.644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6.698.767 </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tabs>
                <w:tab w:val="right" w:leader="none" w:pos="3364"/>
              </w:tabs>
              <w:spacing w:after="0" w:before="0" w:line="240" w:lineRule="auto"/>
              <w:ind/>
              <w:jc w:val="center"/>
              <w:rPr/>
            </w:pPr>
            <w:r>
              <w:rPr>
                <w:rFonts w:ascii="Times New Roman" w:hAnsi="Times New Roman" w:eastAsia="Times New Roman" w:cs="Times New Roman"/>
                <w:color w:val="000000"/>
                <w:sz w:val="22"/>
              </w:rPr>
              <w:t xml:space="preserve"> </w:t>
            </w:r>
            <w:r>
              <w:tab/>
            </w:r>
            <w:r/>
          </w:p>
        </w:tc>
        <w:tc>
          <w:tcPr>
            <w:gridSpan w:val="3"/>
            <w:shd w:val="clear" w:color="ffffff" w:fill="ffffff"/>
            <w:tcBorders>
              <w:bottom w:val="single" w:color="000000" w:sz="6" w:space="0"/>
              <w:right w:val="single" w:color="000000" w:sz="6" w:space="0"/>
            </w:tcBorders>
            <w:tcMar>
              <w:left w:w="0" w:type="dxa"/>
              <w:top w:w="0" w:type="dxa"/>
              <w:right w:w="0" w:type="dxa"/>
              <w:bottom w:w="0" w:type="dxa"/>
            </w:tcMar>
            <w:tcW w:w="506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7.037.469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3,55%</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1,27%</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-4,81%</w:t>
            </w:r>
            <w:r/>
          </w:p>
        </w:tc>
      </w:tr>
      <w:tr>
        <w:trPr>
          <w:trHeight w:val="82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11.659.192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10.689.966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11.443.726 </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r>
      <w:tr>
        <w:trPr>
          <w:trHeight w:val="27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 - 20%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 - 20%</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 - 20%</w:t>
            </w:r>
            <w:r/>
          </w:p>
        </w:tc>
      </w:tr>
      <w:tr>
        <w:trPr>
          <w:trHeight w:val="55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61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44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71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7.286.995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6.578.441 </w:t>
            </w:r>
            <w:r/>
          </w:p>
        </w:tc>
        <w:tc>
          <w:tcPr>
            <w:shd w:val="clear" w:color="ffffff" w:fill="ffffff"/>
            <w:tcBorders>
              <w:bottom w:val="single" w:color="000000" w:sz="6" w:space="0"/>
              <w:right w:val="single" w:color="000000" w:sz="6" w:space="0"/>
            </w:tcBorders>
            <w:tcMar>
              <w:left w:w="0" w:type="dxa"/>
              <w:top w:w="0" w:type="dxa"/>
              <w:right w:w="0" w:type="dxa"/>
              <w:bottom w:w="0" w:type="dxa"/>
            </w:tcMar>
            <w:tcW w:w="1689"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7.256.997 </w:t>
            </w: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-4,81</w:t>
      </w:r>
      <w:r>
        <w:t xml:space="preserve">% </w:t>
      </w:r>
      <w:r>
        <w:t xml:space="preserve">đến</w:t>
      </w:r>
      <w:r>
        <w:t xml:space="preserve"> </w:t>
      </w:r>
      <w:r>
        <w:t xml:space="preserve"> </w:t>
      </w:r>
      <w:r>
        <w:t xml:space="preserve">3,55</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line="276" w:lineRule="auto"/>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7.286.996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2.428.998</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7.126.645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2.375.548</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line="276" w:lineRule="auto"/>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line="276" w:lineRule="auto"/>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line="276" w:lineRule="auto"/>
              <w:ind/>
              <w:jc w:val="center"/>
              <w:rPr>
                <w:color w:val="000000"/>
              </w:rPr>
            </w:pPr>
            <w:r>
              <w:rPr>
                <w:color w:val="000000"/>
              </w:rPr>
              <w:t xml:space="preserve">6.698.767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2.232.922</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7.037.469</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line="276" w:lineRule="auto"/>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7.000.000</w:t>
            </w:r>
            <w:r/>
          </w:p>
        </w:tc>
      </w:tr>
    </w:tbl>
    <w:p>
      <w:pPr>
        <w:pBdr/>
        <w:spacing w:after="120" w:before="120" w:line="276" w:lineRule="auto"/>
        <w:ind/>
        <w:jc w:val="both"/>
        <w:rPr>
          <w:b/>
          <w:bCs/>
          <w:highlight w:val="none"/>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7.000.000</w:t>
      </w:r>
      <w:r>
        <w:rPr>
          <w:b/>
          <w:bCs/>
          <w:color w:val="000000" w:themeColor="text1"/>
        </w:rPr>
        <w:t xml:space="preserve"> </w:t>
      </w:r>
      <w:r>
        <w:rPr>
          <w:b/>
          <w:bCs/>
        </w:rPr>
        <w:t xml:space="preserve">đồng</w:t>
      </w:r>
      <w:r>
        <w:rPr>
          <w:b/>
          <w:bCs/>
        </w:rPr>
        <w:t xml:space="preserve">/m².</w:t>
      </w:r>
      <w:r>
        <w:rPr>
          <w:b/>
          <w:bCs/>
        </w:rPr>
      </w:r>
      <w:r>
        <w:rPr>
          <w:b/>
          <w:bCs/>
        </w:rPr>
      </w:r>
    </w:p>
    <w:p>
      <w:pPr>
        <w:pStyle w:val="1031"/>
        <w:numPr>
          <w:ilvl w:val="0"/>
          <w:numId w:val="42"/>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i/>
          <w:iCs/>
          <w:lang w:val="pt-BR"/>
        </w:rPr>
        <w:t xml:space="preserve"> </w:t>
      </w:r>
      <w:r>
        <w:rPr>
          <w:b/>
          <w:bCs/>
          <w:i/>
          <w:iCs/>
          <w:lang w:val="pt-BR"/>
        </w:rPr>
        <w:t xml:space="preserve">(</w:t>
      </w:r>
      <w:r>
        <w:rPr>
          <w:rFonts w:ascii="Times New Roman" w:hAnsi="Times New Roman" w:eastAsia="Times New Roman" w:cs="Times New Roman"/>
          <w:b/>
          <w:bCs/>
          <w:i/>
          <w:iCs/>
          <w:color w:val="000000"/>
          <w:sz w:val="24"/>
          <w:szCs w:val="24"/>
        </w:rPr>
        <w:t xml:space="preserve">Đất CLN nằm trong CGQHG</w:t>
      </w:r>
      <w:r>
        <w:rPr>
          <w:b/>
          <w:bCs/>
          <w:i/>
          <w:iCs/>
          <w:lang w:val="pt-BR"/>
        </w:rPr>
        <w:t xml:space="preserve">T):</w:t>
      </w:r>
      <w:r>
        <w:rPr>
          <w:b/>
          <w:bCs/>
          <w:i/>
          <w:iCs/>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z w:val="24"/>
        </w:rPr>
        <w:t xml:space="preserve">Đối với phần đất CLN nằm trong CGQHGT, Tổ thẩm định đề xuất đơn giá đất theo khung giá Nhà nước ban hành. Vận dụng</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Quyết định số 35/2025/NQ-UBND ngày 12/12/2025 của Hội đồng nhân dân tỉnh Nghệ An về việc Quy định Bảng giá đất các phường, xã trên địa bàn tỉnh Nghệ An là, đơn giá đất trồng cây lâu năm tại địa bàn tài sản thẩm định giá toạ lạc là: </w:t>
      </w:r>
      <w:r>
        <w:rPr>
          <w:rFonts w:ascii="Times New Roman" w:hAnsi="Times New Roman" w:eastAsia="Times New Roman" w:cs="Times New Roman"/>
          <w:b/>
          <w:color w:val="000000"/>
          <w:sz w:val="24"/>
        </w:rPr>
        <w:t xml:space="preserve">63.000 đồng/</w:t>
      </w:r>
      <w:r>
        <w:rPr>
          <w:rFonts w:ascii="Times New Roman" w:hAnsi="Times New Roman" w:eastAsia="Times New Roman" w:cs="Times New Roman"/>
          <w:b/>
          <w:color w:val="000000"/>
          <w:spacing w:val="-2"/>
          <w:sz w:val="24"/>
        </w:rPr>
        <w:t xml:space="preserve">m²</w:t>
      </w:r>
      <w:r>
        <w:rPr>
          <w:rFonts w:ascii="Times New Roman" w:hAnsi="Times New Roman" w:eastAsia="Times New Roman" w:cs="Times New Roman"/>
          <w:b/>
          <w:color w:val="000000"/>
          <w:sz w:val="24"/>
        </w:rPr>
        <w:t xml:space="preserve">.</w:t>
      </w:r>
      <w:r>
        <w:rPr>
          <w:b/>
          <w:highlight w:val="none"/>
          <w:lang w:val="pt-BR" w:bidi="pt-BR"/>
        </w:rPr>
      </w:r>
      <w:r>
        <w:rPr>
          <w:b/>
          <w:highlight w:val="none"/>
          <w:lang w:val="pt-BR" w:bidi="pt-BR"/>
        </w:rPr>
      </w:r>
      <w:r>
        <w:rPr>
          <w:b/>
          <w:highlight w:val="none"/>
          <w:lang w:val="pt-BR"/>
        </w:rPr>
      </w: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p>
    <w:p>
      <w:pPr>
        <w:pStyle w:val="1031"/>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w:t>
      </w:r>
      <w:r>
        <w:rPr>
          <w:b/>
          <w:lang w:val="pt-BR"/>
        </w:rPr>
        <w:t xml:space="preserve">iá</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12"/>
        <w:gridCol w:w="3143"/>
        <w:gridCol w:w="1701"/>
        <w:gridCol w:w="1984"/>
        <w:gridCol w:w="1984"/>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1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143"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174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12" w:type="dxa"/>
            <w:vAlign w:val="center"/>
            <w:textDirection w:val="lrTb"/>
            <w:noWrap w:val="false"/>
          </w:tcPr>
          <w:p>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828"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w:t>
            </w:r>
            <w:r>
              <w:rPr>
                <w:rFonts w:ascii="Times New Roman" w:hAnsi="Times New Roman" w:eastAsia="Times New Roman" w:cs="Times New Roman"/>
                <w:b/>
                <w:color w:val="000000"/>
                <w:sz w:val="24"/>
              </w:rPr>
              <w:t xml:space="preserve">yền sử dụng đất tại thửa đất số: 427, tờ bản đồ số 66 có địa chỉ: Xóm Văn Yên, xã Yên Thành, tỉnh Nghệ An theo Giấy chứng nhận quyền sử dụng đất, quyền sở hữu tài sản gắn liền với đất số: AA 06416719, số vào sổ cấp GCN: CN 10392 do Chi nhánh văn phòng đăng</w:t>
            </w:r>
            <w:r>
              <w:rPr>
                <w:rFonts w:ascii="Times New Roman" w:hAnsi="Times New Roman" w:eastAsia="Times New Roman" w:cs="Times New Roman"/>
                <w:b/>
                <w:color w:val="000000"/>
                <w:sz w:val="24"/>
              </w:rPr>
              <w:t xml:space="preserve"> ký đất đai huyện Yên Thành cấp ngày 29/01/2026; Chủ sử dụng đất là Bà Nguyễn Thị Trầm.</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624"/>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12"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6" w:space="0"/>
              <w:right w:val="single" w:color="000000" w:sz="6" w:space="0"/>
            </w:tcBorders>
            <w:tcMar>
              <w:left w:w="0" w:type="dxa"/>
              <w:top w:w="0" w:type="dxa"/>
              <w:right w:w="0" w:type="dxa"/>
              <w:bottom w:w="0" w:type="dxa"/>
            </w:tcMar>
            <w:tcW w:w="3143" w:type="dxa"/>
            <w:vAlign w:val="center"/>
            <w:textDirection w:val="lrTb"/>
            <w:noWrap w:val="false"/>
          </w:tcPr>
          <w:p>
            <w:pPr>
              <w:pBdr/>
              <w:tabs>
                <w:tab w:val="center" w:leader="none" w:pos="1564"/>
              </w:tabs>
              <w:spacing w:after="0" w:before="0" w:line="276" w:lineRule="auto"/>
              <w:ind/>
              <w:rPr/>
            </w:pPr>
            <w:r>
              <w:rPr>
                <w:rFonts w:ascii="Times New Roman" w:hAnsi="Times New Roman" w:eastAsia="Times New Roman" w:cs="Times New Roman"/>
                <w:color w:val="000000"/>
                <w:sz w:val="24"/>
              </w:rPr>
              <w:t xml:space="preserve">Đất ONT + CLN nằm ngoài CGQHGT</w:t>
            </w:r>
            <w:r>
              <w:tab/>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523,4</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7.000.000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3.663.800.000</w:t>
            </w:r>
            <w:r/>
          </w:p>
        </w:tc>
      </w:tr>
      <w:tr>
        <w:trPr>
          <w:trHeight w:val="0"/>
        </w:trPr>
        <w:tc>
          <w:tcPr>
            <w:tcBorders>
              <w:left w:val="single" w:color="000000" w:sz="6" w:space="0"/>
              <w:bottom w:val="single" w:color="000000" w:sz="6" w:space="0"/>
              <w:right w:val="single" w:color="000000" w:sz="6" w:space="0"/>
            </w:tcBorders>
            <w:tcMar>
              <w:left w:w="0" w:type="dxa"/>
              <w:top w:w="0" w:type="dxa"/>
              <w:right w:w="0" w:type="dxa"/>
              <w:bottom w:w="0" w:type="dxa"/>
            </w:tcMar>
            <w:tcW w:w="712" w:type="dxa"/>
            <w:vAlign w:val="center"/>
            <w:textDirection w:val="lrTb"/>
            <w:noWrap/>
          </w:tcPr>
          <w:p>
            <w:pPr>
              <w:pBdr/>
              <w:spacing w:after="0" w:before="0" w:line="276"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02</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3143" w:type="dxa"/>
            <w:vAlign w:val="bottom"/>
            <w:textDirection w:val="lrTb"/>
            <w:noWrap w:val="false"/>
          </w:tcPr>
          <w:p>
            <w:pPr>
              <w:pBdr/>
              <w:spacing w:after="0" w:before="0" w:line="276" w:lineRule="auto"/>
              <w:ind/>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Đất CLN nằm trong CGQHG</w:t>
            </w:r>
            <w:r>
              <w:rPr>
                <w:rFonts w:ascii="Times New Roman" w:hAnsi="Times New Roman" w:eastAsia="Times New Roman" w:cs="Times New Roman"/>
                <w:color w:val="000000"/>
                <w:sz w:val="24"/>
                <w:szCs w:val="24"/>
              </w:rPr>
              <w:t xml:space="preserve">T</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pPr>
              <w:pBdr/>
              <w:spacing w:after="0" w:before="0" w:line="276" w:lineRule="auto"/>
              <w:ind/>
              <w:jc w:val="center"/>
              <w:rPr/>
            </w:pPr>
            <w:r>
              <w:rPr>
                <w:rFonts w:ascii="Times New Roman" w:hAnsi="Times New Roman" w:eastAsia="Times New Roman" w:cs="Times New Roman"/>
                <w:color w:val="000000"/>
                <w:sz w:val="24"/>
              </w:rPr>
              <w:t xml:space="preserve">220,1</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center"/>
              <w:rPr/>
            </w:pPr>
            <w:r>
              <w:rPr>
                <w:rFonts w:ascii="Times New Roman" w:hAnsi="Times New Roman" w:eastAsia="Times New Roman" w:cs="Times New Roman"/>
                <w:color w:val="000000"/>
                <w:sz w:val="24"/>
              </w:rPr>
              <w:t xml:space="preserve">63.000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pPr>
              <w:pBdr/>
              <w:spacing w:after="0" w:before="0" w:line="276" w:lineRule="auto"/>
              <w:ind/>
              <w:jc w:val="right"/>
              <w:rPr/>
            </w:pPr>
            <w:r>
              <w:rPr>
                <w:rFonts w:ascii="Times New Roman" w:hAnsi="Times New Roman" w:eastAsia="Times New Roman" w:cs="Times New Roman"/>
                <w:color w:val="000000"/>
                <w:sz w:val="24"/>
              </w:rPr>
              <w:t xml:space="preserve">13.866.300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4"/>
              </w:rPr>
              <w:t xml:space="preserve">3.677.666.300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40" w:type="dxa"/>
            <w:vAlign w:val="center"/>
            <w:textDirection w:val="lrTb"/>
            <w:noWrap/>
          </w:tcPr>
          <w:p>
            <w:pPr>
              <w:pBdr/>
              <w:spacing w:after="0" w:before="0" w:line="276"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1984" w:type="dxa"/>
            <w:vAlign w:val="center"/>
            <w:textDirection w:val="lrTb"/>
            <w:noWrap/>
          </w:tcPr>
          <w:p>
            <w:pPr>
              <w:pBdr/>
              <w:spacing w:after="0" w:before="0" w:line="276" w:lineRule="auto"/>
              <w:ind/>
              <w:jc w:val="right"/>
              <w:rPr/>
            </w:pPr>
            <w:r>
              <w:rPr>
                <w:rFonts w:ascii="Times New Roman" w:hAnsi="Times New Roman" w:eastAsia="Times New Roman" w:cs="Times New Roman"/>
                <w:b/>
                <w:color w:val="000000"/>
                <w:sz w:val="24"/>
              </w:rPr>
              <w:t xml:space="preserve">3.678.000.000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pPr>
              <w:pBdr/>
              <w:spacing w:after="0" w:before="0" w:line="276" w:lineRule="auto"/>
              <w:ind/>
              <w:jc w:val="center"/>
              <w:rPr/>
            </w:pPr>
            <w:r>
              <w:rPr>
                <w:rFonts w:ascii="Times New Roman" w:hAnsi="Times New Roman" w:eastAsia="Times New Roman" w:cs="Times New Roman"/>
                <w:b/>
                <w:i/>
                <w:color w:val="000000"/>
                <w:sz w:val="24"/>
              </w:rPr>
              <w:t xml:space="preserve">(Bằng chữ: Ba tỷ, sáu trăm bảy mươi tám triệu đồng chẵn./.)</w:t>
            </w: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5"/>
        </w:numPr>
        <w:pBdr/>
        <w:spacing w:after="120" w:before="120" w:line="288" w:lineRule="auto"/>
        <w:ind/>
        <w:jc w:val="both"/>
        <w:rPr>
          <w:lang w:val="vi-VN"/>
          <w14:ligatures w14:val="none"/>
        </w:rPr>
      </w:pPr>
      <w:r>
        <w:rPr>
          <w:lang w:val="vi-VN" w:bidi="vi-VN"/>
        </w:rPr>
      </w:r>
      <w:r>
        <w:rPr>
          <w:lang w:val="vi-VN"/>
        </w:rPr>
        <w:t xml:space="preserve">Theo sơ đồ thửa đất tại Mục 4 GCN, Thửa đất có 220,1m2 đất nằm trong CGQHG</w:t>
      </w:r>
      <w:r>
        <w:rPr>
          <w:lang w:val="vi-VN" w:bidi="pt-BR"/>
        </w:rPr>
        <w:t xml:space="preserve">, hiện nay chưa có thông báo thu hồi đất/quyết định thu hồi đất/phương án giải tỏa bồi thường.</w:t>
      </w:r>
      <w:r>
        <w:rPr>
          <w:lang w:val="vi-VN" w:bidi="pt-BR"/>
        </w:rPr>
        <w:t xml:space="preserve"> Ngoài ra, sơ đồ thửa đất tại Mục 4 GCN không thể hiện vị trí đất ở và CLN, do vậy, theo nguyên tắc sử dụng tốt nhất và hiệu quả nhất, Tổ thẩm đị</w:t>
      </w:r>
      <w:r>
        <w:rPr>
          <w:lang w:val="vi-VN" w:bidi="pt-BR"/>
        </w:rPr>
        <w:t xml:space="preserve">nh giả định phần diện tích nằm trong quy hoạch là đất CLN (tương ứng diện tích đất CLN nằm trong </w:t>
      </w:r>
      <w:r>
        <w:rPr>
          <w:lang w:val="vi-VN"/>
        </w:rPr>
        <w:t xml:space="preserve">CGQHG</w:t>
      </w:r>
      <w:r>
        <w:rPr>
          <w:lang w:val="vi-VN" w:bidi="pt-BR"/>
        </w:rPr>
        <w:t xml:space="preserve"> </w:t>
      </w:r>
      <w:r>
        <w:rPr>
          <w:lang w:val="vi-VN"/>
        </w:rPr>
        <w:t xml:space="preserve">là 220,1m2</w:t>
      </w:r>
      <w:r>
        <w:rPr>
          <w:lang w:val="vi-VN" w:bidi="pt-BR"/>
        </w:rPr>
        <w:t xml:space="preserve">). </w:t>
      </w:r>
      <w:r>
        <w:rPr>
          <w:lang w:val="vi-VN"/>
          <w14:ligatures w14:val="none"/>
        </w:rPr>
      </w:r>
      <w:r>
        <w:rPr>
          <w:lang w:val="vi-VN"/>
          <w14:ligatures w14:val="none"/>
        </w:rPr>
      </w:r>
    </w:p>
    <w:p>
      <w:pPr>
        <w:pStyle w:val="1031"/>
        <w:numPr>
          <w:ilvl w:val="0"/>
          <w:numId w:val="5"/>
        </w:numPr>
        <w:pBdr/>
        <w:spacing w:after="120" w:before="120" w:line="288" w:lineRule="auto"/>
        <w:ind/>
        <w:jc w:val="both"/>
        <w:rPr>
          <w:lang w:val="vi-VN"/>
          <w14:ligatures w14:val="none"/>
        </w:rPr>
      </w:pPr>
      <w:r>
        <w:rPr>
          <w:lang w:val="vi-VN"/>
        </w:rPr>
        <w:t xml:space="preserve">Tại thời điểm khảo sát dưới sự hướng dẫn của Khách hàng, CTXD gắn liền với đất gồm: Nhà 01 tầng BTCT, xây dựng năm 2016, diện tích xây dựng khoảng 121m2, </w:t>
      </w:r>
      <w:r>
        <w:rPr>
          <w:lang w:val="vi-VN"/>
        </w:rPr>
        <w:t xml:space="preserve">Nhà 02 tầng BTCT, xây dựng năm 2014, diện tích xây dựng khoảng 85m2, diện tích sàn khoảng 135m2, </w:t>
      </w:r>
      <w:r>
        <w:rPr>
          <w:lang w:val="vi-VN"/>
        </w:rPr>
        <w:t xml:space="preserve">Nhà mái tôn (bếp + nhà vệ sinh), diện tích khoảng 51,2m2, </w:t>
      </w:r>
      <w:r>
        <w:rPr>
          <w:lang w:val="vi-VN"/>
        </w:rPr>
        <w:t xml:space="preserve">Mái tôn che sân khoảng 97m2. </w:t>
      </w:r>
      <w:r>
        <w:rPr>
          <w:lang w:val="vi-VN" w:bidi="pt-BR"/>
        </w:rPr>
        <w:t xml:space="preserve">Các Công trình này chưa được chứng nhận trên GCN. Đồng thời, Tổ thẩm định không nhận đ</w:t>
      </w:r>
      <w:r>
        <w:rPr>
          <w:lang w:val="vi-VN" w:bidi="pt-BR"/>
        </w:rPr>
        <w:t xml:space="preserve">ư</w:t>
      </w:r>
      <w:r>
        <w:rPr>
          <w:lang w:val="vi-VN" w:bidi="pt-BR"/>
        </w:rPr>
        <w:t xml:space="preserve">ợc bất kỳ hồ sơ pháp lý nào liên quan đến CTXD nêu trên. Do vậy, theo đề nghị của Ngân hàng/Khách hàng, Tổ thẩm định không xác định giá trị của công trình xây dựng vào tổng giá trị, nhưng vẫn coi đó là phần không thể tách rời của tài sản thẩm định. Kính đề</w:t>
      </w:r>
      <w:r>
        <w:rPr>
          <w:lang w:val="vi-VN" w:bidi="pt-BR"/>
        </w:rPr>
        <w:t xml:space="preserve"> nghị đơn vị sử dụng kết quả lưu ý</w:t>
      </w:r>
      <w:r>
        <w:rPr>
          <w:lang w:val="vi-VN"/>
        </w:rPr>
        <w:t xml:space="preserve">.</w:t>
      </w:r>
      <w:r>
        <w:rPr>
          <w:lang w:val="vi-VN"/>
          <w14:ligatures w14:val="none"/>
        </w:rPr>
      </w:r>
      <w:r>
        <w:rPr>
          <w:lang w:val="vi-VN"/>
          <w14:ligatures w14:val="none"/>
        </w:rPr>
      </w:r>
    </w:p>
    <w:p>
      <w:pPr>
        <w:pStyle w:val="1031"/>
        <w:numPr>
          <w:ilvl w:val="0"/>
          <w:numId w:val="5"/>
        </w:numPr>
        <w:pBdr/>
        <w:spacing w:after="120" w:before="120" w:line="288" w:lineRule="auto"/>
        <w:ind/>
        <w:jc w:val="both"/>
        <w:rPr>
          <w:lang w:val="vi-VN"/>
          <w14:ligatures w14:val="none"/>
        </w:rPr>
      </w:pPr>
      <w:r>
        <w:rPr>
          <w:lang w:val="vi-VN"/>
        </w:rPr>
        <w:t xml:space="preserve">Tổ thẩm định giá sử dụng Phương pháp so sánh để xác định giá trị tài sản thẩm định giá trong đó  việc thu thập thông tin </w:t>
      </w:r>
      <w:r>
        <w:rPr>
          <w:lang w:val="vi-VN"/>
        </w:rPr>
        <w:t xml:space="preserve">TSSS</w:t>
      </w:r>
      <w:r>
        <w:rPr>
          <w:lang w:val="vi-VN"/>
        </w:rPr>
        <w:t xml:space="preserve"> đã giao dịch thành công còn gặp nhiều hạn chế, vì vậy</w:t>
      </w:r>
      <w:r>
        <w:rPr>
          <w:lang w:val="vi-VN"/>
        </w:rPr>
        <w:t xml:space="preserve">,</w:t>
      </w:r>
      <w:r>
        <w:rPr>
          <w:lang w:val="vi-VN"/>
        </w:rPr>
        <w:t xml:space="preserve"> </w:t>
      </w:r>
      <w:r>
        <w:rPr>
          <w:lang w:val="vi-VN"/>
        </w:rPr>
        <w:t xml:space="preserve">T</w:t>
      </w:r>
      <w:r>
        <w:rPr>
          <w:lang w:val="vi-VN"/>
        </w:rPr>
        <w:t xml:space="preserve">ổ thẩm định giá sử dụng các </w:t>
      </w:r>
      <w:r>
        <w:rPr>
          <w:lang w:val="vi-VN"/>
        </w:rPr>
        <w:t xml:space="preserve">TSSS</w:t>
      </w:r>
      <w:r>
        <w:rPr>
          <w:lang w:val="vi-VN"/>
        </w:rPr>
        <w:t xml:space="preserve"> là các tài sản đang được </w:t>
      </w:r>
      <w:r>
        <w:rPr>
          <w:lang w:val="vi-VN"/>
        </w:rPr>
        <w:t xml:space="preserve">r</w:t>
      </w:r>
      <w:r>
        <w:rPr>
          <w:lang w:val="vi-VN"/>
        </w:rPr>
        <w:t xml:space="preserve">ao bán trên thị trường. Kết quả thẩm định </w:t>
      </w:r>
      <w:r>
        <w:rPr>
          <w:lang w:val="vi-VN"/>
        </w:rPr>
        <w:t xml:space="preserve">giá có thể thay đổi khi các </w:t>
      </w:r>
      <w:r>
        <w:rPr>
          <w:lang w:val="vi-VN"/>
        </w:rP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14:ligatures w14:val="none"/>
        </w:rPr>
      </w:r>
      <w:r>
        <w:rPr>
          <w:lang w:val="vi-VN"/>
          <w14:ligatures w14:val="none"/>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 + Pháp lý + BBKS</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275/2026/0292/VFI-CT.21.A</w:t>
      </w:r>
      <w:r>
        <w:rPr>
          <w:color w:val="ff0000"/>
          <w:lang w:val="vi-VN"/>
        </w:rPr>
        <w:t xml:space="preserve"> </w:t>
      </w:r>
      <w:r>
        <w:rPr>
          <w:color w:val="000000" w:themeColor="text1"/>
        </w:rPr>
        <w:t xml:space="preserve">ngày 07 tháng 02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Ind w:w="-114" w:type="dxa"/>
        <w:tblW w:w="5134" w:type="pct"/>
        <w:tblBorders/>
        <w:tblLayout w:type="fixed"/>
        <w:tblLook w:val="01E0" w:firstRow="1" w:lastRow="1" w:firstColumn="1" w:lastColumn="1" w:noHBand="0" w:noVBand="0"/>
      </w:tblPr>
      <w:tblGrid>
        <w:gridCol w:w="4677"/>
        <w:gridCol w:w="5102"/>
      </w:tblGrid>
      <w:tr>
        <w:trPr>
          <w:trHeight w:val="20"/>
        </w:trPr>
        <w:tc>
          <w:tcPr>
            <w:tcBorders/>
            <w:tcW w:w="4677"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5102" w:type="dxa"/>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7"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5102" w:type="dxa"/>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7" w:type="dxa"/>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5102" w:type="dxa"/>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275/2026/0292/VFI-BC.21.A</w:t>
      </w:r>
      <w:r>
        <w:rPr>
          <w:i/>
          <w:lang w:val="pt-BR"/>
        </w:rPr>
        <w:t xml:space="preserve"> ngày 0</w:t>
      </w:r>
      <w:r>
        <w:rPr>
          <w:i/>
          <w:lang w:val="pt-BR"/>
        </w:rPr>
        <w:t xml:space="preserve">7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899965" cy="200132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35560" name=""/>
                              <pic:cNvPicPr>
                                <a:picLocks noChangeAspect="1"/>
                              </pic:cNvPicPr>
                              <pic:nvPr/>
                            </pic:nvPicPr>
                            <pic:blipFill rotWithShape="1">
                              <a:blip r:embed="rId19"/>
                              <a:stretch/>
                            </pic:blipFill>
                            <pic:spPr bwMode="auto">
                              <a:xfrm flipH="0" flipV="0">
                                <a:off x="0" y="0"/>
                                <a:ext cx="899964" cy="20013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0.86pt;height:157.5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83700" cy="18627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211290" name=""/>
                              <pic:cNvPicPr>
                                <a:picLocks noChangeAspect="1"/>
                              </pic:cNvPicPr>
                              <pic:nvPr/>
                            </pic:nvPicPr>
                            <pic:blipFill rotWithShape="1">
                              <a:blip r:embed="rId20"/>
                              <a:stretch/>
                            </pic:blipFill>
                            <pic:spPr bwMode="auto">
                              <a:xfrm flipH="0" flipV="0">
                                <a:off x="0" y="0"/>
                                <a:ext cx="2483699" cy="18627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95.57pt;height:146.6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61231" cy="2070923"/>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449070" name=""/>
                              <pic:cNvPicPr>
                                <a:picLocks noChangeAspect="1"/>
                              </pic:cNvPicPr>
                              <pic:nvPr/>
                            </pic:nvPicPr>
                            <pic:blipFill rotWithShape="1">
                              <a:blip r:embed="rId21"/>
                              <a:stretch/>
                            </pic:blipFill>
                            <pic:spPr bwMode="auto">
                              <a:xfrm flipH="0" flipV="0">
                                <a:off x="0" y="0"/>
                                <a:ext cx="2761230" cy="20709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17.42pt;height:163.06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75371" cy="215652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92261" name=""/>
                              <pic:cNvPicPr>
                                <a:picLocks noChangeAspect="1"/>
                              </pic:cNvPicPr>
                              <pic:nvPr/>
                            </pic:nvPicPr>
                            <pic:blipFill rotWithShape="1">
                              <a:blip r:embed="rId22"/>
                              <a:stretch/>
                            </pic:blipFill>
                            <pic:spPr bwMode="auto">
                              <a:xfrm flipH="0" flipV="0">
                                <a:off x="0" y="0"/>
                                <a:ext cx="2875371" cy="21565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41pt;height:169.81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98425" cy="209881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444515" name=""/>
                              <pic:cNvPicPr>
                                <a:picLocks noChangeAspect="1"/>
                              </pic:cNvPicPr>
                              <pic:nvPr/>
                            </pic:nvPicPr>
                            <pic:blipFill rotWithShape="1">
                              <a:blip r:embed="rId23"/>
                              <a:stretch/>
                            </pic:blipFill>
                            <pic:spPr bwMode="auto">
                              <a:xfrm flipH="0" flipV="0">
                                <a:off x="0" y="0"/>
                                <a:ext cx="2798425" cy="20988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0.35pt;height:165.2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3062" cy="212479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78671" name=""/>
                              <pic:cNvPicPr>
                                <a:picLocks noChangeAspect="1"/>
                              </pic:cNvPicPr>
                              <pic:nvPr/>
                            </pic:nvPicPr>
                            <pic:blipFill rotWithShape="1">
                              <a:blip r:embed="rId24"/>
                              <a:stretch/>
                            </pic:blipFill>
                            <pic:spPr bwMode="auto">
                              <a:xfrm flipH="0" flipV="0">
                                <a:off x="0" y="0"/>
                                <a:ext cx="2833060" cy="21247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3.08pt;height:167.3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bCs/>
          <w:i/>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w:t>
      </w:r>
      <w:r>
        <w:rPr>
          <w:b/>
          <w:bCs/>
          <w:lang w:val="vi-VN"/>
        </w:rPr>
        <w:t xml:space="preserve">ƯỜN</w:t>
      </w:r>
      <w:r>
        <w:rPr>
          <w:b/>
        </w:rPr>
        <w:t xml:space="preserve">G</w:t>
      </w:r>
      <w:r>
        <w:rPr>
          <w:b/>
          <w:bCs/>
          <w:i/>
          <w:lang w:val="pt-BR"/>
        </w:rPr>
        <w:t xml:space="preserve"> </w:t>
      </w:r>
      <w:r>
        <w:rPr>
          <w:b/>
          <w:bCs/>
          <w:lang w:val="pt-BR"/>
        </w:rPr>
        <w:t xml:space="preserve">+ PHÁP LÝ + BBKS</w:t>
      </w:r>
      <w:r>
        <w:rPr>
          <w:b/>
          <w:bCs/>
          <w:i/>
        </w:rPr>
      </w:r>
      <w:r>
        <w:rPr>
          <w:b/>
          <w:bCs/>
          <w:i/>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275/2026/0292/VFI-BC.21.A</w:t>
      </w:r>
      <w:r>
        <w:rPr>
          <w:i/>
          <w:lang w:val="pt-BR"/>
        </w:rPr>
        <w:t xml:space="preserve"> ngày 0</w:t>
      </w:r>
      <w:r>
        <w:rPr>
          <w:i/>
          <w:lang w:val="pt-BR"/>
        </w:rPr>
        <w:t xml:space="preserve">7 tháng 02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iCs/>
          <w:lang w:val="pt-BR"/>
        </w:rPr>
        <w:t xml:space="preserve"> </w:t>
      </w:r>
      <w:r>
        <w:rPr>
          <w:i/>
          <w:iCs/>
          <w:lang w:val="pt-BR"/>
        </w:rPr>
        <w:t xml:space="preserve">tư</w:t>
      </w:r>
      <w:r>
        <w:rPr>
          <w:i/>
          <w:iCs/>
          <w:lang w:val="pt-BR"/>
        </w:rPr>
        <w:t xml:space="preserve"> </w:t>
      </w:r>
      <w:r>
        <w:rPr>
          <w:i/>
          <w:iCs/>
          <w:lang w:val="pt-BR"/>
        </w:rPr>
        <w:t xml:space="preserve">Tài</w:t>
      </w:r>
      <w:r>
        <w:rPr>
          <w:i/>
          <w:iCs/>
          <w:lang w:val="pt-BR"/>
        </w:rPr>
        <w:t xml:space="preserve"> </w:t>
      </w:r>
      <w:r>
        <w:rPr>
          <w:i/>
          <w:iCs/>
          <w:lang w:val="pt-BR"/>
        </w:rPr>
        <w:t xml:space="preserve">ch</w:t>
      </w:r>
      <w:r>
        <w:rPr>
          <w:i/>
          <w:iCs/>
        </w:rPr>
        <w:t xml:space="preserve">ính Hoa Sen)</w:t>
      </w:r>
      <w:r>
        <mc:AlternateContent>
          <mc:Choice Requires="wpg">
            <w:drawing>
              <wp:inline xmlns:wp="http://schemas.openxmlformats.org/drawingml/2006/wordprocessingDrawing" distT="0" distB="0" distL="0" distR="0">
                <wp:extent cx="5247185" cy="659973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75984" name=""/>
                        <pic:cNvPicPr>
                          <a:picLocks noChangeAspect="1"/>
                        </pic:cNvPicPr>
                        <pic:nvPr/>
                      </pic:nvPicPr>
                      <pic:blipFill rotWithShape="1">
                        <a:blip r:embed="rId25"/>
                        <a:stretch/>
                      </pic:blipFill>
                      <pic:spPr bwMode="auto">
                        <a:xfrm flipH="0" flipV="0">
                          <a:off x="0" y="0"/>
                          <a:ext cx="5247185" cy="65997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3.16pt;height:519.66pt;mso-wrap-distance-left:0.00pt;mso-wrap-distance-top:0.00pt;mso-wrap-distance-right:0.00pt;mso-wrap-distance-bottom:0.00pt;z-index:1;" stroked="false">
                <v:imagedata r:id="rId25"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530428" cy="107494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945030" name=""/>
                              <pic:cNvPicPr>
                                <a:picLocks noChangeAspect="1"/>
                              </pic:cNvPicPr>
                              <pic:nvPr/>
                            </pic:nvPicPr>
                            <pic:blipFill rotWithShape="1">
                              <a:blip r:embed="rId26"/>
                              <a:stretch/>
                            </pic:blipFill>
                            <pic:spPr bwMode="auto">
                              <a:xfrm rot="0" flipH="0" flipV="0">
                                <a:off x="0" y="0"/>
                                <a:ext cx="1530427" cy="1074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0.51pt;height:84.64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266247" cy="723366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794348" name=""/>
                        <pic:cNvPicPr>
                          <a:picLocks noChangeAspect="1"/>
                        </pic:cNvPicPr>
                        <pic:nvPr/>
                      </pic:nvPicPr>
                      <pic:blipFill rotWithShape="1">
                        <a:blip r:embed="rId27"/>
                        <a:stretch/>
                      </pic:blipFill>
                      <pic:spPr bwMode="auto">
                        <a:xfrm flipH="0" flipV="0">
                          <a:off x="0" y="0"/>
                          <a:ext cx="5266247" cy="72336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4.67pt;height:569.58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530428" cy="1074944"/>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55229" name=""/>
                              <pic:cNvPicPr>
                                <a:picLocks noChangeAspect="1"/>
                              </pic:cNvPicPr>
                              <pic:nvPr/>
                            </pic:nvPicPr>
                            <pic:blipFill rotWithShape="1">
                              <a:blip r:embed="rId26"/>
                              <a:stretch/>
                            </pic:blipFill>
                            <pic:spPr bwMode="auto">
                              <a:xfrm rot="0" flipH="0" flipV="0">
                                <a:off x="0" y="0"/>
                                <a:ext cx="1530427" cy="10749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0.51pt;height:84.64pt;mso-wrap-distance-left:0.00pt;mso-wrap-distance-top:0.00pt;mso-wrap-distance-right:0.00pt;mso-wrap-distance-bottom:0.00pt;rotation:0;z-index:1;" stroked="false">
                      <v:imagedata r:id="rId26" o:title=""/>
                      <o:lock v:ext="edit" rotation="t"/>
                    </v:shape>
                  </w:pict>
                </mc:Fallback>
              </mc:AlternateConten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mc:AlternateContent>
          <mc:Choice Requires="wpg">
            <w:drawing>
              <wp:inline xmlns:wp="http://schemas.openxmlformats.org/drawingml/2006/wordprocessingDrawing" distT="0" distB="0" distL="0" distR="0">
                <wp:extent cx="5557656" cy="696522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65065" name=""/>
                        <pic:cNvPicPr>
                          <a:picLocks noChangeAspect="1"/>
                        </pic:cNvPicPr>
                        <pic:nvPr/>
                      </pic:nvPicPr>
                      <pic:blipFill rotWithShape="1">
                        <a:blip r:embed="rId28"/>
                        <a:stretch/>
                      </pic:blipFill>
                      <pic:spPr bwMode="auto">
                        <a:xfrm flipH="0" flipV="0">
                          <a:off x="0" y="0"/>
                          <a:ext cx="5557655" cy="69652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7.61pt;height:548.44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mc:AlternateContent>
                <mc:Choice Requires="wpg">
                  <w:drawing>
                    <wp:inline xmlns:wp="http://schemas.openxmlformats.org/drawingml/2006/wordprocessingDrawing" distT="0" distB="0" distL="0" distR="0">
                      <wp:extent cx="1530428" cy="1074943"/>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800300" name=""/>
                              <pic:cNvPicPr>
                                <a:picLocks noChangeAspect="1"/>
                              </pic:cNvPicPr>
                              <pic:nvPr/>
                            </pic:nvPicPr>
                            <pic:blipFill rotWithShape="1">
                              <a:blip r:embed="rId26"/>
                              <a:stretch/>
                            </pic:blipFill>
                            <pic:spPr bwMode="auto">
                              <a:xfrm flipH="0" flipV="0">
                                <a:off x="0" y="0"/>
                                <a:ext cx="1530428" cy="107494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0.51pt;height:84.64pt;mso-wrap-distance-left:0.00pt;mso-wrap-distance-top:0.00pt;mso-wrap-distance-right:0.00pt;mso-wrap-distance-bottom:0.00pt;z-index:1;" stroked="false">
                      <v:imagedata r:id="rId26" o:title=""/>
                      <o:lock v:ext="edit" rotation="t"/>
                    </v:shape>
                  </w:pict>
                </mc:Fallback>
              </mc:AlternateContent>
            </w:r>
            <w:r>
              <w:rPr>
                <w:b/>
                <w:bCs/>
              </w:rPr>
            </w:r>
            <w:r>
              <w:rPr>
                <w:b/>
                <w:bCs/>
              </w:rPr>
            </w:r>
          </w:p>
        </w:tc>
      </w:tr>
      <w:tr>
        <w:trPr>
          <w:trHeight w:val="177"/>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Trương Thị Diệp</w:t>
            </w:r>
            <w:r>
              <w:rPr>
                <w:b/>
                <w:bCs/>
              </w:rPr>
            </w:r>
            <w:r>
              <w:rPr>
                <w:b/>
                <w:bCs/>
              </w:rPr>
            </w:r>
          </w:p>
        </w:tc>
      </w:tr>
    </w:tbl>
    <w:p>
      <w:pPr>
        <w:pBdr/>
        <w:spacing w:after="200" w:line="276" w:lineRule="auto"/>
        <w:ind/>
        <w:rPr>
          <w:lang w:val="pt-BR"/>
        </w:rPr>
      </w:pPr>
      <w:r>
        <w:rPr>
          <w:iCs/>
          <w:lang w:val="pt-BR"/>
        </w:rPr>
      </w:r>
      <w:r>
        <w:rPr>
          <w:lang w:val="pt-BR"/>
        </w:rPr>
      </w:r>
      <w:r>
        <w:rPr>
          <w:lang w:val="pt-BR"/>
        </w:rPr>
      </w:r>
    </w:p>
    <w:p>
      <w:pPr>
        <w:pBdr/>
        <w:shd w:val="nil" w:color="auto"/>
        <w:spacing/>
        <w:ind/>
        <w:rPr>
          <w:lang w:val="pt-BR"/>
        </w:rPr>
      </w:pPr>
      <w:r>
        <w:rPr>
          <w:iCs/>
          <w:lang w:val="pt-BR"/>
        </w:rPr>
        <w:br w:type="page" w:clear="all"/>
      </w:r>
      <w:r>
        <w:rPr>
          <w:lang w:val="pt-BR"/>
        </w:rPr>
      </w:r>
      <w:r>
        <w:rPr>
          <w:lang w:val="pt-BR"/>
        </w:rPr>
      </w:r>
    </w:p>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007221" name=""/>
                        <pic:cNvPicPr>
                          <a:picLocks noChangeAspect="1"/>
                        </pic:cNvPicPr>
                        <pic:nvPr/>
                      </pic:nvPicPr>
                      <pic:blipFill rotWithShape="1">
                        <a:blip r:embed="rId29"/>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29"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31140"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0"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50923"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1"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hyperlink" Target="https://www.facebook.com/groups/2623249517704431/permalink/25558996670369724/" TargetMode="External"/><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275</cp:revision>
  <dcterms:created xsi:type="dcterms:W3CDTF">2025-09-15T09:58:00Z</dcterms:created>
  <dcterms:modified xsi:type="dcterms:W3CDTF">2026-03-02T08:28:41Z</dcterms:modified>
</cp:coreProperties>
</file>