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-133889</wp:posOffset>
                </wp:positionV>
                <wp:extent cx="5467350" cy="8029575"/>
                <wp:effectExtent l="0" t="0" r="0" b="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rot="0" flipH="0" flipV="0">
                          <a:off x="0" y="0"/>
                          <a:ext cx="5467349" cy="8029575"/>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275/2026/0570/VFI-CT.39.A</w:t>
                            </w:r>
                            <w:r>
                              <w:rPr>
                                <w:b/>
                              </w:rPr>
                            </w:r>
                            <w:r>
                              <w:rPr>
                                <w:b/>
                              </w:rPr>
                            </w:r>
                          </w:p>
                          <w:p>
                            <w:pPr>
                              <w:pBdr/>
                              <w:spacing/>
                              <w:ind/>
                              <w:jc w:val="center"/>
                              <w:rPr>
                                <w:rFonts w:ascii="Times New Roman" w:hAnsi="Times New Roman" w:cs="Times New Roman"/>
                                <w:b/>
                                <w:bCs/>
                                <w:sz w:val="24"/>
                                <w:szCs w:val="24"/>
                              </w:rPr>
                            </w:pPr>
                            <w:r>
                              <w:rPr>
                                <w:rFonts w:ascii="Times New Roman" w:hAnsi="Times New Roman" w:eastAsia="Times New Roman" w:cs="Times New Roman"/>
                                <w:b/>
                                <w:bCs/>
                                <w:sz w:val="24"/>
                                <w:szCs w:val="24"/>
                                <w:lang w:val="pt-BR"/>
                              </w:rPr>
                              <w:t xml:space="preserve">Khách hàng yêu cầu: </w:t>
                            </w:r>
                            <w:r>
                              <w:rPr>
                                <w:rFonts w:ascii="Times New Roman" w:hAnsi="Times New Roman" w:eastAsia="Times New Roman" w:cs="Times New Roman"/>
                                <w:b/>
                                <w:bCs/>
                                <w:color w:val="081b3a"/>
                                <w:spacing w:val="3"/>
                                <w:sz w:val="24"/>
                                <w:szCs w:val="24"/>
                                <w:highlight w:val="white"/>
                              </w:rPr>
                              <w:t xml:space="preserve">CÔNG TY CỔ PHẦN DONEXGROUP</w:t>
                            </w:r>
                            <w:r>
                              <w:rPr>
                                <w:rFonts w:ascii="Times New Roman" w:hAnsi="Times New Roman" w:cs="Times New Roman"/>
                                <w:b/>
                                <w:bCs/>
                                <w:sz w:val="24"/>
                                <w:szCs w:val="24"/>
                              </w:rPr>
                            </w:r>
                            <w:r>
                              <w:rPr>
                                <w:rFonts w:ascii="Times New Roman" w:hAnsi="Times New Roman" w:cs="Times New Roman"/>
                                <w:b/>
                                <w:bCs/>
                                <w:sz w:val="24"/>
                                <w:szCs w:val="24"/>
                              </w:rPr>
                            </w:r>
                          </w:p>
                          <w:p>
                            <w:pPr>
                              <w:pBdr/>
                              <w:spacing w:after="120" w:before="120" w:line="360" w:lineRule="auto"/>
                              <w:ind/>
                              <w:jc w:val="both"/>
                              <w:rPr>
                                <w:b w:val="0"/>
                                <w:bCs w:val="0"/>
                              </w:rPr>
                            </w:pPr>
                            <w:r>
                              <w:rPr>
                                <w:b/>
                              </w:rPr>
                              <w:t xml:space="preserve">Tài sản thẩm </w:t>
                            </w:r>
                            <w:r>
                              <w:rPr>
                                <w:b/>
                              </w:rPr>
                              <w:t xml:space="preserve">định: </w:t>
                            </w:r>
                            <w:r>
                              <w:rPr>
                                <w:b w:val="0"/>
                                <w:bCs w:val="0"/>
                              </w:rPr>
                              <w:t xml:space="preserve">Quyền sử dụng đất tại các thửa đất có địa chỉ xã Trạm Thản, tỉnh Phú Thọ, bao gồm:</w:t>
                            </w:r>
                            <w:r>
                              <w:rPr>
                                <w:b w:val="0"/>
                                <w:bCs w:val="0"/>
                              </w:rPr>
                            </w:r>
                            <w:r>
                              <w:rPr>
                                <w:b w:val="0"/>
                                <w:bCs w:val="0"/>
                              </w:rPr>
                            </w:r>
                          </w:p>
                          <w:p>
                            <w:pPr>
                              <w:pBdr/>
                              <w:spacing w:after="120" w:before="120" w:line="360" w:lineRule="auto"/>
                              <w:ind/>
                              <w:jc w:val="both"/>
                              <w:rPr>
                                <w:b w:val="0"/>
                                <w:bCs w:val="0"/>
                              </w:rPr>
                            </w:pPr>
                            <w:r>
                              <w:rPr>
                                <w:b w:val="0"/>
                                <w:bCs w:val="0"/>
                              </w:rPr>
                              <w:t xml:space="preserve">+</w:t>
                            </w:r>
                            <w:r>
                              <w:rPr>
                                <w:b w:val="0"/>
                                <w:bCs w:val="0"/>
                              </w:rPr>
                              <w:t xml:space="preserve"> Thửa đất số: 59, tờ bản đồ số  48 (xã Trạm Thản cũ) theo Giấy chứng nhận quyền sử dụng đất quyền sở hữu tài sản gắn liền với đất số: AA 07694667, số vào sổ cấp GCN: CN 7949 do Chi nhánh văn phòng đăng kí đất đai Phù Ninh cấp ngày 01/4/2026; Chủ sử dụng đấ</w:t>
                            </w:r>
                            <w:r>
                              <w:rPr>
                                <w:b w:val="0"/>
                                <w:bCs w:val="0"/>
                              </w:rPr>
                              <w:t xml:space="preserve">t là ông Nguyễn Văn Thái;</w:t>
                            </w:r>
                            <w:r>
                              <w:rPr>
                                <w:b w:val="0"/>
                                <w:bCs w:val="0"/>
                              </w:rPr>
                            </w:r>
                            <w:r>
                              <w:rPr>
                                <w:b w:val="0"/>
                                <w:bCs w:val="0"/>
                              </w:rPr>
                            </w:r>
                          </w:p>
                          <w:p>
                            <w:pPr>
                              <w:pBdr/>
                              <w:spacing w:after="120" w:before="120" w:line="360" w:lineRule="auto"/>
                              <w:ind/>
                              <w:jc w:val="both"/>
                              <w:rPr>
                                <w:b w:val="0"/>
                                <w:bCs w:val="0"/>
                              </w:rPr>
                            </w:pPr>
                            <w:r>
                              <w:rPr>
                                <w:b w:val="0"/>
                                <w:bCs w:val="0"/>
                              </w:rPr>
                              <w:t xml:space="preserve">+</w:t>
                            </w:r>
                            <w:r>
                              <w:rPr>
                                <w:b w:val="0"/>
                                <w:bCs w:val="0"/>
                              </w:rPr>
                              <w:t xml:space="preserve"> Thửa đất số: 32, tờ bản đồ số  48 (xã Trạm Thản cũ) theo Giấy chứng nhận quyền sử dụng đất quyền sở hữu tài sản gắn liền với đất số: AA 07694666, số vào sổ cấp GCN: CN 7948 do Chi nhánh văn phòng đăng ký đất đai Phù Ninh cấp ngày 01/04/2026; Chủ sử dụng đ</w:t>
                            </w:r>
                            <w:r>
                              <w:rPr>
                                <w:b w:val="0"/>
                                <w:bCs w:val="0"/>
                              </w:rPr>
                              <w:t xml:space="preserve">ất là Ông Nguyễn Văn Thái;</w:t>
                            </w:r>
                            <w:r>
                              <w:rPr>
                                <w:b w:val="0"/>
                                <w:bCs w:val="0"/>
                              </w:rPr>
                            </w:r>
                            <w:r>
                              <w:rPr>
                                <w:b w:val="0"/>
                                <w:bCs w:val="0"/>
                              </w:rPr>
                            </w:r>
                          </w:p>
                          <w:p>
                            <w:pPr>
                              <w:pBdr/>
                              <w:spacing w:after="120" w:before="120" w:line="360" w:lineRule="auto"/>
                              <w:ind/>
                              <w:jc w:val="both"/>
                              <w:rPr>
                                <w:b w:val="0"/>
                                <w:bCs w:val="0"/>
                                <w:i/>
                              </w:rPr>
                            </w:pPr>
                            <w:r>
                              <w:rPr>
                                <w:b w:val="0"/>
                                <w:bCs w:val="0"/>
                              </w:rPr>
                              <w:t xml:space="preserve">+</w:t>
                            </w:r>
                            <w:r>
                              <w:rPr>
                                <w:b w:val="0"/>
                                <w:bCs w:val="0"/>
                              </w:rPr>
                              <w:t xml:space="preserve"> Thửa đất số: 352, tờ bản đồ số  36 (xã Trạm Thản cũ); thửa đất số 34, tờ bản đồ số: 48 (xã Trạm Thản cũ); thửa đất số 35, tờ bản đồ số: 48 (xã Trạm Thản cũ); thửa đất số 36, tờ bản đồ số: 48 (xã Trạm Thản cũ); thửa đất số 37, tờ bản đồ số: 48 (xã Trạm Thả</w:t>
                            </w:r>
                            <w:r>
                              <w:rPr>
                                <w:b w:val="0"/>
                                <w:bCs w:val="0"/>
                              </w:rPr>
                              <w:t xml:space="preserve">n</w:t>
                            </w:r>
                            <w:r>
                              <w:rPr>
                                <w:b w:val="0"/>
                                <w:bCs w:val="0"/>
                              </w:rPr>
                              <w:t xml:space="preserve"> cũ); thửa đất số 42, tờ bản đồ số: 48 (xã Trạm Thản cũ); thửa đất số 43, tờ bản đồ số: 48 (xã Trạm Thản cũ); thửa đất số 44, tờ bản đồ số: 48 (xã Trạm Thản cũ); thửa đất số 45, tờ bản đồ số: 48 (xã Trạm Thản cũ); thửa đất số 46, tờ bản đồ số: 48 (xã Trạm </w:t>
                            </w:r>
                            <w:r>
                              <w:rPr>
                                <w:b w:val="0"/>
                                <w:bCs w:val="0"/>
                              </w:rPr>
                              <w:t xml:space="preserve">T</w:t>
                            </w:r>
                            <w:r>
                              <w:rPr>
                                <w:b w:val="0"/>
                                <w:bCs w:val="0"/>
                              </w:rPr>
                              <w:t xml:space="preserve">hản cũ); thửa đất số 52, tờ bản đồ số: 48 (xã Trạm Thản cũ); thửa đất số 106-4, tờ bản đồ số: 49 (xã Trạm Thản cũ)  theo Giấy chứng nhận quyền sử dụng đất quyền sở hữu tài sản gắn liền với đất số: AA 07694674, số vào sổ cấp GCN: CN 7956 do Chi nhánh văn ph</w:t>
                            </w:r>
                            <w:r>
                              <w:rPr>
                                <w:b w:val="0"/>
                                <w:bCs w:val="0"/>
                              </w:rPr>
                              <w:t xml:space="preserve">òng đăng ký đất đai Phù Ninh cấp ngày 01/04/2026; Chủ sử dụng đất là Ông Nguyễn Văn Thái.</w:t>
                            </w:r>
                            <w:r>
                              <w:rPr>
                                <w:b w:val="0"/>
                                <w:bCs w:val="0"/>
                                <w:i/>
                              </w:rPr>
                            </w:r>
                            <w:r>
                              <w:rPr>
                                <w:b w:val="0"/>
                                <w:bCs w:val="0"/>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0.54pt;mso-position-vertical:absolute;width:430.50pt;height:632.25pt;mso-wrap-distance-left:9.00pt;mso-wrap-distance-top:0.00pt;mso-wrap-distance-right:9.00pt;mso-wrap-distance-bottom:0.00pt;rotation:0;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275/2026/0570/VFI-CT.39.A</w:t>
                      </w:r>
                      <w:r>
                        <w:rPr>
                          <w:b/>
                        </w:rPr>
                      </w:r>
                      <w:r>
                        <w:rPr>
                          <w:b/>
                        </w:rPr>
                      </w:r>
                    </w:p>
                    <w:p>
                      <w:pPr>
                        <w:pBdr/>
                        <w:spacing/>
                        <w:ind/>
                        <w:jc w:val="center"/>
                        <w:rPr>
                          <w:rFonts w:ascii="Times New Roman" w:hAnsi="Times New Roman" w:cs="Times New Roman"/>
                          <w:b/>
                          <w:bCs/>
                          <w:sz w:val="24"/>
                          <w:szCs w:val="24"/>
                        </w:rPr>
                      </w:pPr>
                      <w:r>
                        <w:rPr>
                          <w:rFonts w:ascii="Times New Roman" w:hAnsi="Times New Roman" w:eastAsia="Times New Roman" w:cs="Times New Roman"/>
                          <w:b/>
                          <w:bCs/>
                          <w:sz w:val="24"/>
                          <w:szCs w:val="24"/>
                          <w:lang w:val="pt-BR"/>
                        </w:rPr>
                        <w:t xml:space="preserve">Khách hàng yêu cầu: </w:t>
                      </w:r>
                      <w:r>
                        <w:rPr>
                          <w:rFonts w:ascii="Times New Roman" w:hAnsi="Times New Roman" w:eastAsia="Times New Roman" w:cs="Times New Roman"/>
                          <w:b/>
                          <w:bCs/>
                          <w:color w:val="081b3a"/>
                          <w:spacing w:val="3"/>
                          <w:sz w:val="24"/>
                          <w:szCs w:val="24"/>
                          <w:highlight w:val="white"/>
                        </w:rPr>
                        <w:t xml:space="preserve">CÔNG TY CỔ PHẦN DONEXGROUP</w:t>
                      </w:r>
                      <w:r>
                        <w:rPr>
                          <w:rFonts w:ascii="Times New Roman" w:hAnsi="Times New Roman" w:cs="Times New Roman"/>
                          <w:b/>
                          <w:bCs/>
                          <w:sz w:val="24"/>
                          <w:szCs w:val="24"/>
                        </w:rPr>
                      </w:r>
                      <w:r>
                        <w:rPr>
                          <w:rFonts w:ascii="Times New Roman" w:hAnsi="Times New Roman" w:cs="Times New Roman"/>
                          <w:b/>
                          <w:bCs/>
                          <w:sz w:val="24"/>
                          <w:szCs w:val="24"/>
                        </w:rPr>
                      </w:r>
                    </w:p>
                    <w:p>
                      <w:pPr>
                        <w:pBdr/>
                        <w:spacing w:after="120" w:before="120" w:line="360" w:lineRule="auto"/>
                        <w:ind/>
                        <w:jc w:val="both"/>
                        <w:rPr>
                          <w:b w:val="0"/>
                          <w:bCs w:val="0"/>
                        </w:rPr>
                      </w:pPr>
                      <w:r>
                        <w:rPr>
                          <w:b/>
                        </w:rPr>
                        <w:t xml:space="preserve">Tài sản thẩm </w:t>
                      </w:r>
                      <w:r>
                        <w:rPr>
                          <w:b/>
                        </w:rPr>
                        <w:t xml:space="preserve">định: </w:t>
                      </w:r>
                      <w:r>
                        <w:rPr>
                          <w:b w:val="0"/>
                          <w:bCs w:val="0"/>
                        </w:rPr>
                        <w:t xml:space="preserve">Quyền sử dụng đất tại các thửa đất có địa chỉ xã Trạm Thản, tỉnh Phú Thọ, bao gồm:</w:t>
                      </w:r>
                      <w:r>
                        <w:rPr>
                          <w:b w:val="0"/>
                          <w:bCs w:val="0"/>
                        </w:rPr>
                      </w:r>
                      <w:r>
                        <w:rPr>
                          <w:b w:val="0"/>
                          <w:bCs w:val="0"/>
                        </w:rPr>
                      </w:r>
                    </w:p>
                    <w:p>
                      <w:pPr>
                        <w:pBdr/>
                        <w:spacing w:after="120" w:before="120" w:line="360" w:lineRule="auto"/>
                        <w:ind/>
                        <w:jc w:val="both"/>
                        <w:rPr>
                          <w:b w:val="0"/>
                          <w:bCs w:val="0"/>
                        </w:rPr>
                      </w:pPr>
                      <w:r>
                        <w:rPr>
                          <w:b w:val="0"/>
                          <w:bCs w:val="0"/>
                        </w:rPr>
                        <w:t xml:space="preserve">+</w:t>
                      </w:r>
                      <w:r>
                        <w:rPr>
                          <w:b w:val="0"/>
                          <w:bCs w:val="0"/>
                        </w:rPr>
                        <w:t xml:space="preserve"> Thửa đất số: 59, tờ bản đồ số  48 (xã Trạm Thản cũ) theo Giấy chứng nhận quyền sử dụng đất quyền sở hữu tài sản gắn liền với đất số: AA 07694667, số vào sổ cấp GCN: CN 7949 do Chi nhánh văn phòng đăng kí đất đai Phù Ninh cấp ngày 01/4/2026; Chủ sử dụng đấ</w:t>
                      </w:r>
                      <w:r>
                        <w:rPr>
                          <w:b w:val="0"/>
                          <w:bCs w:val="0"/>
                        </w:rPr>
                        <w:t xml:space="preserve">t là ông Nguyễn Văn Thái;</w:t>
                      </w:r>
                      <w:r>
                        <w:rPr>
                          <w:b w:val="0"/>
                          <w:bCs w:val="0"/>
                        </w:rPr>
                      </w:r>
                      <w:r>
                        <w:rPr>
                          <w:b w:val="0"/>
                          <w:bCs w:val="0"/>
                        </w:rPr>
                      </w:r>
                    </w:p>
                    <w:p>
                      <w:pPr>
                        <w:pBdr/>
                        <w:spacing w:after="120" w:before="120" w:line="360" w:lineRule="auto"/>
                        <w:ind/>
                        <w:jc w:val="both"/>
                        <w:rPr>
                          <w:b w:val="0"/>
                          <w:bCs w:val="0"/>
                        </w:rPr>
                      </w:pPr>
                      <w:r>
                        <w:rPr>
                          <w:b w:val="0"/>
                          <w:bCs w:val="0"/>
                        </w:rPr>
                        <w:t xml:space="preserve">+</w:t>
                      </w:r>
                      <w:r>
                        <w:rPr>
                          <w:b w:val="0"/>
                          <w:bCs w:val="0"/>
                        </w:rPr>
                        <w:t xml:space="preserve"> Thửa đất số: 32, tờ bản đồ số  48 (xã Trạm Thản cũ) theo Giấy chứng nhận quyền sử dụng đất quyền sở hữu tài sản gắn liền với đất số: AA 07694666, số vào sổ cấp GCN: CN 7948 do Chi nhánh văn phòng đăng ký đất đai Phù Ninh cấp ngày 01/04/2026; Chủ sử dụng đ</w:t>
                      </w:r>
                      <w:r>
                        <w:rPr>
                          <w:b w:val="0"/>
                          <w:bCs w:val="0"/>
                        </w:rPr>
                        <w:t xml:space="preserve">ất là Ông Nguyễn Văn Thái;</w:t>
                      </w:r>
                      <w:r>
                        <w:rPr>
                          <w:b w:val="0"/>
                          <w:bCs w:val="0"/>
                        </w:rPr>
                      </w:r>
                      <w:r>
                        <w:rPr>
                          <w:b w:val="0"/>
                          <w:bCs w:val="0"/>
                        </w:rPr>
                      </w:r>
                    </w:p>
                    <w:p>
                      <w:pPr>
                        <w:pBdr/>
                        <w:spacing w:after="120" w:before="120" w:line="360" w:lineRule="auto"/>
                        <w:ind/>
                        <w:jc w:val="both"/>
                        <w:rPr>
                          <w:b w:val="0"/>
                          <w:bCs w:val="0"/>
                          <w:i/>
                        </w:rPr>
                      </w:pPr>
                      <w:r>
                        <w:rPr>
                          <w:b w:val="0"/>
                          <w:bCs w:val="0"/>
                        </w:rPr>
                        <w:t xml:space="preserve">+</w:t>
                      </w:r>
                      <w:r>
                        <w:rPr>
                          <w:b w:val="0"/>
                          <w:bCs w:val="0"/>
                        </w:rPr>
                        <w:t xml:space="preserve"> Thửa đất số: 352, tờ bản đồ số  36 (xã Trạm Thản cũ); thửa đất số 34, tờ bản đồ số: 48 (xã Trạm Thản cũ); thửa đất số 35, tờ bản đồ số: 48 (xã Trạm Thản cũ); thửa đất số 36, tờ bản đồ số: 48 (xã Trạm Thản cũ); thửa đất số 37, tờ bản đồ số: 48 (xã Trạm Thả</w:t>
                      </w:r>
                      <w:r>
                        <w:rPr>
                          <w:b w:val="0"/>
                          <w:bCs w:val="0"/>
                        </w:rPr>
                        <w:t xml:space="preserve">n</w:t>
                      </w:r>
                      <w:r>
                        <w:rPr>
                          <w:b w:val="0"/>
                          <w:bCs w:val="0"/>
                        </w:rPr>
                        <w:t xml:space="preserve"> cũ); thửa đất số 42, tờ bản đồ số: 48 (xã Trạm Thản cũ); thửa đất số 43, tờ bản đồ số: 48 (xã Trạm Thản cũ); thửa đất số 44, tờ bản đồ số: 48 (xã Trạm Thản cũ); thửa đất số 45, tờ bản đồ số: 48 (xã Trạm Thản cũ); thửa đất số 46, tờ bản đồ số: 48 (xã Trạm </w:t>
                      </w:r>
                      <w:r>
                        <w:rPr>
                          <w:b w:val="0"/>
                          <w:bCs w:val="0"/>
                        </w:rPr>
                        <w:t xml:space="preserve">T</w:t>
                      </w:r>
                      <w:r>
                        <w:rPr>
                          <w:b w:val="0"/>
                          <w:bCs w:val="0"/>
                        </w:rPr>
                        <w:t xml:space="preserve">hản cũ); thửa đất số 52, tờ bản đồ số: 48 (xã Trạm Thản cũ); thửa đất số 106-4, tờ bản đồ số: 49 (xã Trạm Thản cũ)  theo Giấy chứng nhận quyền sử dụng đất quyền sở hữu tài sản gắn liền với đất số: AA 07694674, số vào sổ cấp GCN: CN 7956 do Chi nhánh văn ph</w:t>
                      </w:r>
                      <w:r>
                        <w:rPr>
                          <w:b w:val="0"/>
                          <w:bCs w:val="0"/>
                        </w:rPr>
                        <w:t xml:space="preserve">òng đăng ký đất đai Phù Ninh cấp ngày 01/04/2026; Chủ sử dụng đất là Ông Nguyễn Văn Thái.</w:t>
                      </w:r>
                      <w:r>
                        <w:rPr>
                          <w:b w:val="0"/>
                          <w:bCs w:val="0"/>
                          <w:i/>
                        </w:rPr>
                      </w:r>
                      <w:r>
                        <w:rPr>
                          <w:b w:val="0"/>
                          <w:bCs w:val="0"/>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
    </w:p>
    <w:p>
      <w:pPr>
        <w:pBdr/>
        <w:spacing/>
        <w:ind w:right="-1"/>
        <w:jc w:val="center"/>
        <w:rPr>
          <w:b/>
          <w:sz w:val="28"/>
          <w:lang w:val="vi-VN"/>
        </w:rPr>
      </w:pPr>
      <w:r>
        <w:rPr>
          <w:b/>
          <w:sz w:val="28"/>
          <w:lang w:val="vi-VN"/>
        </w:rPr>
      </w:r>
      <w: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8"/>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8"/>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874"/>
        <w:gridCol w:w="12684"/>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874" w:type="dxa"/>
            <w:textDirection w:val="lrTb"/>
            <w:noWrap w:val="false"/>
          </w:tcPr>
          <w:p>
            <w:pPr>
              <w:pStyle w:val="1037"/>
              <w:pBdr/>
              <w:spacing w:after="60"/>
              <w:ind/>
              <w:rPr>
                <w:color w:val="000000" w:themeColor="text1"/>
                <w:sz w:val="24"/>
                <w:szCs w:val="24"/>
              </w:rPr>
            </w:pPr>
            <w:r>
              <w:rPr>
                <w:rStyle w:val="1036"/>
                <w:rFonts w:ascii="Times New Roman" w:hAnsi="Times New Roman"/>
                <w:color w:val="000000" w:themeColor="text1"/>
                <w:lang w:val="pt-BR"/>
              </w:rPr>
              <w:t xml:space="preserve">Số: </w:t>
            </w:r>
            <w:r>
              <w:rPr>
                <w:rStyle w:val="1036"/>
                <w:rFonts w:ascii="Times New Roman" w:hAnsi="Times New Roman"/>
                <w:color w:val="000000" w:themeColor="text1"/>
                <w:lang w:val="pt-BR"/>
              </w:rPr>
              <w:t xml:space="preserve">275/2026/0570/VFI-CT.39.A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2684" w:type="dxa"/>
            <w:textDirection w:val="lrTb"/>
            <w:noWrap w:val="false"/>
          </w:tcPr>
          <w:p>
            <w:pPr>
              <w:pStyle w:val="1037"/>
              <w:pBdr/>
              <w:spacing w:after="60"/>
              <w:ind w:right="-56"/>
              <w:jc w:val="right"/>
              <w:rPr>
                <w:color w:val="000000" w:themeColor="text1"/>
                <w:sz w:val="24"/>
                <w:szCs w:val="24"/>
                <w:lang w:val="vi-VN"/>
              </w:rPr>
            </w:pPr>
            <w:r>
              <w:rPr>
                <w:rStyle w:val="1036"/>
                <w:rFonts w:ascii="Times New Roman" w:hAnsi="Times New Roman"/>
                <w:i/>
                <w:color w:val="auto"/>
              </w:rPr>
              <w:t xml:space="preserve">TP. Hà Nội</w:t>
            </w:r>
            <w:r>
              <w:rPr>
                <w:rStyle w:val="1036"/>
                <w:rFonts w:ascii="Times New Roman" w:hAnsi="Times New Roman"/>
                <w:i/>
                <w:color w:val="auto"/>
                <w:lang w:val="vi-VN"/>
              </w:rPr>
              <w:t xml:space="preserve">, </w:t>
            </w:r>
            <w:r>
              <w:rPr>
                <w:rStyle w:val="1036"/>
                <w:rFonts w:ascii="Times New Roman" w:hAnsi="Times New Roman"/>
                <w:i/>
                <w:color w:val="000000" w:themeColor="text1"/>
                <w:lang w:val="vi-VN"/>
              </w:rPr>
              <w:t xml:space="preserve">ngày 14 tháng 4 năm 2026</w:t>
            </w:r>
            <w:r>
              <w:rPr>
                <w:color w:val="000000" w:themeColor="text1"/>
                <w:sz w:val="24"/>
                <w:szCs w:val="24"/>
                <w:lang w:val="vi-VN"/>
              </w:rPr>
            </w:r>
            <w:r>
              <w:rPr>
                <w:color w:val="000000" w:themeColor="text1"/>
                <w:sz w:val="24"/>
                <w:szCs w:val="24"/>
                <w:lang w:val="vi-VN"/>
              </w:rPr>
            </w:r>
          </w:p>
        </w:tc>
      </w:tr>
    </w:tbl>
    <w:p>
      <w:pPr>
        <w:pStyle w:val="1037"/>
        <w:pBdr/>
        <w:spacing w:after="120" w:before="200" w:line="288" w:lineRule="auto"/>
        <w:ind/>
        <w:jc w:val="center"/>
        <w:rPr>
          <w:rStyle w:val="1036"/>
          <w:rFonts w:ascii="Times New Roman" w:hAnsi="Times New Roman"/>
          <w:b/>
          <w:bCs/>
          <w:color w:val="auto"/>
          <w:sz w:val="30"/>
          <w:szCs w:val="30"/>
          <w:lang w:val="vi-VN"/>
        </w:rPr>
      </w:pPr>
      <w:r>
        <w:rPr>
          <w:rStyle w:val="1036"/>
          <w:rFonts w:ascii="Times New Roman" w:hAnsi="Times New Roman"/>
          <w:b/>
          <w:bCs/>
          <w:color w:val="auto"/>
          <w:sz w:val="30"/>
          <w:szCs w:val="30"/>
          <w:lang w:val="vi-VN"/>
        </w:rPr>
        <w:t xml:space="preserve">CHỨNG THƯ THẨM ĐỊNH GIÁ</w:t>
      </w:r>
      <w:r>
        <w:rPr>
          <w:rStyle w:val="1036"/>
          <w:rFonts w:ascii="Times New Roman" w:hAnsi="Times New Roman"/>
          <w:b/>
          <w:bCs/>
          <w:color w:val="auto"/>
          <w:sz w:val="30"/>
          <w:szCs w:val="30"/>
          <w:lang w:val="vi-VN"/>
        </w:rPr>
      </w:r>
      <w:r>
        <w:rPr>
          <w:rStyle w:val="1036"/>
          <w:rFonts w:ascii="Times New Roman" w:hAnsi="Times New Roman"/>
          <w:b/>
          <w:bCs/>
          <w:color w:val="auto"/>
          <w:sz w:val="30"/>
          <w:szCs w:val="30"/>
          <w:lang w:val="vi-VN"/>
        </w:rPr>
      </w:r>
    </w:p>
    <w:p>
      <w:pPr>
        <w:pBdr/>
        <w:spacing/>
        <w:ind/>
        <w:jc w:val="center"/>
        <w:rPr>
          <w:rFonts w:ascii="Times New Roman" w:hAnsi="Times New Roman" w:cs="Times New Roman"/>
          <w:b/>
          <w:bCs/>
          <w:sz w:val="24"/>
          <w:szCs w:val="24"/>
        </w:rPr>
      </w:pPr>
      <w:r>
        <w:rPr>
          <w:b/>
          <w:u w:val="single"/>
          <w:lang w:val="pt-BR"/>
        </w:rPr>
        <w:t xml:space="preserve">Kính gửi</w:t>
      </w:r>
      <w:r>
        <w:rPr>
          <w:b/>
          <w:lang w:val="pt-BR"/>
        </w:rPr>
        <w:t xml:space="preserve">:</w:t>
      </w:r>
      <w:r>
        <w:rPr>
          <w:b/>
          <w:lang w:val="pt-BR"/>
        </w:rPr>
        <w:t xml:space="preserve"> </w:t>
      </w:r>
      <w:r>
        <w:rPr>
          <w:rFonts w:ascii="Times New Roman" w:hAnsi="Times New Roman" w:eastAsia="Times New Roman" w:cs="Times New Roman"/>
          <w:b/>
          <w:bCs/>
          <w:color w:val="081b3a"/>
          <w:spacing w:val="3"/>
          <w:sz w:val="24"/>
          <w:szCs w:val="24"/>
          <w:highlight w:val="white"/>
        </w:rPr>
        <w:t xml:space="preserve">CÔNG TY CỔ PHẦN DONEXGROUP</w:t>
      </w:r>
      <w:r>
        <w:rPr>
          <w:rFonts w:ascii="Times New Roman" w:hAnsi="Times New Roman" w:cs="Times New Roman"/>
          <w:b/>
          <w:bCs/>
          <w:sz w:val="24"/>
          <w:szCs w:val="24"/>
        </w:rPr>
      </w:r>
      <w:r>
        <w:rPr>
          <w:rFonts w:ascii="Times New Roman" w:hAnsi="Times New Roman" w:cs="Times New Roman"/>
          <w:b/>
          <w:bCs/>
          <w:sz w:val="24"/>
          <w:szCs w:val="24"/>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275/2026/0570/VFI-HĐTĐ.39.A</w:t>
      </w:r>
      <w:r>
        <w:rPr>
          <w:spacing w:val="-4"/>
          <w:lang w:val="vi-VN"/>
        </w:rPr>
        <w:t xml:space="preserve"> ký ngày </w:t>
      </w:r>
      <w:r>
        <w:rPr>
          <w:color w:val="000000" w:themeColor="text1"/>
          <w:spacing w:val="-4"/>
        </w:rPr>
        <w:t xml:space="preserve">10 tháng 2 năm 2026</w:t>
      </w:r>
      <w:r>
        <w:rPr>
          <w:spacing w:val="-4"/>
          <w:lang w:val="vi-VN"/>
        </w:rPr>
        <w:t xml:space="preserve"> </w:t>
      </w:r>
      <w:r>
        <w:rPr>
          <w:spacing w:val="-4"/>
          <w:lang w:val="vi-VN"/>
        </w:rPr>
        <w:t xml:space="preserve">giữa </w:t>
      </w:r>
      <w:r>
        <w:rPr>
          <w:color w:val="000000" w:themeColor="text1"/>
          <w:spacing w:val="-4"/>
        </w:rPr>
        <w:t xml:space="preserve">Công ty Cổ phần Donexgroup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275/2026/0570/VFI-BC.39.A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14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
                <w:bCs/>
                <w:color w:val="000000" w:themeColor="text1"/>
                <w14:ligatures w14:val="none"/>
              </w:rPr>
            </w:pPr>
            <w:r>
              <w:rPr>
                <w:b/>
                <w:bCs/>
                <w:color w:val="000000" w:themeColor="text1"/>
                <w:lang w:val="pt-BR" w:bidi="pt-BR"/>
              </w:rPr>
            </w:r>
            <w:r>
              <w:rPr>
                <w:b/>
                <w:bCs/>
                <w:color w:val="000000" w:themeColor="text1"/>
                <w:lang w:val="pt-BR"/>
              </w:rPr>
              <w:t xml:space="preserve">CÔNG TY CỔ PHẦN DONEXGROUP</w:t>
            </w:r>
            <w:r>
              <w:rPr>
                <w:b/>
                <w:bCs/>
                <w:color w:val="000000" w:themeColor="text1"/>
                <w:lang w:val="pt-BR"/>
              </w:rPr>
            </w:r>
            <w:r>
              <w:rPr>
                <w:b/>
                <w:bCs/>
                <w:color w:val="000000" w:themeColor="text1"/>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000000" w:themeColor="text1"/>
                <w:lang w:val="pt-BR"/>
                <w14:ligatures w14:val="none"/>
              </w:rPr>
            </w:pPr>
            <w:r>
              <w:rPr>
                <w:color w:val="000000" w:themeColor="text1"/>
                <w:lang w:val="pt-BR" w:bidi="pt-BR"/>
              </w:rPr>
            </w:r>
            <w:r>
              <w:rPr>
                <w:color w:val="000000" w:themeColor="text1"/>
                <w:lang w:val="pt-BR"/>
              </w:rPr>
              <w:t xml:space="preserve">033081006482</w:t>
            </w:r>
            <w:r>
              <w:rPr>
                <w:color w:val="000000" w:themeColor="text1"/>
                <w:lang w:val="pt-BR"/>
              </w:rPr>
            </w:r>
            <w:r>
              <w:rPr>
                <w:color w:val="000000" w:themeColor="text1"/>
                <w:lang w:val="pt-BR"/>
                <w14:ligatures w14:val="none"/>
              </w:rPr>
            </w:r>
          </w:p>
        </w:tc>
      </w:tr>
      <w:tr>
        <w:trPr>
          <w:trHeight w:val="386"/>
        </w:trPr>
        <w:tc>
          <w:tcPr>
            <w:shd w:val="clear" w:color="ffffff" w:fill="ffffff"/>
            <w:tcBorders/>
            <w:tcW w:w="1109" w:type="pct"/>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pPr>
              <w:pBdr/>
              <w:spacing w:after="40" w:before="40" w:line="276" w:lineRule="auto"/>
              <w:ind/>
              <w:jc w:val="both"/>
              <w:rPr>
                <w:color w:val="000000" w:themeColor="text1"/>
                <w:lang w:val="pt-BR"/>
                <w14:ligatures w14:val="none"/>
              </w:rPr>
            </w:pPr>
            <w:r>
              <w:rPr>
                <w:color w:val="000000" w:themeColor="text1"/>
                <w:lang w:val="pt-BR" w:bidi="pt-BR"/>
              </w:rPr>
            </w:r>
            <w:r>
              <w:rPr>
                <w:color w:val="000000" w:themeColor="text1"/>
                <w:lang w:val="pt-BR"/>
              </w:rPr>
              <w:t xml:space="preserve">Thôn Trương Xá, Xã Nghĩa Dân, Tỉnh Hưng Yên, Việt Nam</w:t>
            </w:r>
            <w:r>
              <w:rPr>
                <w:color w:val="000000" w:themeColor="text1"/>
                <w:lang w:val="pt-BR"/>
              </w:rPr>
            </w:r>
            <w:r>
              <w:rPr>
                <w:color w:val="000000" w:themeColor="text1"/>
                <w:lang w:val="pt-BR"/>
                <w14:ligatures w14:val="none"/>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60" w:lineRule="auto"/>
        <w:ind/>
        <w:jc w:val="both"/>
        <w:rPr>
          <w:b w:val="0"/>
          <w:bCs w:val="0"/>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 w:val="0"/>
          <w:bCs w:val="0"/>
        </w:rPr>
        <w:t xml:space="preserve">Quyền sử dụng đất tại các thửa đất có địa chỉ xã Trạm Thản, tỉnh Phú Thọ, bao gồm:</w:t>
      </w:r>
      <w:r>
        <w:rPr>
          <w:b w:val="0"/>
          <w:bCs w:val="0"/>
        </w:rPr>
      </w:r>
      <w:r>
        <w:rPr>
          <w:b w:val="0"/>
          <w:bCs w:val="0"/>
        </w:rPr>
      </w:r>
    </w:p>
    <w:p>
      <w:pPr>
        <w:pBdr/>
        <w:spacing w:after="120" w:before="120" w:line="360" w:lineRule="auto"/>
        <w:ind/>
        <w:jc w:val="both"/>
        <w:rPr>
          <w:b w:val="0"/>
          <w:bCs w:val="0"/>
        </w:rPr>
      </w:pPr>
      <w:r>
        <w:rPr>
          <w:b w:val="0"/>
          <w:bCs w:val="0"/>
        </w:rPr>
        <w:t xml:space="preserve">+</w:t>
      </w:r>
      <w:r>
        <w:rPr>
          <w:b w:val="0"/>
          <w:bCs w:val="0"/>
        </w:rPr>
        <w:t xml:space="preserve"> Thửa đất số: 59, tờ bản đồ số  48 (xã Trạm Thản cũ) theo Giấy chứng nhận quyền sử dụng đất quyền sở hữu tài sản gắn liền với đất số: AA 07694667, số vào sổ cấp GCN: CN 7949 do Chi nhánh văn phòng đăng kí đất đai Phù Ninh cấp ngày 01/4/2026; Chủ sử dụng đấ</w:t>
      </w:r>
      <w:r>
        <w:rPr>
          <w:b w:val="0"/>
          <w:bCs w:val="0"/>
        </w:rPr>
        <w:t xml:space="preserve">t là ông Nguyễn Văn Thái;</w:t>
      </w:r>
      <w:r>
        <w:rPr>
          <w:b w:val="0"/>
          <w:bCs w:val="0"/>
        </w:rPr>
      </w:r>
      <w:r>
        <w:rPr>
          <w:b w:val="0"/>
          <w:bCs w:val="0"/>
        </w:rPr>
      </w:r>
    </w:p>
    <w:p>
      <w:pPr>
        <w:pBdr/>
        <w:spacing w:after="120" w:before="120" w:line="360" w:lineRule="auto"/>
        <w:ind/>
        <w:jc w:val="both"/>
        <w:rPr>
          <w:b w:val="0"/>
          <w:bCs w:val="0"/>
        </w:rPr>
      </w:pPr>
      <w:r>
        <w:rPr>
          <w:b w:val="0"/>
          <w:bCs w:val="0"/>
        </w:rPr>
        <w:t xml:space="preserve">+</w:t>
      </w:r>
      <w:r>
        <w:rPr>
          <w:b w:val="0"/>
          <w:bCs w:val="0"/>
        </w:rPr>
        <w:t xml:space="preserve"> Thửa đất số: 32, tờ bản đồ số  48 (xã Trạm Thản cũ) theo Giấy chứng nhận quyền sử dụng đất quyền sở hữu tài sản gắn liền với đất số: AA 07694666, số vào sổ cấp GCN: CN 7948 do Chi nhánh văn phòng đăng ký đất đai Phù Ninh cấp ngày 01/04/2026; Chủ sử dụng đ</w:t>
      </w:r>
      <w:r>
        <w:rPr>
          <w:b w:val="0"/>
          <w:bCs w:val="0"/>
        </w:rPr>
        <w:t xml:space="preserve">ất là Ông Nguyễn Văn Thái;</w:t>
      </w:r>
      <w:r>
        <w:rPr>
          <w:b w:val="0"/>
          <w:bCs w:val="0"/>
        </w:rPr>
      </w:r>
      <w:r>
        <w:rPr>
          <w:b w:val="0"/>
          <w:bCs w:val="0"/>
        </w:rPr>
      </w:r>
    </w:p>
    <w:p>
      <w:pPr>
        <w:pBdr/>
        <w:spacing w:after="120" w:before="120" w:line="360" w:lineRule="auto"/>
        <w:ind/>
        <w:jc w:val="both"/>
        <w:rPr>
          <w:b w:val="0"/>
          <w:bCs w:val="0"/>
          <w:i/>
        </w:rPr>
      </w:pPr>
      <w:r>
        <w:rPr>
          <w:b w:val="0"/>
          <w:bCs w:val="0"/>
        </w:rPr>
        <w:t xml:space="preserve">+</w:t>
      </w:r>
      <w:r>
        <w:rPr>
          <w:b w:val="0"/>
          <w:bCs w:val="0"/>
        </w:rPr>
        <w:t xml:space="preserve"> Thửa đất số: 352, tờ bản đồ số  36 (xã Trạm Thản cũ); thửa đất số 34, tờ bản đồ số: 48 (xã Trạm Thản cũ); thửa đất số 35, tờ bản đồ số: 48 (xã Trạm Thản cũ); thửa đất số 36, tờ bản đồ số: 48 (xã Trạm Thản cũ); thửa đất số 37, tờ bản đồ số: 48 (xã Trạm Thả</w:t>
      </w:r>
      <w:r>
        <w:rPr>
          <w:b w:val="0"/>
          <w:bCs w:val="0"/>
        </w:rPr>
        <w:t xml:space="preserve">n</w:t>
      </w:r>
      <w:r>
        <w:rPr>
          <w:b w:val="0"/>
          <w:bCs w:val="0"/>
        </w:rPr>
        <w:t xml:space="preserve"> cũ); thửa đất số 42, tờ bản đồ số: 48 (xã Trạm Thản cũ); thửa đất số 43, tờ bản đồ số: 48 (xã Trạm Thản cũ); thửa đất số 44, tờ bản đồ số: 48 (xã Trạm Thản cũ); thửa đất số 45, tờ bản đồ số: 48 (xã Trạm Thản cũ); thửa đất số 46, tờ bản đồ số: 48 (xã Trạm </w:t>
      </w:r>
      <w:r>
        <w:rPr>
          <w:b w:val="0"/>
          <w:bCs w:val="0"/>
        </w:rPr>
        <w:t xml:space="preserve">T</w:t>
      </w:r>
      <w:r>
        <w:rPr>
          <w:b w:val="0"/>
          <w:bCs w:val="0"/>
        </w:rPr>
        <w:t xml:space="preserve">hản cũ); thửa đất số 52, tờ bản đồ số: 48 (xã Trạm Thản cũ); thửa đất số 106-4, tờ bản đồ số: 49 (xã Trạm Thản cũ)  theo Giấy chứng nhận quyền sử dụng đất quyền sở hữu tài sản gắn liền với đất số: AA 07694674, số vào sổ cấp GCN: CN 7956 do Chi nhánh văn ph</w:t>
      </w:r>
      <w:r>
        <w:rPr>
          <w:b w:val="0"/>
          <w:bCs w:val="0"/>
        </w:rPr>
        <w:t xml:space="preserve">òng đăng ký đất đai Phù Ninh cấp ngày 01/04/2026; Chủ sử dụng đất là Ông Nguyễn Văn Thái.</w:t>
      </w:r>
      <w:r>
        <w:rPr>
          <w:b w:val="0"/>
          <w:bCs w:val="0"/>
          <w:i/>
        </w:rPr>
      </w:r>
      <w:r>
        <w:rPr>
          <w:b w:val="0"/>
          <w:bCs w:val="0"/>
          <w:i/>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rPr>
          <w:highlight w:val="none"/>
        </w:rPr>
      </w:r>
    </w:p>
    <w:p>
      <w:pPr>
        <w:pBdr/>
        <w:spacing w:after="120" w:before="120" w:line="312" w:lineRule="auto"/>
        <w:ind/>
        <w:jc w:val="both"/>
        <w:rPr/>
      </w:pPr>
      <w:r/>
      <w:r/>
    </w:p>
    <w:p>
      <w:pPr>
        <w:pBdr/>
        <w:spacing w:after="120" w:before="120" w:line="312" w:lineRule="auto"/>
        <w:ind/>
        <w:jc w:val="both"/>
        <w:rPr/>
      </w:pPr>
      <w:r>
        <w:rPr>
          <w:highlight w:val="none"/>
        </w:rPr>
      </w:r>
      <w:r>
        <w:rPr>
          <w:highlight w:val="none"/>
        </w:rPr>
      </w:r>
      <w:r/>
    </w:p>
    <w:tbl>
      <w:tblPr>
        <w:tblStyle w:val="104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5"/>
        <w:gridCol w:w="2884"/>
        <w:gridCol w:w="2156"/>
        <w:gridCol w:w="1964"/>
        <w:gridCol w:w="1808"/>
      </w:tblGrid>
      <w:tr>
        <w:trPr>
          <w:trHeight w:val="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TT</w:t>
            </w:r>
            <w:r>
              <w:rPr>
                <w:b/>
                <w:bCs/>
              </w:rPr>
            </w:r>
            <w:r>
              <w:rPr>
                <w:b/>
                <w:bCs/>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884"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Tài sản</w:t>
            </w:r>
            <w:r>
              <w:rPr>
                <w:b/>
                <w:bCs/>
              </w:rPr>
            </w:r>
            <w:r>
              <w:rPr>
                <w:b/>
                <w:bCs/>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56"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Diện tích (m²)</w:t>
            </w:r>
            <w:r>
              <w:rPr>
                <w:b/>
                <w:bCs/>
              </w:rPr>
            </w:r>
            <w:r>
              <w:rPr>
                <w:b/>
                <w:bCs/>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64"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Đơn giá (đồng/m²)</w:t>
            </w:r>
            <w:r>
              <w:rPr>
                <w:b/>
                <w:bCs/>
              </w:rPr>
            </w:r>
            <w:r>
              <w:rPr>
                <w:b/>
                <w:bCs/>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Thành tiền (đồng)</w:t>
            </w:r>
            <w:r>
              <w:rPr>
                <w:b/>
                <w:bCs/>
              </w:rPr>
            </w:r>
            <w:r>
              <w:rPr>
                <w:b/>
                <w:bCs/>
              </w:rP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 </w:t>
            </w:r>
            <w:r>
              <w:rPr>
                <w:b/>
                <w:bCs/>
              </w:rPr>
            </w:r>
            <w:r>
              <w:rPr>
                <w:b/>
                <w:bCs/>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004" w:type="dxa"/>
            <w:vAlign w:val="center"/>
            <w:textDirection w:val="lrTb"/>
            <w:noWrap w:val="false"/>
          </w:tcPr>
          <w:p>
            <w:pPr>
              <w:pBdr/>
              <w:spacing w:after="0" w:before="0" w:line="240" w:lineRule="auto"/>
              <w:ind/>
              <w:jc w:val="left"/>
              <w:rPr>
                <w:b w:val="0"/>
                <w:bCs w:val="0"/>
              </w:rPr>
            </w:pPr>
            <w:r>
              <w:rPr>
                <w:rFonts w:ascii="Times New Roman" w:hAnsi="Times New Roman" w:eastAsia="Times New Roman" w:cs="Times New Roman"/>
                <w:b w:val="0"/>
                <w:bCs w:val="0"/>
                <w:color w:val="000000"/>
                <w:sz w:val="24"/>
              </w:rPr>
              <w:t xml:space="preserve">Quyền sử dụng đất tại các thửa đất có địa chỉ xã Trạm Thản, tỉnh Phú Thọ, bao gồm:</w:t>
              <w:br/>
              <w:t xml:space="preserve">+ Thửa đất số: 59, tờ bản đồ số  48 (xã Trạm Thản cũ) theo Giấy chứng nhận quyền sử dụng đất quyền sở hữu tài sản gắn liền với đất số: AA 07694667, số vào sổ cấp GCN: CN 794</w:t>
            </w:r>
            <w:r>
              <w:rPr>
                <w:rFonts w:ascii="Times New Roman" w:hAnsi="Times New Roman" w:eastAsia="Times New Roman" w:cs="Times New Roman"/>
                <w:b w:val="0"/>
                <w:bCs w:val="0"/>
                <w:color w:val="000000"/>
                <w:sz w:val="24"/>
              </w:rPr>
              <w:t xml:space="preserve">9 do Chi nhánh văn phòng đăng kí đất đai Phù Ninh cấp ngày 01/4/2026; Chủ sử dụng đất là ông Nguyễn Văn Thái;</w:t>
              <w:br/>
              <w:t xml:space="preserve">+ Thửa đất số: 32, tờ bản đồ số  48 (xã Trạm Thản cũ) theo Giấy chứng nhận quyền sử dụng đất quyền sở hữu tài sản gắn liền với đất số: AA 07694666</w:t>
            </w:r>
            <w:r>
              <w:rPr>
                <w:rFonts w:ascii="Times New Roman" w:hAnsi="Times New Roman" w:eastAsia="Times New Roman" w:cs="Times New Roman"/>
                <w:b w:val="0"/>
                <w:bCs w:val="0"/>
                <w:color w:val="000000"/>
                <w:sz w:val="24"/>
              </w:rPr>
              <w:t xml:space="preserve">, số vào sổ cấp GCN: CN 7948 do Chi nhánh văn phòng đăng ký đất đai Phù Ninh cấp ngày 01/04/2026; Chủ sử dụng đất là Ông Nguyễn Văn Thái;</w:t>
              <w:br/>
              <w:t xml:space="preserve">+ Thửa đất số: 352, tờ bản đồ số  36 (xã Trạm Thản cũ); thửa đất số 34, tờ bản đồ số: 48 (xã Trạm Thản cũ); thửa đất s</w:t>
            </w:r>
            <w:r>
              <w:rPr>
                <w:rFonts w:ascii="Times New Roman" w:hAnsi="Times New Roman" w:eastAsia="Times New Roman" w:cs="Times New Roman"/>
                <w:b w:val="0"/>
                <w:bCs w:val="0"/>
                <w:color w:val="000000"/>
                <w:sz w:val="24"/>
              </w:rPr>
              <w:t xml:space="preserve">ố 35, tờ bản đồ số: 48 (xã Trạm Thản cũ); thửa đất số 36, tờ bản đồ số: 48 (xã Trạm Thản cũ); thửa đất số 37, tờ bản đồ số: 48 (xã Trạm Thản cũ); thửa đất số 42, tờ bản đồ số: 48 (xã Trạm Thản cũ); thửa đất số 43, tờ bản đồ số: 48 (xã Trạm Thản cũ); thửa đ</w:t>
            </w:r>
            <w:r>
              <w:rPr>
                <w:rFonts w:ascii="Times New Roman" w:hAnsi="Times New Roman" w:eastAsia="Times New Roman" w:cs="Times New Roman"/>
                <w:b w:val="0"/>
                <w:bCs w:val="0"/>
                <w:color w:val="000000"/>
                <w:sz w:val="24"/>
              </w:rPr>
              <w:t xml:space="preserve">ất số 44, tờ bản đồ số: 48 (xã Trạm Thản cũ); thửa đất số 45, tờ bản đồ số: 48 (xã Trạm Thản cũ); thửa đất số 46, tờ bản đồ số: 48 (xã Trạm Thản cũ); thửa đất số 52, tờ bản đồ số: 48 (xã Trạm Thản cũ); thửa đất số 106-4, tờ bản đồ số: 49 (xã Trạm Thản cũ) </w:t>
            </w:r>
            <w:r>
              <w:rPr>
                <w:rFonts w:ascii="Times New Roman" w:hAnsi="Times New Roman" w:eastAsia="Times New Roman" w:cs="Times New Roman"/>
                <w:b w:val="0"/>
                <w:bCs w:val="0"/>
                <w:color w:val="000000"/>
                <w:sz w:val="24"/>
              </w:rPr>
              <w:t xml:space="preserve"> theo Giấy chứng nhận quyền sử dụng đất quyền sở hữu tài sản gắn liền với đất số: AA 07694674, số vào sổ cấp GCN: CN 7956 do Chi nhánh văn phòng đăng ký đất đai Phù Ninh cấp ngày 01/04/2026; Chủ sử dụng đất là Ông Nguyễn Văn Thái.</w:t>
            </w:r>
            <w:r>
              <w:rPr>
                <w:b w:val="0"/>
                <w:bCs w:val="0"/>
              </w:rPr>
            </w:r>
            <w:r>
              <w:rPr>
                <w:b w:val="0"/>
                <w:bCs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1808" w:type="dxa"/>
            <w:vAlign w:val="center"/>
            <w:textDirection w:val="lrTb"/>
            <w:noWrap w:val="false"/>
          </w:tcPr>
          <w:p>
            <w:pPr>
              <w:pBdr/>
              <w:spacing w:after="0" w:before="0" w:line="240" w:lineRule="auto"/>
              <w:ind/>
              <w:jc w:val="right"/>
              <w:rPr>
                <w:b/>
                <w:bCs/>
              </w:rPr>
            </w:pPr>
            <w:r>
              <w:rPr>
                <w:rFonts w:ascii="Times New Roman" w:hAnsi="Times New Roman" w:eastAsia="Times New Roman" w:cs="Times New Roman"/>
                <w:b/>
                <w:bCs/>
                <w:color w:val="000000"/>
                <w:sz w:val="24"/>
              </w:rPr>
              <w:t xml:space="preserve"> </w:t>
            </w:r>
            <w:r>
              <w:rPr>
                <w:b/>
                <w:bCs/>
              </w:rPr>
            </w:r>
            <w:r>
              <w:rPr>
                <w:b/>
                <w:bCs/>
              </w:rP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4"/>
              </w:rPr>
              <w:t xml:space="preserve">01</w:t>
            </w:r>
            <w:r>
              <w:rPr>
                <w:b w:val="0"/>
                <w:bCs w:val="0"/>
              </w:rPr>
            </w:r>
            <w:r>
              <w:rPr>
                <w:b w:val="0"/>
                <w:bCs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2884" w:type="dxa"/>
            <w:vAlign w:val="center"/>
            <w:textDirection w:val="lrTb"/>
            <w:noWrap w:val="false"/>
          </w:tcPr>
          <w:p>
            <w:pPr>
              <w:pBdr/>
              <w:spacing w:after="0" w:before="0" w:line="240" w:lineRule="auto"/>
              <w:ind/>
              <w:rPr>
                <w:b w:val="0"/>
                <w:bCs w:val="0"/>
              </w:rPr>
            </w:pPr>
            <w:r>
              <w:rPr>
                <w:rFonts w:ascii="Times New Roman" w:hAnsi="Times New Roman" w:eastAsia="Times New Roman" w:cs="Times New Roman"/>
                <w:b w:val="0"/>
                <w:bCs w:val="0"/>
                <w:color w:val="000000"/>
                <w:sz w:val="24"/>
              </w:rPr>
              <w:t xml:space="preserve">Quyền sử dụng đất ở (400m2)</w:t>
            </w:r>
            <w:r>
              <w:rPr>
                <w:b w:val="0"/>
                <w:bCs w:val="0"/>
              </w:rPr>
            </w:r>
            <w:r>
              <w:rPr>
                <w:b w:val="0"/>
                <w:bCs w:val="0"/>
              </w:rPr>
            </w:r>
          </w:p>
        </w:tc>
        <w:tc>
          <w:tcPr>
            <w:tcBorders>
              <w:bottom w:val="single" w:color="000000" w:sz="5" w:space="0"/>
              <w:right w:val="single" w:color="000000" w:sz="5" w:space="0"/>
            </w:tcBorders>
            <w:tcMar>
              <w:left w:w="0" w:type="dxa"/>
              <w:top w:w="0" w:type="dxa"/>
              <w:right w:w="0" w:type="dxa"/>
              <w:bottom w:w="0" w:type="dxa"/>
            </w:tcMar>
            <w:tcW w:w="2156" w:type="dxa"/>
            <w:vAlign w:val="center"/>
            <w:textDirection w:val="lrTb"/>
            <w:noWrap/>
          </w:tcPr>
          <w:p>
            <w:pPr>
              <w:pBdr/>
              <w:spacing w:after="0" w:before="0" w:line="240" w:lineRule="auto"/>
              <w:ind/>
              <w:rPr>
                <w:b w:val="0"/>
                <w:bCs w:val="0"/>
              </w:rPr>
            </w:pPr>
            <w:r>
              <w:rPr>
                <w:rFonts w:ascii="Times New Roman" w:hAnsi="Times New Roman" w:eastAsia="Times New Roman" w:cs="Times New Roman"/>
                <w:b w:val="0"/>
                <w:bCs w:val="0"/>
                <w:color w:val="000000"/>
                <w:sz w:val="24"/>
              </w:rPr>
              <w:t xml:space="preserve">                        400,0 </w:t>
            </w:r>
            <w:r>
              <w:rPr>
                <w:b w:val="0"/>
                <w:bCs w:val="0"/>
              </w:rPr>
            </w:r>
            <w:r>
              <w:rPr>
                <w:b w:val="0"/>
                <w:bCs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196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4"/>
              </w:rPr>
              <w:t xml:space="preserve">           3.100.000 </w:t>
            </w:r>
            <w:r>
              <w:rPr>
                <w:b w:val="0"/>
                <w:bCs w:val="0"/>
              </w:rPr>
            </w:r>
            <w:r>
              <w:rPr>
                <w:b w:val="0"/>
                <w:bCs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1808" w:type="dxa"/>
            <w:vAlign w:val="center"/>
            <w:textDirection w:val="lrTb"/>
            <w:noWrap w:val="false"/>
          </w:tcPr>
          <w:p>
            <w:pPr>
              <w:pBdr/>
              <w:spacing w:after="0" w:before="0" w:line="240" w:lineRule="auto"/>
              <w:ind/>
              <w:jc w:val="right"/>
              <w:rPr>
                <w:b w:val="0"/>
                <w:bCs w:val="0"/>
              </w:rPr>
            </w:pPr>
            <w:r>
              <w:rPr>
                <w:rFonts w:ascii="Times New Roman" w:hAnsi="Times New Roman" w:eastAsia="Times New Roman" w:cs="Times New Roman"/>
                <w:b w:val="0"/>
                <w:bCs w:val="0"/>
                <w:color w:val="000000"/>
                <w:sz w:val="24"/>
              </w:rPr>
              <w:t xml:space="preserve">1.240.000.000</w:t>
            </w:r>
            <w:r>
              <w:rPr>
                <w:b w:val="0"/>
                <w:bCs w:val="0"/>
              </w:rPr>
            </w:r>
            <w:r>
              <w:rPr>
                <w:b w:val="0"/>
                <w:bCs w:val="0"/>
              </w:rP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4"/>
              </w:rPr>
              <w:t xml:space="preserve">02</w:t>
            </w:r>
            <w:r>
              <w:rPr>
                <w:b w:val="0"/>
                <w:bCs w:val="0"/>
              </w:rPr>
            </w:r>
            <w:r>
              <w:rPr>
                <w:b w:val="0"/>
                <w:bCs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2884" w:type="dxa"/>
            <w:vAlign w:val="center"/>
            <w:textDirection w:val="lrTb"/>
            <w:noWrap w:val="false"/>
          </w:tcPr>
          <w:p>
            <w:pPr>
              <w:pBdr/>
              <w:spacing w:after="0" w:before="0" w:line="240" w:lineRule="auto"/>
              <w:ind/>
              <w:rPr>
                <w:b w:val="0"/>
                <w:bCs w:val="0"/>
              </w:rPr>
            </w:pPr>
            <w:r>
              <w:rPr>
                <w:rFonts w:ascii="Times New Roman" w:hAnsi="Times New Roman" w:eastAsia="Times New Roman" w:cs="Times New Roman"/>
                <w:b w:val="0"/>
                <w:bCs w:val="0"/>
                <w:color w:val="000000"/>
                <w:sz w:val="24"/>
              </w:rPr>
              <w:t xml:space="preserve">Quyền sử dụng đất cây nông nghiệp (Đất chuyên trồng lúa: 2.349m2; Đất trồng cây lâu năm: 4.786,6m2)</w:t>
            </w:r>
            <w:r>
              <w:rPr>
                <w:b w:val="0"/>
                <w:bCs w:val="0"/>
              </w:rPr>
            </w:r>
            <w:r>
              <w:rPr>
                <w:b w:val="0"/>
                <w:bCs w:val="0"/>
              </w:rPr>
            </w:r>
          </w:p>
        </w:tc>
        <w:tc>
          <w:tcPr>
            <w:tcBorders>
              <w:bottom w:val="single" w:color="000000" w:sz="5" w:space="0"/>
              <w:right w:val="single" w:color="000000" w:sz="5" w:space="0"/>
            </w:tcBorders>
            <w:tcMar>
              <w:left w:w="0" w:type="dxa"/>
              <w:top w:w="0" w:type="dxa"/>
              <w:right w:w="0" w:type="dxa"/>
              <w:bottom w:w="0" w:type="dxa"/>
            </w:tcMar>
            <w:tcW w:w="2156" w:type="dxa"/>
            <w:vAlign w:val="center"/>
            <w:textDirection w:val="lrTb"/>
            <w:noWrap/>
          </w:tcPr>
          <w:p>
            <w:pPr>
              <w:pBdr/>
              <w:spacing w:after="0" w:before="0" w:line="240" w:lineRule="auto"/>
              <w:ind/>
              <w:rPr>
                <w:b w:val="0"/>
                <w:bCs w:val="0"/>
              </w:rPr>
            </w:pPr>
            <w:r>
              <w:rPr>
                <w:rFonts w:ascii="Times New Roman" w:hAnsi="Times New Roman" w:eastAsia="Times New Roman" w:cs="Times New Roman"/>
                <w:b w:val="0"/>
                <w:bCs w:val="0"/>
                <w:color w:val="000000"/>
                <w:sz w:val="24"/>
              </w:rPr>
              <w:t xml:space="preserve">                     7.135,6 </w:t>
            </w:r>
            <w:r>
              <w:rPr>
                <w:b w:val="0"/>
                <w:bCs w:val="0"/>
              </w:rPr>
            </w:r>
            <w:r>
              <w:rPr>
                <w:b w:val="0"/>
                <w:bCs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196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4"/>
              </w:rPr>
              <w:t xml:space="preserve">              164.162 </w:t>
            </w:r>
            <w:r>
              <w:rPr>
                <w:b w:val="0"/>
                <w:bCs w:val="0"/>
              </w:rPr>
            </w:r>
            <w:r>
              <w:rPr>
                <w:b w:val="0"/>
                <w:bCs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1808" w:type="dxa"/>
            <w:vAlign w:val="center"/>
            <w:textDirection w:val="lrTb"/>
            <w:noWrap w:val="false"/>
          </w:tcPr>
          <w:p>
            <w:pPr>
              <w:pBdr/>
              <w:spacing w:after="0" w:before="0" w:line="240" w:lineRule="auto"/>
              <w:ind/>
              <w:jc w:val="right"/>
              <w:rPr>
                <w:b w:val="0"/>
                <w:bCs w:val="0"/>
              </w:rPr>
            </w:pPr>
            <w:r>
              <w:rPr>
                <w:rFonts w:ascii="Times New Roman" w:hAnsi="Times New Roman" w:eastAsia="Times New Roman" w:cs="Times New Roman"/>
                <w:b w:val="0"/>
                <w:bCs w:val="0"/>
                <w:color w:val="000000"/>
                <w:sz w:val="24"/>
              </w:rPr>
              <w:t xml:space="preserve">1.171.394.367</w:t>
            </w:r>
            <w:r>
              <w:rPr>
                <w:b w:val="0"/>
                <w:bCs w:val="0"/>
              </w:rPr>
            </w:r>
            <w:r>
              <w:rPr>
                <w:b w:val="0"/>
                <w:bCs w:val="0"/>
              </w:rPr>
            </w:r>
          </w:p>
        </w:tc>
      </w:tr>
      <w:tr>
        <w:trPr>
          <w:trHeight w:val="0"/>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540"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TỔNG CỘNG</w:t>
            </w:r>
            <w:r>
              <w:rPr>
                <w:b/>
                <w:bCs/>
              </w:rPr>
            </w:r>
            <w:r>
              <w:rPr>
                <w:b/>
                <w:bCs/>
              </w:rPr>
            </w:r>
          </w:p>
        </w:tc>
        <w:tc>
          <w:tcPr>
            <w:tcBorders>
              <w:bottom w:val="single" w:color="000000" w:sz="5" w:space="0"/>
              <w:right w:val="single" w:color="000000" w:sz="5" w:space="0"/>
            </w:tcBorders>
            <w:tcMar>
              <w:left w:w="0" w:type="dxa"/>
              <w:top w:w="0" w:type="dxa"/>
              <w:right w:w="0" w:type="dxa"/>
              <w:bottom w:w="0" w:type="dxa"/>
            </w:tcMar>
            <w:tcW w:w="1808"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4"/>
              </w:rPr>
              <w:t xml:space="preserve">2.411.394.367</w:t>
            </w:r>
            <w:r>
              <w:rPr>
                <w:b/>
                <w:bCs/>
              </w:rPr>
            </w:r>
            <w:r>
              <w:rPr>
                <w:b/>
                <w:bCs/>
              </w:rPr>
            </w:r>
          </w:p>
        </w:tc>
      </w:tr>
      <w:tr>
        <w:trPr>
          <w:trHeight w:val="0"/>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540"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LÀM TRÒN</w:t>
            </w:r>
            <w:r>
              <w:rPr>
                <w:b/>
                <w:bCs/>
              </w:rPr>
            </w:r>
            <w:r>
              <w:rPr>
                <w:b/>
                <w:bCs/>
              </w:rPr>
            </w:r>
          </w:p>
        </w:tc>
        <w:tc>
          <w:tcPr>
            <w:tcBorders>
              <w:bottom w:val="single" w:color="000000" w:sz="5" w:space="0"/>
              <w:right w:val="single" w:color="000000" w:sz="5" w:space="0"/>
            </w:tcBorders>
            <w:tcMar>
              <w:left w:w="0" w:type="dxa"/>
              <w:top w:w="0" w:type="dxa"/>
              <w:right w:w="0" w:type="dxa"/>
              <w:bottom w:w="0" w:type="dxa"/>
            </w:tcMar>
            <w:tcW w:w="1808"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4"/>
              </w:rPr>
              <w:t xml:space="preserve">2.411.000.000</w:t>
            </w:r>
            <w:r>
              <w:rPr>
                <w:b/>
                <w:bCs/>
              </w:rPr>
            </w:r>
            <w:r>
              <w:rPr>
                <w:b/>
                <w:bCs/>
              </w:rPr>
            </w:r>
          </w:p>
        </w:tc>
      </w:tr>
      <w:tr>
        <w:trPr>
          <w:trHeight w:val="0"/>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348"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i/>
                <w:color w:val="000000"/>
                <w:sz w:val="24"/>
              </w:rPr>
              <w:t xml:space="preserve">(Bằng chữ: Hai tỷ bốn trăm mười một triệu đồng chẵn ./.)</w:t>
            </w:r>
            <w:r>
              <w:rPr>
                <w:b/>
                <w:bCs/>
              </w:rPr>
            </w:r>
            <w:r>
              <w:rPr>
                <w:b/>
                <w:bCs/>
              </w:rPr>
            </w:r>
          </w:p>
        </w:tc>
      </w:tr>
    </w:tbl>
    <w:p>
      <w:pPr>
        <w:pBdr>
          <w:top w:val="none" w:color="000000" w:sz="4" w:space="0"/>
          <w:left w:val="none" w:color="000000" w:sz="4" w:space="0"/>
          <w:bottom w:val="none" w:color="000000" w:sz="4" w:space="0"/>
          <w:right w:val="none" w:color="000000" w:sz="4" w:space="0"/>
        </w:pBdr>
        <w:spacing w:before="120" w:line="360" w:lineRule="auto"/>
        <w:ind w:right="0" w:firstLine="0" w:left="0"/>
        <w:jc w:val="both"/>
        <w:rPr/>
      </w:pPr>
      <w:r>
        <w:rPr>
          <w:rFonts w:ascii="Times New Roman" w:hAnsi="Times New Roman" w:eastAsia="Times New Roman" w:cs="Times New Roman"/>
          <w:i/>
          <w:color w:val="000000"/>
          <w:sz w:val="24"/>
          <w:u w:val="single"/>
        </w:rPr>
        <w:t xml:space="preserve"> Ghi chú</w:t>
      </w:r>
      <w:r>
        <w:rPr>
          <w:rFonts w:ascii="Times New Roman" w:hAnsi="Times New Roman" w:eastAsia="Times New Roman" w:cs="Times New Roman"/>
          <w:i/>
          <w:color w:val="000000"/>
          <w:sz w:val="24"/>
        </w:rPr>
        <w:t xml:space="preserve">: Kết quả thẩm định định giá theo phương án xác định giá trị trong điều kiện hợp thửa các thửa đất liền kề và không có ranh giới giữa các thửa đất, đề nghị ngân hàng nhận thế chấp và giải chấp đồng thời các thửa đất.</w:t>
      </w:r>
      <w:r>
        <w:rPr>
          <w:sz w:val="24"/>
        </w:rPr>
      </w:r>
      <w:r/>
    </w:p>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rPr>
      </w:r>
      <w:r>
        <w:rPr>
          <w:b/>
          <w:bCs/>
          <w:highlight w:val="none"/>
          <w:lang w:val="vi-VN"/>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7"/>
              <w:pBdr/>
              <w:spacing w:after="60"/>
              <w:ind/>
              <w:rPr>
                <w:color w:val="000000" w:themeColor="text1"/>
                <w:sz w:val="24"/>
                <w:szCs w:val="24"/>
              </w:rPr>
            </w:pPr>
            <w:r>
              <w:rPr>
                <w:rStyle w:val="1036"/>
                <w:rFonts w:ascii="Times New Roman" w:hAnsi="Times New Roman"/>
                <w:color w:val="000000" w:themeColor="text1"/>
                <w:lang w:val="pt-BR"/>
              </w:rPr>
              <w:t xml:space="preserve">Số: </w:t>
            </w:r>
            <w:r>
              <w:rPr>
                <w:rStyle w:val="1036"/>
                <w:rFonts w:ascii="Times New Roman" w:hAnsi="Times New Roman"/>
                <w:color w:val="000000" w:themeColor="text1"/>
                <w:lang w:val="pt-BR"/>
              </w:rPr>
              <w:t xml:space="preserve">275/2026/0570/VFI-CT.39.A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7"/>
              <w:pBdr/>
              <w:spacing w:after="60"/>
              <w:ind w:right="-56"/>
              <w:jc w:val="right"/>
              <w:rPr>
                <w:color w:val="000000" w:themeColor="text1"/>
                <w:sz w:val="24"/>
                <w:szCs w:val="24"/>
                <w:lang w:val="vi-VN"/>
              </w:rPr>
            </w:pPr>
            <w:r>
              <w:rPr>
                <w:rStyle w:val="1036"/>
                <w:rFonts w:ascii="Times New Roman" w:hAnsi="Times New Roman"/>
                <w:i/>
                <w:color w:val="auto"/>
              </w:rPr>
              <w:t xml:space="preserve">TP. Hà Nội</w:t>
            </w:r>
            <w:r>
              <w:rPr>
                <w:rStyle w:val="1036"/>
                <w:rFonts w:ascii="Times New Roman" w:hAnsi="Times New Roman"/>
                <w:i/>
                <w:color w:val="auto"/>
                <w:lang w:val="vi-VN"/>
              </w:rPr>
              <w:t xml:space="preserve">, </w:t>
            </w:r>
            <w:r>
              <w:rPr>
                <w:rStyle w:val="1036"/>
                <w:rFonts w:ascii="Times New Roman" w:hAnsi="Times New Roman"/>
                <w:i/>
                <w:color w:val="000000" w:themeColor="text1"/>
                <w:lang w:val="vi-VN"/>
              </w:rPr>
              <w:t xml:space="preserve">ngày 14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7"/>
              <w:pBdr/>
              <w:spacing w:after="60"/>
              <w:ind/>
              <w:rPr>
                <w:rStyle w:val="1036"/>
                <w:rFonts w:ascii="Times New Roman" w:hAnsi="Times New Roman"/>
                <w:color w:val="000000" w:themeColor="text1"/>
                <w:lang w:val="pt-BR"/>
              </w:rPr>
            </w:pPr>
            <w:r>
              <w:rPr>
                <w:rStyle w:val="1036"/>
                <w:rFonts w:ascii="Times New Roman" w:hAnsi="Times New Roman"/>
                <w:color w:val="000000" w:themeColor="text1"/>
                <w:lang w:val="pt-BR"/>
              </w:rPr>
            </w:r>
            <w:r>
              <w:rPr>
                <w:rStyle w:val="1036"/>
                <w:rFonts w:ascii="Times New Roman" w:hAnsi="Times New Roman"/>
                <w:color w:val="000000" w:themeColor="text1"/>
                <w:lang w:val="pt-BR"/>
              </w:rPr>
            </w:r>
            <w:r>
              <w:rPr>
                <w:rStyle w:val="1036"/>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7"/>
              <w:pBdr/>
              <w:spacing w:after="60"/>
              <w:ind w:right="-56"/>
              <w:rPr>
                <w:rStyle w:val="1036"/>
                <w:rFonts w:ascii="Times New Roman" w:hAnsi="Times New Roman"/>
                <w:i/>
                <w:color w:val="auto"/>
              </w:rPr>
            </w:pPr>
            <w:r>
              <w:rPr>
                <w:rFonts w:ascii="Times New Roman" w:hAnsi="Times New Roman"/>
                <w:i/>
                <w:color w:val="auto"/>
              </w:rPr>
            </w:r>
            <w:r>
              <w:rPr>
                <w:rStyle w:val="1036"/>
                <w:rFonts w:ascii="Times New Roman" w:hAnsi="Times New Roman"/>
                <w:i/>
                <w:color w:val="auto"/>
              </w:rPr>
            </w:r>
            <w:r>
              <w:rPr>
                <w:rStyle w:val="1036"/>
                <w:rFonts w:ascii="Times New Roman" w:hAnsi="Times New Roman"/>
                <w:i/>
                <w:color w:val="auto"/>
              </w:rPr>
            </w:r>
          </w:p>
        </w:tc>
      </w:tr>
    </w:tbl>
    <w:p>
      <w:pPr>
        <w:pStyle w:val="1037"/>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7"/>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275/2026/0570/VFI-CT.39.A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14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7"/>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8"/>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ayout w:type="fixed"/>
        <w:tblLook w:val="04A0" w:firstRow="1" w:lastRow="0" w:firstColumn="1" w:lastColumn="0" w:noHBand="0" w:noVBand="1"/>
      </w:tblPr>
      <w:tblGrid>
        <w:gridCol w:w="2518"/>
        <w:gridCol w:w="216"/>
        <w:gridCol w:w="7013"/>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16" w:type="dxa"/>
            <w:vAlign w:val="center"/>
            <w:textDirection w:val="lrTb"/>
            <w:noWrap w:val="false"/>
          </w:tcPr>
          <w:p>
            <w:pPr>
              <w:pStyle w:val="1038"/>
              <w:pBdr/>
              <w:spacing w:after="60" w:before="60" w:line="276" w:lineRule="auto"/>
              <w:ind w:left="0"/>
              <w:rPr>
                <w:bCs/>
                <w:lang w:val="pt-BR"/>
              </w:rPr>
            </w:pPr>
            <w:r>
              <w:rPr>
                <w:bCs/>
                <w:lang w:val="pt-BR"/>
              </w:rPr>
              <w:t xml:space="preserve">:</w:t>
            </w:r>
            <w:r>
              <w:rPr>
                <w:bCs/>
                <w:lang w:val="pt-BR"/>
              </w:rPr>
            </w:r>
            <w:r>
              <w:rPr>
                <w:bCs/>
                <w:lang w:val="pt-BR"/>
              </w:rPr>
            </w:r>
          </w:p>
        </w:tc>
        <w:tc>
          <w:tcPr>
            <w:tcBorders/>
            <w:tcW w:w="7013"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VĂN THÁI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16" w:type="dxa"/>
            <w:vAlign w:val="center"/>
            <w:textDirection w:val="lrTb"/>
            <w:noWrap w:val="false"/>
          </w:tcPr>
          <w:p>
            <w:pPr>
              <w:pStyle w:val="1038"/>
              <w:pBdr/>
              <w:spacing w:after="60" w:before="60" w:line="276" w:lineRule="auto"/>
              <w:ind w:left="0"/>
              <w:rPr>
                <w:bCs/>
                <w:lang w:val="pt-BR"/>
              </w:rPr>
            </w:pPr>
            <w:r>
              <w:rPr>
                <w:bCs/>
                <w:lang w:val="pt-BR"/>
              </w:rPr>
              <w:t xml:space="preserve">:</w:t>
            </w:r>
            <w:r>
              <w:rPr>
                <w:bCs/>
                <w:lang w:val="pt-BR"/>
              </w:rPr>
            </w:r>
            <w:r>
              <w:rPr>
                <w:bCs/>
                <w:lang w:val="pt-BR"/>
              </w:rPr>
            </w:r>
          </w:p>
        </w:tc>
        <w:tc>
          <w:tcPr>
            <w:tcBorders/>
            <w:tcW w:w="7013" w:type="dxa"/>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033081006482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16" w:type="dxa"/>
            <w:vAlign w:val="center"/>
            <w:textDirection w:val="lrTb"/>
            <w:noWrap w:val="false"/>
          </w:tcPr>
          <w:p>
            <w:pPr>
              <w:pStyle w:val="1038"/>
              <w:pBdr/>
              <w:spacing w:after="60" w:before="60" w:line="276" w:lineRule="auto"/>
              <w:ind w:left="0"/>
              <w:rPr>
                <w:bCs/>
                <w:lang w:val="pt-BR"/>
              </w:rPr>
            </w:pPr>
            <w:r>
              <w:rPr>
                <w:bCs/>
                <w:lang w:val="pt-BR"/>
              </w:rPr>
              <w:t xml:space="preserve">:</w:t>
            </w:r>
            <w:r>
              <w:rPr>
                <w:bCs/>
                <w:lang w:val="pt-BR"/>
              </w:rPr>
            </w:r>
            <w:r>
              <w:rPr>
                <w:bCs/>
                <w:lang w:val="pt-BR"/>
              </w:rPr>
            </w:r>
          </w:p>
        </w:tc>
        <w:tc>
          <w:tcPr>
            <w:tcBorders/>
            <w:tcW w:w="7013" w:type="dxa"/>
            <w:vAlign w:val="center"/>
            <w:textDirection w:val="lrTb"/>
            <w:noWrap w:val="false"/>
          </w:tcPr>
          <w:p>
            <w:pPr>
              <w:pBdr/>
              <w:spacing w:after="120" w:before="120" w:line="360" w:lineRule="auto"/>
              <w:ind/>
              <w:jc w:val="both"/>
              <w:rPr>
                <w:b w:val="0"/>
                <w:bCs w:val="0"/>
              </w:rPr>
            </w:pPr>
            <w:r>
              <w:rPr>
                <w:b w:val="0"/>
                <w:bCs w:val="0"/>
              </w:rPr>
              <w:t xml:space="preserve">Quyền sử dụng đất tại các thửa đất có địa chỉ xã Trạm Thản, tỉnh Phú Thọ, bao gồm:</w:t>
            </w:r>
            <w:r>
              <w:rPr>
                <w:b w:val="0"/>
                <w:bCs w:val="0"/>
              </w:rPr>
            </w:r>
            <w:r>
              <w:rPr>
                <w:b w:val="0"/>
                <w:bCs w:val="0"/>
              </w:rPr>
            </w:r>
          </w:p>
          <w:p>
            <w:pPr>
              <w:pBdr/>
              <w:spacing w:after="120" w:before="120" w:line="360" w:lineRule="auto"/>
              <w:ind/>
              <w:jc w:val="both"/>
              <w:rPr>
                <w:b w:val="0"/>
                <w:bCs w:val="0"/>
              </w:rPr>
            </w:pPr>
            <w:r>
              <w:rPr>
                <w:b w:val="0"/>
                <w:bCs w:val="0"/>
              </w:rPr>
              <w:t xml:space="preserve">+</w:t>
            </w:r>
            <w:r>
              <w:rPr>
                <w:b w:val="0"/>
                <w:bCs w:val="0"/>
              </w:rPr>
              <w:t xml:space="preserve"> Thửa đất số: 59, tờ bản đồ số  48 (xã Trạm Thản cũ) theo Giấy chứng nhận quyền sử dụng đất quyền sở hữu tài sản gắn liền với đất số: AA 07694667, số vào sổ cấp GCN: CN 7949 do Chi nhánh văn phòng đăng kí đất đai Phù Ninh cấp ngày 01/4/2026; Chủ sử dụng đấ</w:t>
            </w:r>
            <w:r>
              <w:rPr>
                <w:b w:val="0"/>
                <w:bCs w:val="0"/>
              </w:rPr>
              <w:t xml:space="preserve">t là ông Nguyễn Văn Thái;</w:t>
            </w:r>
            <w:r>
              <w:rPr>
                <w:b w:val="0"/>
                <w:bCs w:val="0"/>
              </w:rPr>
            </w:r>
            <w:r>
              <w:rPr>
                <w:b w:val="0"/>
                <w:bCs w:val="0"/>
              </w:rPr>
            </w:r>
          </w:p>
          <w:p>
            <w:pPr>
              <w:pBdr/>
              <w:spacing w:after="120" w:before="120" w:line="360" w:lineRule="auto"/>
              <w:ind/>
              <w:jc w:val="both"/>
              <w:rPr>
                <w:b w:val="0"/>
                <w:bCs w:val="0"/>
              </w:rPr>
            </w:pPr>
            <w:r>
              <w:rPr>
                <w:b w:val="0"/>
                <w:bCs w:val="0"/>
              </w:rPr>
              <w:t xml:space="preserve">+</w:t>
            </w:r>
            <w:r>
              <w:rPr>
                <w:b w:val="0"/>
                <w:bCs w:val="0"/>
              </w:rPr>
              <w:t xml:space="preserve"> Thửa đất số: 32, tờ bản đồ số  48 (xã Trạm Thản cũ) theo Giấy chứng nhận quyền sử dụng đất quyền sở hữu tài sản gắn liền với đất số: AA 07694666, số vào sổ cấp GCN: CN 7948 do Chi nhánh văn phòng đăng ký đất đai Phù Ninh cấp ngày 01/04/2026; Chủ sử dụng đ</w:t>
            </w:r>
            <w:r>
              <w:rPr>
                <w:b w:val="0"/>
                <w:bCs w:val="0"/>
              </w:rPr>
              <w:t xml:space="preserve">ất là Ông Nguyễn Văn Thái;</w:t>
            </w:r>
            <w:r>
              <w:rPr>
                <w:b w:val="0"/>
                <w:bCs w:val="0"/>
              </w:rPr>
            </w:r>
            <w:r>
              <w:rPr>
                <w:b w:val="0"/>
                <w:bCs w:val="0"/>
              </w:rPr>
            </w:r>
          </w:p>
          <w:p>
            <w:pPr>
              <w:pBdr/>
              <w:spacing w:after="120" w:before="120" w:line="360" w:lineRule="auto"/>
              <w:ind/>
              <w:jc w:val="both"/>
              <w:rPr>
                <w:b w:val="0"/>
                <w:bCs w:val="0"/>
                <w:i/>
              </w:rPr>
            </w:pPr>
            <w:r>
              <w:rPr>
                <w:b w:val="0"/>
                <w:bCs w:val="0"/>
              </w:rPr>
              <w:t xml:space="preserve">+</w:t>
            </w:r>
            <w:r>
              <w:rPr>
                <w:b w:val="0"/>
                <w:bCs w:val="0"/>
              </w:rPr>
              <w:t xml:space="preserve"> Thửa đất số: 352, tờ bản đồ số  36 (xã Trạm Thản cũ); thửa đất số 34, tờ bản đồ số: 48 (xã Trạm Thản cũ); thửa đất số 35, tờ bản đồ số: 48 (xã Trạm Thản cũ); thửa đất số 36, tờ bản đồ số: 48 (xã Trạm Thản cũ); thửa đất số 37, tờ bản đồ số: 48 (xã Trạm Thả</w:t>
            </w:r>
            <w:r>
              <w:rPr>
                <w:b w:val="0"/>
                <w:bCs w:val="0"/>
              </w:rPr>
              <w:t xml:space="preserve">n</w:t>
            </w:r>
            <w:r>
              <w:rPr>
                <w:b w:val="0"/>
                <w:bCs w:val="0"/>
              </w:rPr>
              <w:t xml:space="preserve"> cũ); thửa đất số 42, tờ bản đồ số: 48 (xã Trạm Thản cũ); thửa đất số 43, tờ bản đồ số: 48 (xã Trạm Thản cũ); thửa đất số 44, tờ bản đồ số: 48 (xã Trạm Thản cũ); thửa đất số 45, tờ bản đồ số: 48 (xã Trạm Thản cũ); thửa đất số 46, tờ bản đồ số: 48 (xã Trạm </w:t>
            </w:r>
            <w:r>
              <w:rPr>
                <w:b w:val="0"/>
                <w:bCs w:val="0"/>
              </w:rPr>
              <w:t xml:space="preserve">T</w:t>
            </w:r>
            <w:r>
              <w:rPr>
                <w:b w:val="0"/>
                <w:bCs w:val="0"/>
              </w:rPr>
              <w:t xml:space="preserve">hản cũ); thửa đất số 52, tờ bản đồ số: 48 (xã Trạm Thản cũ); thửa đất số 106-4, tờ bản đồ số: 49 (xã Trạm Thản cũ)  theo Giấy chứng nhận quyền sử dụng đất quyền sở hữu tài sản gắn liền với đất số: AA 07694674, số vào sổ cấp GCN: CN 7956 do Chi nhánh văn ph</w:t>
            </w:r>
            <w:r>
              <w:rPr>
                <w:b w:val="0"/>
                <w:bCs w:val="0"/>
              </w:rPr>
              <w:t xml:space="preserve">òng đăng ký đất đai Phù Ninh cấp ngày 01/04/2026; Chủ sử dụng đất là Ông Nguyễn Văn Thái.</w:t>
            </w:r>
            <w:r>
              <w:rPr>
                <w:b w:val="0"/>
                <w:bCs w:val="0"/>
                <w:i/>
              </w:rPr>
            </w:r>
            <w:r>
              <w:rPr>
                <w:b w:val="0"/>
                <w:bCs w:val="0"/>
                <w:i/>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16" w:type="dxa"/>
            <w:vAlign w:val="center"/>
            <w:textDirection w:val="lrTb"/>
            <w:noWrap w:val="false"/>
          </w:tcPr>
          <w:p>
            <w:pPr>
              <w:pStyle w:val="1038"/>
              <w:pBdr/>
              <w:spacing w:after="60" w:before="60" w:line="276" w:lineRule="auto"/>
              <w:ind w:left="0"/>
              <w:rPr>
                <w:bCs/>
                <w:lang w:val="pt-BR"/>
              </w:rPr>
            </w:pPr>
            <w:r>
              <w:rPr>
                <w:bCs/>
                <w:lang w:val="pt-BR"/>
              </w:rPr>
              <w:t xml:space="preserve">:</w:t>
            </w:r>
            <w:r>
              <w:rPr>
                <w:bCs/>
                <w:lang w:val="pt-BR"/>
              </w:rPr>
            </w:r>
            <w:r>
              <w:rPr>
                <w:bCs/>
                <w:lang w:val="pt-BR"/>
              </w:rPr>
            </w:r>
          </w:p>
        </w:tc>
        <w:tc>
          <w:tcPr>
            <w:tcBorders/>
            <w:tcW w:w="7013"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16" w:type="dxa"/>
            <w:vAlign w:val="center"/>
            <w:textDirection w:val="lrTb"/>
            <w:noWrap w:val="false"/>
          </w:tcPr>
          <w:p>
            <w:pPr>
              <w:pStyle w:val="1038"/>
              <w:pBdr/>
              <w:spacing w:after="60" w:before="60" w:line="276" w:lineRule="auto"/>
              <w:ind w:left="0"/>
              <w:rPr>
                <w:bCs/>
                <w:lang w:val="pt-BR"/>
              </w:rPr>
            </w:pPr>
            <w:r>
              <w:rPr>
                <w:bCs/>
                <w:lang w:val="pt-BR"/>
              </w:rPr>
              <w:t xml:space="preserve">:</w:t>
            </w:r>
            <w:r>
              <w:rPr>
                <w:bCs/>
                <w:lang w:val="pt-BR"/>
              </w:rPr>
            </w:r>
            <w:r>
              <w:rPr>
                <w:bCs/>
                <w:lang w:val="pt-BR"/>
              </w:rPr>
            </w:r>
          </w:p>
        </w:tc>
        <w:tc>
          <w:tcPr>
            <w:tcBorders/>
            <w:tcW w:w="7013"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16" w:type="dxa"/>
            <w:vAlign w:val="center"/>
            <w:textDirection w:val="lrTb"/>
            <w:noWrap w:val="false"/>
          </w:tcPr>
          <w:p>
            <w:pPr>
              <w:pStyle w:val="1038"/>
              <w:pBdr/>
              <w:spacing w:after="60" w:before="60" w:line="276" w:lineRule="auto"/>
              <w:ind w:left="0"/>
              <w:rPr>
                <w:bCs/>
                <w:lang w:val="pt-BR"/>
              </w:rPr>
            </w:pPr>
            <w:r>
              <w:rPr>
                <w:bCs/>
                <w:lang w:val="pt-BR"/>
              </w:rPr>
              <w:t xml:space="preserve">:</w:t>
            </w:r>
            <w:r>
              <w:rPr>
                <w:bCs/>
                <w:lang w:val="pt-BR"/>
              </w:rPr>
            </w:r>
            <w:r>
              <w:rPr>
                <w:bCs/>
                <w:lang w:val="pt-BR"/>
              </w:rPr>
            </w:r>
          </w:p>
        </w:tc>
        <w:tc>
          <w:tcPr>
            <w:tcBorders/>
            <w:tcW w:w="7013"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16" w:type="dxa"/>
            <w:vAlign w:val="center"/>
            <w:textDirection w:val="lrTb"/>
            <w:noWrap w:val="false"/>
          </w:tcPr>
          <w:p>
            <w:pPr>
              <w:pStyle w:val="1038"/>
              <w:pBdr/>
              <w:spacing w:after="60" w:before="60" w:line="276" w:lineRule="auto"/>
              <w:ind w:left="0"/>
              <w:rPr>
                <w:bCs/>
                <w:lang w:val="pt-BR"/>
              </w:rPr>
            </w:pPr>
            <w:r>
              <w:rPr>
                <w:bCs/>
                <w:lang w:val="pt-BR"/>
              </w:rPr>
              <w:t xml:space="preserve">:</w:t>
            </w:r>
            <w:r>
              <w:rPr>
                <w:bCs/>
                <w:lang w:val="pt-BR"/>
              </w:rPr>
            </w:r>
            <w:r>
              <w:rPr>
                <w:bCs/>
                <w:lang w:val="pt-BR"/>
              </w:rPr>
            </w:r>
          </w:p>
        </w:tc>
        <w:tc>
          <w:tcPr>
            <w:tcBorders/>
            <w:tcW w:w="7013"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Trạm Thản, Tỉnh Phú Thọ</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16" w:type="dxa"/>
            <w:vAlign w:val="center"/>
            <w:textDirection w:val="lrTb"/>
            <w:noWrap w:val="false"/>
          </w:tcPr>
          <w:p>
            <w:pPr>
              <w:pStyle w:val="1038"/>
              <w:pBdr/>
              <w:spacing w:after="60" w:before="60" w:line="276" w:lineRule="auto"/>
              <w:ind w:left="0"/>
              <w:rPr>
                <w:bCs/>
                <w:lang w:val="pt-BR"/>
              </w:rPr>
            </w:pPr>
            <w:r>
              <w:rPr>
                <w:bCs/>
                <w:lang w:val="pt-BR"/>
              </w:rPr>
              <w:t xml:space="preserve">:</w:t>
            </w:r>
            <w:r>
              <w:rPr>
                <w:bCs/>
                <w:lang w:val="pt-BR"/>
              </w:rPr>
            </w:r>
            <w:r>
              <w:rPr>
                <w:bCs/>
                <w:lang w:val="pt-BR"/>
              </w:rPr>
            </w:r>
          </w:p>
        </w:tc>
        <w:tc>
          <w:tcPr>
            <w:tcBorders/>
            <w:tcW w:w="70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jc w:val="both"/>
              <w:rPr>
                <w:color w:val="000000" w:themeColor="text1"/>
                <w:lang w:val="pt-BR"/>
                <w14:ligatures w14:val="none"/>
              </w:rPr>
            </w:pPr>
            <w:r>
              <w:rPr>
                <w:color w:val="000000" w:themeColor="text1"/>
                <w:lang w:val="pt-BR"/>
              </w:rPr>
              <w:t xml:space="preserve">(</w:t>
            </w:r>
            <w:r>
              <w:rPr>
                <w:color w:val="000000" w:themeColor="text1"/>
                <w:lang w:val="pt-BR"/>
              </w:rPr>
              <w:t xml:space="preserve">21.490769, 105.223446</w:t>
            </w:r>
            <w:r>
              <w:rPr>
                <w:color w:val="000000" w:themeColor="text1"/>
                <w:lang w:val="pt-BR"/>
              </w:rPr>
              <w:t xml:space="preserve">)</w:t>
            </w:r>
            <w:r>
              <w:rPr>
                <w:color w:val="000000" w:themeColor="text1"/>
                <w:lang w:val="pt-BR"/>
              </w:rPr>
            </w:r>
            <w:r>
              <w:rPr>
                <w:color w:val="000000" w:themeColor="text1"/>
                <w:lang w:val="pt-BR"/>
                <w14:ligatures w14:val="none"/>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16" w:type="dxa"/>
            <w:vAlign w:val="center"/>
            <w:textDirection w:val="lrTb"/>
            <w:noWrap w:val="false"/>
          </w:tcPr>
          <w:p>
            <w:pPr>
              <w:pStyle w:val="1038"/>
              <w:pBdr/>
              <w:spacing w:after="60" w:before="60" w:line="276" w:lineRule="auto"/>
              <w:ind w:left="0"/>
              <w:rPr>
                <w:bCs/>
                <w:lang w:val="pt-BR"/>
              </w:rPr>
            </w:pPr>
            <w:r>
              <w:rPr>
                <w:bCs/>
                <w:lang w:val="pt-BR"/>
              </w:rPr>
              <w:t xml:space="preserve">:</w:t>
            </w:r>
            <w:r>
              <w:rPr>
                <w:bCs/>
                <w:lang w:val="pt-BR"/>
              </w:rPr>
            </w:r>
            <w:r>
              <w:rPr>
                <w:bCs/>
                <w:lang w:val="pt-BR"/>
              </w:rPr>
            </w:r>
          </w:p>
        </w:tc>
        <w:tc>
          <w:tcPr>
            <w:tcBorders/>
            <w:tcW w:w="7013"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8"/>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8"/>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8"/>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8"/>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8"/>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8"/>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8"/>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8"/>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8"/>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8"/>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8"/>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8"/>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8"/>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8"/>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tài sản gắn liền với đất số: AA 07694667, số vào sổ cấp GCN: CN 7949 do Chi nhánh văn phòng đăng kí đất đai Phù Ninh cấp ngày 01/4/2026; Chủ sử dụng đất là ông Nguyễn Văn Thái</w:t>
      </w:r>
      <w:r>
        <w:rPr>
          <w:bCs/>
          <w:color w:val="000000" w:themeColor="text1"/>
          <w:lang w:val="pt-BR"/>
        </w:rPr>
        <w:t xml:space="preserve">.</w:t>
      </w:r>
      <w:r>
        <w:rPr>
          <w:i/>
          <w:iCs/>
          <w:lang w:val="pt-BR"/>
        </w:rPr>
      </w:r>
      <w:r>
        <w:rPr>
          <w:i/>
          <w:iCs/>
          <w:lang w:val="pt-BR"/>
        </w:rPr>
      </w:r>
    </w:p>
    <w:p>
      <w:pPr>
        <w:pStyle w:val="1038"/>
        <w:numPr>
          <w:ilvl w:val="0"/>
          <w:numId w:val="2"/>
        </w:numPr>
        <w:pBdr/>
        <w:tabs>
          <w:tab w:val="left" w:leader="none" w:pos="993"/>
        </w:tabs>
        <w:spacing w:after="120" w:before="120" w:line="276" w:lineRule="auto"/>
        <w:ind/>
        <w:jc w:val="both"/>
        <w:rPr>
          <w:bCs/>
          <w:i/>
          <w:lang w:val="pt-BR"/>
        </w:rPr>
      </w:pPr>
      <w:r>
        <w:rPr>
          <w:bCs/>
          <w:color w:val="000000" w:themeColor="text1"/>
          <w:highlight w:val="none"/>
          <w:lang w:val="pt-BR" w:bidi="pt-BR"/>
        </w:rPr>
      </w:r>
      <w:r>
        <w:rPr>
          <w:bCs/>
          <w:color w:val="000000" w:themeColor="text1"/>
          <w:highlight w:val="none"/>
          <w:lang w:val="pt-BR" w:bidi="pt-BR"/>
        </w:rPr>
        <w:t xml:space="preserve">Giấy chứng nhận quyền sử dụng đất quyền sở hữu tài sản gắn liền với đất số: AA 07694666, số vào sổ cấp GCN: CN 7948 do Chi nhánh văn phòng đăng ký đất đai Phù Ninh cấp ngày 01/04/2026; Chủ sử dụng đất là Ông Nguyễn Văn Thái</w:t>
      </w:r>
      <w:r>
        <w:rPr>
          <w:bCs/>
          <w:i/>
          <w:lang w:val="pt-BR"/>
        </w:rPr>
      </w:r>
      <w:r>
        <w:rPr>
          <w:bCs/>
          <w:i/>
          <w:lang w:val="pt-BR"/>
        </w:rPr>
      </w:r>
    </w:p>
    <w:p>
      <w:pPr>
        <w:pStyle w:val="1038"/>
        <w:numPr>
          <w:ilvl w:val="0"/>
          <w:numId w:val="2"/>
        </w:numPr>
        <w:pBdr/>
        <w:tabs>
          <w:tab w:val="left" w:leader="none" w:pos="993"/>
        </w:tabs>
        <w:spacing w:after="120" w:before="120" w:line="276" w:lineRule="auto"/>
        <w:ind/>
        <w:jc w:val="both"/>
        <w:rPr>
          <w:bCs/>
          <w:i/>
          <w:lang w:val="pt-BR"/>
        </w:rPr>
      </w:pPr>
      <w:r>
        <w:rPr>
          <w:bCs/>
          <w:color w:val="000000" w:themeColor="text1"/>
          <w:highlight w:val="none"/>
          <w:lang w:val="pt-BR" w:bidi="pt-BR"/>
        </w:rPr>
      </w:r>
      <w:r>
        <w:rPr>
          <w:bCs/>
          <w:color w:val="000000" w:themeColor="text1"/>
          <w:highlight w:val="none"/>
          <w:lang w:val="pt-BR" w:bidi="pt-BR"/>
        </w:rPr>
        <w:t xml:space="preserve">Giấy chứng nhận quyền sử dụng đất quyền sở hữu tài sản gắn liền với đất số: AA 07694674, số vào sổ cấp GCN: CN 7956 do Chi nhánh văn phòng đăng ký đất đai Phù Ninh cấp ngày 01/04/2026; Chủ sử dụng đất là Ông Nguyễn Văn Thái</w:t>
      </w:r>
      <w:r>
        <w:rPr>
          <w:bCs/>
          <w:color w:val="000000" w:themeColor="text1"/>
          <w:highlight w:val="none"/>
          <w:lang w:val="pt-BR" w:bidi="pt-BR"/>
        </w:rPr>
      </w:r>
      <w:r>
        <w:rPr>
          <w:bCs/>
          <w:i/>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8"/>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w:t>
      </w:r>
      <w:r>
        <w:rPr>
          <w:color w:val="000000" w:themeColor="text1"/>
          <w:lang w:val="pt-BR"/>
        </w:rPr>
        <w:t xml:space="preserve">75/2026/0570/VFI-HĐTĐ.39.A ngày 10/02/2026 giữa </w:t>
      </w:r>
      <w:r>
        <w:rPr>
          <w:color w:val="000000" w:themeColor="text1"/>
          <w:lang w:val="pt-BR"/>
        </w:rPr>
        <w:t xml:space="preserve">CÔNG TY CỔ PHẦN DONEXGROUP</w:t>
      </w:r>
      <w:r>
        <w:rPr>
          <w:color w:val="000000" w:themeColor="text1"/>
          <w:lang w:val="pt-BR"/>
        </w:rPr>
        <w:t xml:space="preserve"> vớ</w:t>
      </w:r>
      <w:r>
        <w:rPr>
          <w:color w:val="000000" w:themeColor="text1"/>
          <w:lang w:val="pt-BR"/>
        </w:rPr>
        <w:t xml:space="preserve">i Công ty Cổ phần Thẩm định và Đầu tư Tài chính Hoa Sen.</w:t>
      </w:r>
      <w:r>
        <w:rPr>
          <w:b/>
          <w:lang w:val="pt-BR"/>
        </w:rPr>
      </w:r>
      <w:r>
        <w:rPr>
          <w:b/>
          <w:lang w:val="pt-BR"/>
        </w:rPr>
      </w:r>
    </w:p>
    <w:p>
      <w:pPr>
        <w:pStyle w:val="1038"/>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pPr>
      <w:r>
        <w:rPr>
          <w:lang w:val="pt-BR"/>
        </w:rPr>
        <w:tab/>
      </w:r>
      <w:r>
        <w:rPr>
          <w:shd w:val="clear" w:color="auto" w:fill="ffffff"/>
        </w:rPr>
        <w:t xml:space="preserve">N</w:t>
      </w:r>
      <w:r>
        <w:rPr>
          <w:shd w:val="clear" w:color="auto" w:fill="ffffff"/>
        </w:rPr>
        <w:t xml:space="preserve">ăm 2025 đánh dấu bước ngoặt quan trọng của thị trường bất động sản Phú Thọ sau nhiều năm tăng trưởng chậm. Ghi nhận từ thị trường cho thấy mặt bằng giá đất nền tại các khu vực có hạ tầng hoàn chỉnh, gần khu công nghiệp và trục giao thông chính đã tăng khoả</w:t>
      </w:r>
      <w:r>
        <w:rPr>
          <w:shd w:val="clear" w:color="auto" w:fill="ffffff"/>
        </w:rPr>
        <w:t xml:space="preserve">ng 10–20% so với giai đoạn 2023–2024, trong khi thanh khoản cải thiện chủ yếu ở những sản phẩm có khả năng khai thác thực.</w:t>
      </w:r>
      <w:r/>
    </w:p>
    <w:p>
      <w:pPr>
        <w:pBdr/>
        <w:tabs>
          <w:tab w:val="left" w:leader="none" w:pos="426"/>
        </w:tabs>
        <w:spacing w:after="120" w:before="120" w:line="276" w:lineRule="auto"/>
        <w:ind/>
        <w:rPr/>
      </w:pPr>
      <w:r>
        <w:rPr>
          <w:shd w:val="clear" w:color="auto" w:fill="ffffff"/>
        </w:rPr>
        <w:t xml:space="preserve">Đ</w:t>
      </w:r>
      <w:r>
        <w:rPr>
          <w:shd w:val="clear" w:color="auto" w:fill="ffffff"/>
        </w:rPr>
        <w:t xml:space="preserve">ất nền tiếp tục là phân khúc dẫn dắt thị trường trong năm 2025 nhờ mức giá còn thấp hơn đáng kể so với các tỉnh vệ tinh Hà Nội. Tuy nhiên, giao dịch chỉ tập trung vào những lô đất có pháp lý rõ ràng, nằm trong khu dân cư hiện hữu. Nhà liền kề và đất ở gần </w:t>
      </w:r>
      <w:r>
        <w:rPr>
          <w:shd w:val="clear" w:color="auto" w:fill="ffffff"/>
        </w:rPr>
        <w:t xml:space="preserve">k</w:t>
      </w:r>
      <w:r>
        <w:rPr>
          <w:shd w:val="clear" w:color="auto" w:fill="ffffff"/>
        </w:rPr>
        <w:t xml:space="preserve">hu công nghiệp ghi nhận tốc độ hấp thụ tốt hơn nhờ nhu cầu ở thực của lực lượng lao động, kỹ sư và chuyên gia, thay vì nhu cầu đầu cơ ngắn hạn.Đáng chú ý, năm 2025 việc sáp nhập và mở rộng địa giới giúp tái cấu trúc không gian đô thị, kéo theo điều chỉnh q</w:t>
      </w:r>
      <w:r>
        <w:rPr>
          <w:shd w:val="clear" w:color="auto" w:fill="ffffff"/>
        </w:rPr>
        <w:t xml:space="preserve">u</w:t>
      </w:r>
      <w:r>
        <w:rPr>
          <w:shd w:val="clear" w:color="auto" w:fill="ffffff"/>
        </w:rPr>
        <w:t xml:space="preserve">y hoạch, phân bổ lại hạ tầng và nguồn lực đầu tư công. Thực tế thị trường năm 2025 cho thấy, giá đất tại một số khu vực liên quan trực tiếp đến sáp nhập đã ghi nhận mức tăng rõ rệt so với mặt bằng chung, nhưng chủ yếu tập trung ở các vị trí có khả năng kha</w:t>
      </w:r>
      <w:r>
        <w:rPr>
          <w:shd w:val="clear" w:color="auto" w:fill="ffffff"/>
        </w:rPr>
        <w:t xml:space="preserve">i thác thực. Dù không còn là thông tin mới trên thị trường bất động sản, nhưng tại Phú Thọ, yếu tố này đang được nhìn nhận theo hướng thực chất hơn, thay vì chỉ mang tính kỳ vọng như các giai đoạn trước.</w:t>
      </w:r>
      <w:r/>
    </w:p>
    <w:p>
      <w:pPr>
        <w:pBdr/>
        <w:tabs>
          <w:tab w:val="left" w:leader="none" w:pos="426"/>
        </w:tabs>
        <w:spacing w:after="120" w:before="120" w:line="276" w:lineRule="auto"/>
        <w:ind/>
        <w:rPr/>
      </w:pPr>
      <w:r>
        <w:rPr>
          <w:shd w:val="clear" w:color="auto" w:fill="ffffff"/>
        </w:rPr>
        <w:t xml:space="preserve">Ở</w:t>
      </w:r>
      <w:r>
        <w:rPr>
          <w:shd w:val="clear" w:color="auto" w:fill="ffffff"/>
        </w:rPr>
        <w:t xml:space="preserve"> chiều nguồn cung, thị trường Phú Thọ năm 2025 không rơi vào tình trạng dư thừa. Nguồn cung mới chủ yếu đến từ các quỹ đất được đấu giá và một số dự án được quy hoạch bài bản, trong khi đất nền tự phát, manh mún dần mất lợi thế. Điều này khiến thị trường b</w:t>
      </w:r>
      <w:r>
        <w:rPr>
          <w:shd w:val="clear" w:color="auto" w:fill="ffffff"/>
        </w:rPr>
        <w:t xml:space="preserve">ư</w:t>
      </w:r>
      <w:r>
        <w:rPr>
          <w:shd w:val="clear" w:color="auto" w:fill="ffffff"/>
        </w:rPr>
        <w:t xml:space="preserve">ớc vào giai đoạn sàng lọc tự nhiên, nơi chất lượng sản phẩm và vị trí quyết định trực tiếp đến thanh khoản. Nhìn tổng thể, năm 2025 được xem là năm bản lề của thị trường bất động sản Phú Thọ khi các yếu tố vĩ mô, hạ tầng và dòng tiền bắt đầu hội tụ. Thay v</w:t>
      </w:r>
      <w:r>
        <w:rPr>
          <w:shd w:val="clear" w:color="auto" w:fill="ffffff"/>
        </w:rPr>
        <w:t xml:space="preserve">ì</w:t>
      </w:r>
      <w:r>
        <w:rPr>
          <w:shd w:val="clear" w:color="auto" w:fill="ffffff"/>
        </w:rPr>
        <w:t xml:space="preserve"> tăng trưởng nóng, thị trường vận hành theo hướng chọn lọc, ưu tiên giá trị sử dụng và khả năng sinh lời dài hạn. Chính sự sàng lọc này giúp thị trường hình thành mặt bằng mới bền vững hơn, đồng thời mở ra dư địa cho các dự án được quy hoạch bài bản, có th</w:t>
      </w:r>
      <w:r>
        <w:rPr>
          <w:shd w:val="clear" w:color="auto" w:fill="ffffff"/>
        </w:rPr>
        <w:t xml:space="preserve">ể đón đầu chu kỳ tăng trưởng trong những năm sau.</w:t>
      </w:r>
      <w:r/>
    </w:p>
    <w:p>
      <w:pPr>
        <w:pBdr/>
        <w:tabs>
          <w:tab w:val="left" w:leader="none" w:pos="426"/>
        </w:tabs>
        <w:spacing w:after="120" w:before="120" w:line="276" w:lineRule="auto"/>
        <w:ind/>
        <w:rPr/>
      </w:pPr>
      <w:r>
        <w:rPr>
          <w:shd w:val="clear" w:color="auto" w:fill="ffffff"/>
        </w:rPr>
        <w:t xml:space="preserve">K</w:t>
      </w:r>
      <w:r>
        <w:rPr>
          <w:shd w:val="clear" w:color="auto" w:fill="ffffff"/>
        </w:rPr>
        <w:t xml:space="preserve">hi thị trường bất động sản Phú Thọ bước sang năm 2026, dòng tiền đầu tư được dự báo sẽ vận động theo hướng chọn lọc, thay vì lan tỏa dàn trải như các giai đoạn trước. Các chuyên gia nhận định “điểm rơi” của dòng vốn trong giai đoạn này nhiều khả năng tập t</w:t>
      </w:r>
      <w:r>
        <w:rPr>
          <w:shd w:val="clear" w:color="auto" w:fill="ffffff"/>
        </w:rPr>
        <w:t xml:space="preserve">r</w:t>
      </w:r>
      <w:r>
        <w:rPr>
          <w:shd w:val="clear" w:color="auto" w:fill="ffffff"/>
        </w:rPr>
        <w:t xml:space="preserve">ung vào những khu vực gắn với động lực phát triển công nghiệp và quá trình mở rộng không gian đô thị. Đáng chú ý, giới đầu tư lớn không còn ưu tiên những khu đất trống dựa trên kỳ vọng dài hạn, mà chuyển hướng sang các dự án được quy hoạch bài bản, pháp lý</w:t>
      </w:r>
      <w:r>
        <w:rPr>
          <w:shd w:val="clear" w:color="auto" w:fill="ffffff"/>
        </w:rPr>
        <w:t xml:space="preserve"> </w:t>
      </w:r>
      <w:r>
        <w:rPr>
          <w:shd w:val="clear" w:color="auto" w:fill="ffffff"/>
        </w:rPr>
        <w:t xml:space="preserve">hoàn chỉnh và có khả năng đưa vào khai thác sớm. Những sản phẩm đất ở, nhà liền kề trong các khu đô thị đã hình thành cộng đồng cư dân rõ nét được đánh giá là phù hợp với chiến lược tích lũy tài sản và đón đầu chu kỳ tăng trưởng tiếp theo. Song song với sự</w:t>
      </w:r>
      <w:r>
        <w:rPr>
          <w:shd w:val="clear" w:color="auto" w:fill="ffffff"/>
        </w:rPr>
        <w:t xml:space="preserve"> </w:t>
      </w:r>
      <w:r>
        <w:rPr>
          <w:shd w:val="clear" w:color="auto" w:fill="ffffff"/>
        </w:rPr>
        <w:t xml:space="preserve">dịch chuyển của dòng vốn đầu tư, thị trường bất động sản Phú Thọ cũng bắt đầu xuất hiện những tín hiệu mới từ phía nguồn cung. Theo thông tin từ thị trường, trong thời gian tới, địa phương này sẽ đón nhận sự xuất hiện của khu đô thị Đất Việt Green Park quy</w:t>
      </w:r>
      <w:r>
        <w:rPr>
          <w:shd w:val="clear" w:color="auto" w:fill="ffffff"/>
        </w:rPr>
        <w:t xml:space="preserve"> </w:t>
      </w:r>
      <w:r>
        <w:rPr>
          <w:shd w:val="clear" w:color="auto" w:fill="ffffff"/>
        </w:rPr>
        <w:t xml:space="preserve">mô khoảng 96ha với đa dạng các loại hình như Shophouse, liền kề, nhà ở xã hội, căn hộ thương mại… dự kiến giai đoạn 1 sẽ cung cấp ra thị trường gần 1.000 sản phẩm liền kề và shophouse. Dự án được đầu tư đồng bộ hệ thống tiện ích gồm công viên cảnh quan, cô</w:t>
      </w:r>
      <w:r>
        <w:rPr>
          <w:shd w:val="clear" w:color="auto" w:fill="ffffff"/>
        </w:rPr>
        <w:t xml:space="preserve">ng viên chủ đề, hồ điều hòa, trung tâm thương mại và quảng trường ánh sáng, hướng tới việc hình thành một khu đô thị hoàn chỉnh, đáp ứng nhu cầu ở thực lẫn đầu tư dài hạn.</w:t>
      </w:r>
      <w:r/>
    </w:p>
    <w:p>
      <w:pPr>
        <w:pBdr/>
        <w:tabs>
          <w:tab w:val="left" w:leader="none" w:pos="426"/>
        </w:tabs>
        <w:spacing w:after="120" w:before="120" w:line="276" w:lineRule="auto"/>
        <w:ind/>
        <w:jc w:val="center"/>
        <w:rPr>
          <w:bCs/>
          <w:i/>
          <w:lang w:val="pt-BR"/>
        </w:rPr>
      </w:pPr>
      <w:r>
        <w:rPr>
          <w:shd w:val="clear" w:color="auto" w:fill="ffffff"/>
        </w:rPr>
        <w:t xml:space="preserve">(Nguồn tham khảo: https://baophutho.vn/toan-canh-bat-dong-san-phu-tho-2025-co-hoi-nao-cho-nam-2026-245748.htm)</w:t>
      </w:r>
      <w:r>
        <w:rPr>
          <w:i/>
          <w:iCs/>
          <w:lang w:val="pt-BR"/>
        </w:rPr>
      </w:r>
      <w:r>
        <w:rPr>
          <w:bCs/>
          <w:i/>
          <w:lang w:val="pt-BR"/>
        </w:rPr>
      </w:r>
    </w:p>
    <w:p>
      <w:pPr>
        <w:pStyle w:val="1038"/>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9"/>
        <w:gridCol w:w="2323"/>
        <w:gridCol w:w="2042"/>
        <w:gridCol w:w="2441"/>
        <w:gridCol w:w="2379"/>
      </w:tblGrid>
      <w:tr>
        <w:trPr>
          <w:trHeight w:val="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Tên tài sản</w:t>
            </w:r>
            <w:r>
              <w:rPr>
                <w:color w:val="000000" w:themeColor="text1"/>
              </w:rPr>
            </w:r>
            <w:r>
              <w:rPr>
                <w:color w:val="000000" w:themeColor="text1"/>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185"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b/>
                <w:color w:val="000000" w:themeColor="text1"/>
                <w:sz w:val="24"/>
              </w:rPr>
              <w:t xml:space="preserve">Quyền sử dụng đất tại các thửa đất có địa chỉ xã Trạm Thản, tỉnh Phú Thọ, bao gồm:</w:t>
              <w:br/>
              <w:t xml:space="preserve">+ Thửa đất số: 59, tờ bản đồ số  48 (xã Trạm Thản cũ) theo Giấy chứng nhận quyền sử dụng đất quyền sở hữu tài sản gắn liền với đất số: AA 07694667, số vào sổ cấp GCN: CN 794</w:t>
            </w:r>
            <w:r>
              <w:rPr>
                <w:rFonts w:ascii="Times New Roman" w:hAnsi="Times New Roman" w:eastAsia="Times New Roman" w:cs="Times New Roman"/>
                <w:b/>
                <w:color w:val="000000" w:themeColor="text1"/>
                <w:sz w:val="24"/>
              </w:rPr>
              <w:t xml:space="preserve">9 do Chi nhánh văn phòng đăng kí đất đai Phù Ninh cấp ngày 01/4/2026; Chủ sử dụng đất là ông Nguyễn Văn Thái;</w:t>
              <w:br/>
              <w:t xml:space="preserve">+ Thửa đất số: 32, tờ bản đồ số  48 (xã Trạm Thản cũ) theo Giấy chứng nhận quyền sử dụng đất quyền sở hữu tài sản gắn liền với đất số: AA 07694666</w:t>
            </w:r>
            <w:r>
              <w:rPr>
                <w:rFonts w:ascii="Times New Roman" w:hAnsi="Times New Roman" w:eastAsia="Times New Roman" w:cs="Times New Roman"/>
                <w:b/>
                <w:color w:val="000000" w:themeColor="text1"/>
                <w:sz w:val="24"/>
              </w:rPr>
              <w:t xml:space="preserve">, số vào sổ cấp GCN: CN 7948 do Chi nhánh văn phòng đăng ký đất đai Phù Ninh cấp ngày 01/04/2026; Chủ sử dụng đất là Ông Nguyễn Văn Thái;</w:t>
              <w:br/>
              <w:t xml:space="preserve">+ Thửa đất số: 352, tờ bản đồ số  36 (xã Trạm Thản cũ); thửa đất số 34, tờ bản đồ số: 48 (xã Trạm Thản cũ); thửa đất s</w:t>
            </w:r>
            <w:r>
              <w:rPr>
                <w:rFonts w:ascii="Times New Roman" w:hAnsi="Times New Roman" w:eastAsia="Times New Roman" w:cs="Times New Roman"/>
                <w:b/>
                <w:color w:val="000000" w:themeColor="text1"/>
                <w:sz w:val="24"/>
              </w:rPr>
              <w:t xml:space="preserve">ố 35, tờ bản đồ số: 48 (xã Trạm Thản cũ); thửa đất số 36, tờ bản đồ số: 48 (xã Trạm Thản cũ); thửa đất số 37, tờ bản đồ số: 48 (xã Trạm Thản cũ); thửa đất số 42, tờ bản đồ số: 48 (xã Trạm Thản cũ); thửa đất số 43, tờ bản đồ số: 48 (xã Trạm Thản cũ); thửa đ</w:t>
            </w:r>
            <w:r>
              <w:rPr>
                <w:rFonts w:ascii="Times New Roman" w:hAnsi="Times New Roman" w:eastAsia="Times New Roman" w:cs="Times New Roman"/>
                <w:b/>
                <w:color w:val="000000" w:themeColor="text1"/>
                <w:sz w:val="24"/>
              </w:rPr>
              <w:t xml:space="preserve">ất số 44, tờ bản đồ số: 48 (xã Trạm Thản cũ); thửa đất số 45, tờ bản đồ số: 48 (xã Trạm Thản cũ); thửa đất số 46, tờ bản đồ số: 48 (xã Trạm Thản cũ); thửa đất số 52, tờ bản đồ số: 48 (xã Trạm Thản cũ); thửa đất số 106-4, tờ bản đồ số: 49 (xã Trạm Thản cũ) </w:t>
            </w:r>
            <w:r>
              <w:rPr>
                <w:rFonts w:ascii="Times New Roman" w:hAnsi="Times New Roman" w:eastAsia="Times New Roman" w:cs="Times New Roman"/>
                <w:b/>
                <w:color w:val="000000" w:themeColor="text1"/>
                <w:sz w:val="24"/>
              </w:rPr>
              <w:t xml:space="preserve"> theo Giấy chứng nhận quyền sử dụng đất quyền sở hữu tài sản gắn liền với đất số: AA 07694674, số vào sổ cấp GCN: CN 7956 do Chi nhánh văn phòng đăng ký đất đai Phù Ninh cấp ngày 01/04/2026; Chủ sử dụng đất là Ông Nguyễn Văn Thái.</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1.</w:t>
            </w:r>
            <w:r>
              <w:rPr>
                <w:color w:val="000000" w:themeColor="text1"/>
              </w:rPr>
            </w:r>
            <w:r>
              <w:rPr>
                <w:color w:val="000000" w:themeColor="text1"/>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185"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b/>
                <w:color w:val="000000" w:themeColor="text1"/>
                <w:sz w:val="24"/>
              </w:rPr>
              <w:t xml:space="preserve">Nội dung Thửa đất theo Hồ sơ pháp lý</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1.1 </w:t>
            </w:r>
            <w:r>
              <w:rPr>
                <w:color w:val="000000" w:themeColor="text1"/>
              </w:rPr>
            </w:r>
            <w:r>
              <w:rPr>
                <w:color w:val="000000" w:themeColor="text1"/>
              </w:rP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185"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b/>
                <w:color w:val="000000" w:themeColor="text1"/>
                <w:sz w:val="24"/>
              </w:rPr>
              <w:t xml:space="preserve">Thửa đất số: 59, tờ bản đồ số 48 (xã Trạm Thản cũ)</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59</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48 (xã Trạm Thản cũ)</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62"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xã Trạm Thản, tỉnh Phú Thọ</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2.336,1</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ở tại nông thôn: 400m2</w:t>
              <w:br/>
              <w:t xml:space="preserve">Đất trồng cây lâu năm: 1.936,1</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ở tại nông thôn:Lâu dài</w:t>
              <w:br/>
              <w:t xml:space="preserve">Đất trồng cây lâu năm: Đến ngày 15/10/2063</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Thông tin quy hoạch:</w:t>
            </w:r>
            <w:r>
              <w:rPr>
                <w:color w:val="000000" w:themeColor="text1"/>
              </w:rPr>
            </w:r>
            <w:r>
              <w:rPr>
                <w:color w:val="000000" w:themeColor="text1"/>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62"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thu thập được các thông tin quy hoạch liên quan đến thửa đất thẩm định giá.</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1.2</w:t>
            </w:r>
            <w:r>
              <w:rPr>
                <w:color w:val="000000" w:themeColor="text1"/>
              </w:rPr>
            </w:r>
            <w:r>
              <w:rPr>
                <w:color w:val="000000" w:themeColor="text1"/>
              </w:rP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185"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b/>
                <w:color w:val="000000" w:themeColor="text1"/>
                <w:sz w:val="24"/>
              </w:rPr>
              <w:t xml:space="preserve">Thửa đất số: 32, tờ bản đồ số 48 (xã Trạm Thản cũ)</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48 (xã Trạm Thản cũ)</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62"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xã Trạm Thản, tỉnh Phú Thọ</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1.850,5</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trồng cây lâu năm (CLN)</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10/2043</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Thông tin quy hoạch:</w:t>
            </w:r>
            <w:r>
              <w:rPr>
                <w:color w:val="000000" w:themeColor="text1"/>
              </w:rPr>
            </w:r>
            <w:r>
              <w:rPr>
                <w:color w:val="000000" w:themeColor="text1"/>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62"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thu thập được các thông tin quy hoạch liên quan đến thửa đất thẩm định giá.</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1.2</w:t>
            </w:r>
            <w:r>
              <w:rPr>
                <w:color w:val="000000" w:themeColor="text1"/>
              </w:rPr>
            </w:r>
            <w:r>
              <w:rPr>
                <w:color w:val="000000" w:themeColor="text1"/>
              </w:rP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1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Thửa đất số: 352, tờ bản đồ số  36 (xã Trạm Thản cũ); thửa đất số 34, tờ bản đồ số: 48 (xã Trạm Thản cũ); thửa đất số 35, tờ bản đồ số: 48 (xã Trạm Thản cũ); thửa đất số 36, tờ bản đồ số: 48 (xã Trạm Thản cũ); thửa đất số 37, tờ bản đồ số: 48 (xã Trạm Thản</w:t>
            </w:r>
            <w:r>
              <w:rPr>
                <w:rFonts w:ascii="Times New Roman" w:hAnsi="Times New Roman" w:eastAsia="Times New Roman" w:cs="Times New Roman"/>
                <w:b/>
                <w:color w:val="000000" w:themeColor="text1"/>
                <w:sz w:val="24"/>
              </w:rPr>
              <w:t xml:space="preserve"> cũ); thửa đất số 42, tờ bản đồ số: 48 (xã Trạm Thản cũ); thửa đất số 43, tờ bản đồ số: 48 (xã Trạm Thản cũ); thửa đất số 44, tờ bản đồ số: 48 (xã Trạm Thản cũ); thửa đất số 45, tờ bản đồ số: 48 (xã Trạm Thản cũ); thửa đất số 46, tờ bản đồ số: 48 (xã Trạm </w:t>
            </w:r>
            <w:r>
              <w:rPr>
                <w:rFonts w:ascii="Times New Roman" w:hAnsi="Times New Roman" w:eastAsia="Times New Roman" w:cs="Times New Roman"/>
                <w:b/>
                <w:color w:val="000000" w:themeColor="text1"/>
                <w:sz w:val="24"/>
              </w:rPr>
              <w:t xml:space="preserve">Thản cũ); thửa đất số 52, tờ bản đồ số: 48 (xã Trạm Thản cũ); thửa đất số 106-4, tờ bản đồ số: 49 (xã Trạm Thản cũ)</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Tổng thửa đất:</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Tổng diện tích (m2)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3349</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62"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xã Trạm Thản, tỉnh Phú Thọ</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10/2063</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tcMar>
              <w:left w:w="0" w:type="dxa"/>
              <w:top w:w="0" w:type="dxa"/>
              <w:right w:w="0" w:type="dxa"/>
              <w:bottom w:w="0" w:type="dxa"/>
            </w:tcMar>
            <w:tcW w:w="659" w:type="dxa"/>
            <w:vAlign w:val="bottom"/>
            <w:vMerge w:val="restart"/>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1.2.1</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352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36 (xã Trạm Thản cũ)</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536</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chuyên trồng lúa (LUC)</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tcMar>
              <w:left w:w="0" w:type="dxa"/>
              <w:top w:w="0" w:type="dxa"/>
              <w:right w:w="0" w:type="dxa"/>
              <w:bottom w:w="0" w:type="dxa"/>
            </w:tcMar>
            <w:tcW w:w="659" w:type="dxa"/>
            <w:vAlign w:val="bottom"/>
            <w:vMerge w:val="restart"/>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34</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48 (xã Trạm Thản cũ)</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230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chuyên trồng lúa (LUC)</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tcMar>
              <w:left w:w="0" w:type="dxa"/>
              <w:top w:w="0" w:type="dxa"/>
              <w:right w:w="0" w:type="dxa"/>
              <w:bottom w:w="0" w:type="dxa"/>
            </w:tcMar>
            <w:tcW w:w="659" w:type="dxa"/>
            <w:vAlign w:val="bottom"/>
            <w:vMerge w:val="restart"/>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1.2.3</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35</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48 (xã Trạm Thản cũ)</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60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chuyên trồng lúa (LUC)</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tcMar>
              <w:left w:w="0" w:type="dxa"/>
              <w:top w:w="0" w:type="dxa"/>
              <w:right w:w="0" w:type="dxa"/>
              <w:bottom w:w="0" w:type="dxa"/>
            </w:tcMar>
            <w:tcW w:w="659" w:type="dxa"/>
            <w:vAlign w:val="bottom"/>
            <w:vMerge w:val="restart"/>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1.2.4</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36</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48 (xã Trạm Thản cũ)</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200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chuyên trồng lúa (LUC)</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tcMar>
              <w:left w:w="0" w:type="dxa"/>
              <w:top w:w="0" w:type="dxa"/>
              <w:right w:w="0" w:type="dxa"/>
              <w:bottom w:w="0" w:type="dxa"/>
            </w:tcMar>
            <w:tcW w:w="659" w:type="dxa"/>
            <w:vAlign w:val="bottom"/>
            <w:vMerge w:val="restart"/>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1.2.5</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37</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48 (xã Trạm Thản cũ)</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178</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chuyên trồng lúa (LUC)</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tcMar>
              <w:left w:w="0" w:type="dxa"/>
              <w:top w:w="0" w:type="dxa"/>
              <w:right w:w="0" w:type="dxa"/>
              <w:bottom w:w="0" w:type="dxa"/>
            </w:tcMar>
            <w:tcW w:w="659" w:type="dxa"/>
            <w:vAlign w:val="bottom"/>
            <w:vMerge w:val="restart"/>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1.2.6</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48 (xã Trạm Thản cũ)</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228</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chuyên trồng lúa (LUC)</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tcMar>
              <w:left w:w="0" w:type="dxa"/>
              <w:top w:w="0" w:type="dxa"/>
              <w:right w:w="0" w:type="dxa"/>
              <w:bottom w:w="0" w:type="dxa"/>
            </w:tcMar>
            <w:tcW w:w="659" w:type="dxa"/>
            <w:vAlign w:val="bottom"/>
            <w:vMerge w:val="restart"/>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1.2.7</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43</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48 (xã Trạm Thản cũ)</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338</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chuyên trồng lúa (LUC)</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tcMar>
              <w:left w:w="0" w:type="dxa"/>
              <w:top w:w="0" w:type="dxa"/>
              <w:right w:w="0" w:type="dxa"/>
              <w:bottom w:w="0" w:type="dxa"/>
            </w:tcMar>
            <w:tcW w:w="659" w:type="dxa"/>
            <w:vAlign w:val="bottom"/>
            <w:vMerge w:val="restart"/>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1.2.8</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44</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48 (xã Trạm Thản cũ)</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69</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chuyên trồng lúa (LUC)</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tcMar>
              <w:left w:w="0" w:type="dxa"/>
              <w:top w:w="0" w:type="dxa"/>
              <w:right w:w="0" w:type="dxa"/>
              <w:bottom w:w="0" w:type="dxa"/>
            </w:tcMar>
            <w:tcW w:w="659" w:type="dxa"/>
            <w:vAlign w:val="bottom"/>
            <w:vMerge w:val="restart"/>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1.2.9</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45</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48 (xã Trạm Thản cũ)</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119</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chuyên trồng lúa (LUC)</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tcMar>
              <w:left w:w="0" w:type="dxa"/>
              <w:top w:w="0" w:type="dxa"/>
              <w:right w:w="0" w:type="dxa"/>
              <w:bottom w:w="0" w:type="dxa"/>
            </w:tcMar>
            <w:tcW w:w="659" w:type="dxa"/>
            <w:vAlign w:val="bottom"/>
            <w:vMerge w:val="restart"/>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1.2.10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46</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48 (xã Trạm Thản cũ)</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226</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chuyên trồng lúa (LUC)</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tcMar>
              <w:left w:w="0" w:type="dxa"/>
              <w:top w:w="0" w:type="dxa"/>
              <w:right w:w="0" w:type="dxa"/>
              <w:bottom w:w="0" w:type="dxa"/>
            </w:tcMar>
            <w:tcW w:w="659" w:type="dxa"/>
            <w:vAlign w:val="bottom"/>
            <w:vMerge w:val="restart"/>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1.2.9</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48 (xã Trạm Thản cũ)</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165</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chuyên trồng lúa (LUC)</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tcMar>
              <w:left w:w="0" w:type="dxa"/>
              <w:top w:w="0" w:type="dxa"/>
              <w:right w:w="0" w:type="dxa"/>
              <w:bottom w:w="0" w:type="dxa"/>
            </w:tcMar>
            <w:tcW w:w="659" w:type="dxa"/>
            <w:vAlign w:val="bottom"/>
            <w:vMerge w:val="restart"/>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1.2.9</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106-4</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48 (xã Trạm Thản cũ)</w:t>
            </w:r>
            <w:r>
              <w:rPr>
                <w:color w:val="000000" w:themeColor="text1"/>
              </w:rPr>
            </w:r>
            <w:r>
              <w:rPr>
                <w:color w:val="000000" w:themeColor="text1"/>
              </w:rP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1000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trồng cây lâu năm (CLN)</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Thông tin quy hoạch:</w:t>
            </w:r>
            <w:r>
              <w:rPr>
                <w:color w:val="000000" w:themeColor="text1"/>
              </w:rPr>
            </w:r>
            <w:r>
              <w:rPr>
                <w:color w:val="000000" w:themeColor="text1"/>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62"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thu thập được các thông tin quy hoạch liên quan đến thửa đất thẩm định giá.</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2.</w:t>
            </w:r>
            <w:r>
              <w:rPr>
                <w:color w:val="000000" w:themeColor="text1"/>
              </w:rPr>
            </w:r>
            <w:r>
              <w:rPr>
                <w:color w:val="000000" w:themeColor="text1"/>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1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4"/>
              </w:rPr>
              <w:t xml:space="preserve">Về đất:</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2.1</w:t>
            </w:r>
            <w:r>
              <w:rPr>
                <w:color w:val="000000" w:themeColor="text1"/>
              </w:rPr>
            </w:r>
            <w:r>
              <w:rPr>
                <w:color w:val="000000" w:themeColor="text1"/>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1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4"/>
              </w:rPr>
              <w:t xml:space="preserve">Vị trí; Giao thông;</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Đường tiếp giáp chính:</w:t>
            </w:r>
            <w:r>
              <w:rPr>
                <w:color w:val="000000" w:themeColor="text1"/>
              </w:rPr>
            </w:r>
            <w:r>
              <w:rPr>
                <w:color w:val="000000" w:themeColor="text1"/>
              </w:rPr>
            </w:r>
          </w:p>
        </w:tc>
        <w:tc>
          <w:tcPr>
            <w:tcBorders>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Đường bê tông</w:t>
            </w:r>
            <w:r>
              <w:rPr>
                <w:color w:val="000000" w:themeColor="text1"/>
              </w:rPr>
            </w:r>
            <w:r>
              <w:rPr>
                <w:color w:val="000000" w:themeColor="text1"/>
              </w:rPr>
            </w:r>
          </w:p>
        </w:tc>
        <w:tc>
          <w:tcPr>
            <w:tcBorders>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Số mặt tiền:</w:t>
            </w:r>
            <w:r>
              <w:rPr>
                <w:color w:val="000000" w:themeColor="text1"/>
              </w:rPr>
            </w:r>
            <w:r>
              <w:rPr>
                <w:color w:val="000000" w:themeColor="text1"/>
              </w:rPr>
            </w:r>
          </w:p>
        </w:tc>
        <w:tc>
          <w:tcPr>
            <w:tcBorders>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 mặt tiền</w:t>
            </w:r>
            <w:r>
              <w:rPr>
                <w:color w:val="000000" w:themeColor="text1"/>
              </w:rPr>
            </w:r>
            <w:r>
              <w:rPr>
                <w:color w:val="000000" w:themeColor="text1"/>
              </w:rPr>
            </w:r>
          </w:p>
        </w:tc>
      </w:tr>
      <w:tr>
        <w:trPr>
          <w:trHeight w:val="0"/>
        </w:trPr>
        <w:tc>
          <w:tcPr>
            <w:tcBorders>
              <w:left w:val="single" w:color="000000" w:sz="5" w:space="0"/>
              <w:bottom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Mặt cắt đường/ngõ nhỏ nhất từ đường chính dẫn đến tài sản thẩm định giá:</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Khoảng 3m </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Mặt cắt đường/ngõ trước mặt tài sản thẩm định giá:</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Khoảng 3m </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Khoảng cách đến trục đường chính:</w:t>
            </w:r>
            <w:r>
              <w:rPr>
                <w:color w:val="000000" w:themeColor="text1"/>
              </w:rPr>
            </w:r>
            <w:r>
              <w:rPr>
                <w:color w:val="000000" w:themeColor="text1"/>
              </w:rP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62"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Tàn sản nằm tại xã Trạm Thản, tỉnh Phú Thọ. Cách QL2 khoảng 300m</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Các hướng tiếp giáp:</w:t>
            </w:r>
            <w:r>
              <w:rPr>
                <w:color w:val="000000" w:themeColor="text1"/>
              </w:rPr>
            </w:r>
            <w:r>
              <w:rPr>
                <w:color w:val="000000" w:themeColor="text1"/>
              </w:rP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62"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Hướng Đông Nam: Tiếp giáp đường bê tông</w:t>
              <w:br/>
              <w:t xml:space="preserve">Các hướng khác: Tiếp giáp các thửa đất khác.</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1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Vị trí trên bản đồ vệ tinh: (21.490769, 105.223446)</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1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2.2.</w:t>
            </w:r>
            <w:r>
              <w:rPr>
                <w:color w:val="000000" w:themeColor="text1"/>
              </w:rPr>
            </w:r>
            <w:r>
              <w:rPr>
                <w:color w:val="000000" w:themeColor="text1"/>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1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4"/>
              </w:rPr>
              <w:t xml:space="preserve">Diện tích; Kích thước; Hình dáng</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7535,6</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Mặt tiền (m):</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63,90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Hình dáng: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Đa giác</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Hướng: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Đông Nam</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2.3.</w:t>
            </w:r>
            <w:r>
              <w:rPr>
                <w:color w:val="000000" w:themeColor="text1"/>
              </w:rPr>
            </w:r>
            <w:r>
              <w:rPr>
                <w:color w:val="000000" w:themeColor="text1"/>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1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4"/>
              </w:rPr>
              <w:t xml:space="preserve">Điều kiện kinh doanh; Hạ tầng nội bộ; Hạ tầng xung quanh</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Hạ tầng nội bộ:</w:t>
            </w:r>
            <w:r>
              <w:rPr>
                <w:color w:val="000000" w:themeColor="text1"/>
              </w:rPr>
            </w:r>
            <w:r>
              <w:rPr>
                <w:color w:val="000000" w:themeColor="text1"/>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6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Cấp điện, cấp nước sạch, mạng internet,…hoàn thiện</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Hạ tầng xung quanh:</w:t>
            </w:r>
            <w:r>
              <w:rPr>
                <w:color w:val="000000" w:themeColor="text1"/>
              </w:rPr>
            </w:r>
            <w:r>
              <w:rPr>
                <w:color w:val="000000" w:themeColor="text1"/>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6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Mật độ dân cư:</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Tốt</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Đời sống dân cư:</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Ổn định</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Lợi thế kinh doanh:</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Không có lợi thế kinh doanh</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Khả năng chuyển nhượng: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37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Tốt </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3.</w:t>
            </w:r>
            <w:r>
              <w:rPr>
                <w:color w:val="000000" w:themeColor="text1"/>
              </w:rPr>
            </w:r>
            <w:r>
              <w:rPr>
                <w:color w:val="000000" w:themeColor="text1"/>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1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4"/>
              </w:rPr>
              <w:t xml:space="preserve"> Tài sản gắn liền với đất (Nhà 01 tầng)</w:t>
            </w:r>
            <w:r>
              <w:rPr>
                <w:color w:val="000000" w:themeColor="text1"/>
              </w:rPr>
            </w:r>
            <w:r>
              <w:rPr>
                <w:color w:val="000000" w:themeColor="text1"/>
              </w:rP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185" w:type="dxa"/>
            <w:vAlign w:val="top"/>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 Tại thời điểm khảo sát, trên đất có 01 nhà cấp 4, ngoại quan đã xuống cấp. CTXD chưa được chứng nhận trên GCN, đồng thời tổ thẩm định cũng không thu thập được thêm bất kì hồ sơ phát lí nào liên quan đến CTXD nêu trên. </w:t>
              <w:br/>
              <w:t xml:space="preserve"> Do vậy, theo đề nghị của Ngân hàng/</w:t>
            </w:r>
            <w:r>
              <w:rPr>
                <w:rFonts w:ascii="Times New Roman" w:hAnsi="Times New Roman" w:eastAsia="Times New Roman" w:cs="Times New Roman"/>
                <w:color w:val="000000" w:themeColor="text1"/>
                <w:sz w:val="24"/>
              </w:rPr>
              <w:t xml:space="preserve">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rPr>
            </w:r>
            <w:r>
              <w:rPr>
                <w:color w:val="000000" w:themeColor="text1"/>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2"/>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xã Trạm Than, tỉnh Phú Thọ</w:t>
            </w:r>
            <w:r/>
          </w:p>
        </w:tc>
        <w:tc>
          <w:tcPr>
            <w:tcBorders/>
            <w:tcW w:w="1605" w:type="dxa"/>
            <w:vAlign w:val="center"/>
            <w:textDirection w:val="lrTb"/>
            <w:noWrap w:val="false"/>
          </w:tcPr>
          <w:p>
            <w:pPr>
              <w:pBdr/>
              <w:spacing/>
              <w:ind/>
              <w:jc w:val="center"/>
              <w:rPr/>
            </w:pPr>
            <w:r>
              <w:t xml:space="preserve">Xã Trạm Thản, Tỉnh Phú Thọ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Khồng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nông thôn, Đất chuyên trồng lúa, Đất trồng cây lâu năm</w:t>
            </w:r>
            <w:r/>
          </w:p>
        </w:tc>
        <w:tc>
          <w:tcPr>
            <w:tcBorders/>
            <w:tcW w:w="1605" w:type="dxa"/>
            <w:vAlign w:val="center"/>
            <w:textDirection w:val="lrTb"/>
            <w:noWrap w:val="false"/>
          </w:tcPr>
          <w:p>
            <w:pPr>
              <w:pBdr/>
              <w:spacing/>
              <w:ind/>
              <w:jc w:val="center"/>
              <w:rPr/>
            </w:pPr>
            <w:r>
              <w:t xml:space="preserve">Đất ở tại nông thôn, Đất chuyên trồng lúa, Đất trồng cây lâu năm</w:t>
            </w:r>
            <w:r/>
          </w:p>
          <w:p>
            <w:pPr>
              <w:pBdr/>
              <w:spacing/>
              <w:ind/>
              <w:jc w:val="center"/>
              <w:rPr/>
            </w:pP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 Có thời hạn</w:t>
            </w:r>
            <w:r/>
          </w:p>
        </w:tc>
        <w:tc>
          <w:tcPr>
            <w:tcBorders/>
            <w:tcW w:w="1605" w:type="dxa"/>
            <w:vAlign w:val="center"/>
            <w:textDirection w:val="lrTb"/>
            <w:noWrap w:val="false"/>
          </w:tcPr>
          <w:p>
            <w:pPr>
              <w:pBdr/>
              <w:spacing/>
              <w:ind/>
              <w:jc w:val="center"/>
              <w:rPr/>
            </w:pPr>
            <w:r>
              <w:t xml:space="preserve">Lâu dài, Có thời hạn</w:t>
            </w:r>
            <w:r/>
          </w:p>
          <w:p>
            <w:pPr>
              <w:pBdr/>
              <w:spacing/>
              <w:ind/>
              <w:jc w:val="center"/>
              <w:rPr/>
            </w:pP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7135,6</w:t>
            </w:r>
            <w:r/>
          </w:p>
        </w:tc>
        <w:tc>
          <w:tcPr>
            <w:tcBorders/>
            <w:tcW w:w="1605" w:type="dxa"/>
            <w:vAlign w:val="center"/>
            <w:textDirection w:val="lrTb"/>
            <w:noWrap w:val="false"/>
          </w:tcPr>
          <w:p>
            <w:pPr>
              <w:pBdr/>
              <w:spacing/>
              <w:ind/>
              <w:jc w:val="center"/>
              <w:rPr/>
            </w:pPr>
            <w:r>
              <w:t xml:space="preserve">7135,6</w:t>
            </w:r>
            <w:r>
              <w:t xml:space="preserve">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63,9</w:t>
            </w:r>
            <w:r/>
          </w:p>
        </w:tc>
        <w:tc>
          <w:tcPr>
            <w:tcBorders/>
            <w:tcW w:w="1605" w:type="dxa"/>
            <w:vAlign w:val="center"/>
            <w:textDirection w:val="lrTb"/>
            <w:noWrap w:val="false"/>
          </w:tcPr>
          <w:p>
            <w:pPr>
              <w:pBdr/>
              <w:spacing/>
              <w:ind/>
              <w:jc w:val="center"/>
              <w:rPr/>
            </w:pPr>
            <w:r>
              <w:t xml:space="preserve">63,9</w:t>
            </w:r>
            <w:r>
              <w:t xml:space="preserve">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Đa giác khác</w:t>
            </w:r>
            <w:r/>
          </w:p>
        </w:tc>
        <w:tc>
          <w:tcPr>
            <w:tcBorders/>
            <w:tcW w:w="1605" w:type="dxa"/>
            <w:vAlign w:val="center"/>
            <w:textDirection w:val="lrTb"/>
            <w:noWrap w:val="false"/>
          </w:tcPr>
          <w:p>
            <w:pPr>
              <w:pBdr/>
              <w:spacing/>
              <w:ind/>
              <w:jc w:val="center"/>
              <w:rPr/>
            </w:pPr>
            <w:r>
              <w:t xml:space="preserve">Đa giác khác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397"/>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 Nam </w:t>
            </w:r>
            <w:r/>
          </w:p>
        </w:tc>
        <w:tc>
          <w:tcPr>
            <w:tcBorders/>
            <w:tcW w:w="1605" w:type="dxa"/>
            <w:vAlign w:val="center"/>
            <w:textDirection w:val="lrTb"/>
            <w:noWrap w:val="false"/>
          </w:tcPr>
          <w:p>
            <w:pPr>
              <w:pBdr/>
              <w:spacing/>
              <w:ind/>
              <w:jc w:val="center"/>
              <w:rPr/>
            </w:pPr>
            <w:r>
              <w:t xml:space="preserve">Đông 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8"/>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8"/>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2"/>
          <w:sz w:val="24"/>
        </w:rPr>
        <w:t xml:space="preserve">Tài sản thẩm định giá bao gồm </w:t>
      </w:r>
      <w:r>
        <w:rPr>
          <w:rFonts w:ascii="Times New Roman" w:hAnsi="Times New Roman" w:eastAsia="Times New Roman" w:cs="Times New Roman"/>
          <w:color w:val="000000"/>
          <w:sz w:val="24"/>
        </w:rPr>
        <w:t xml:space="preserve">các </w:t>
      </w:r>
      <w:r>
        <w:rPr>
          <w:rFonts w:ascii="Times New Roman" w:hAnsi="Times New Roman" w:eastAsia="Times New Roman" w:cs="Times New Roman"/>
          <w:color w:val="000000"/>
          <w:spacing w:val="-2"/>
          <w:sz w:val="24"/>
        </w:rPr>
        <w:t xml:space="preserve">nằm tiếp tiếp giáp liền cạnh, không có mốc giới giữa các thửa đất, đồng thời có các công trình xây dựng trên các thửa đất. Được sự thống nhất của Khách hàng và Ngân hàng, tổ thẩm định gộp các </w:t>
      </w:r>
      <w:r>
        <w:rPr>
          <w:rFonts w:ascii="Times New Roman" w:hAnsi="Times New Roman" w:eastAsia="Times New Roman" w:cs="Times New Roman"/>
          <w:color w:val="000000"/>
          <w:sz w:val="24"/>
        </w:rPr>
        <w:t xml:space="preserve">thửa đất</w:t>
      </w:r>
      <w:r>
        <w:rPr>
          <w:rFonts w:ascii="Times New Roman" w:hAnsi="Times New Roman" w:eastAsia="Times New Roman" w:cs="Times New Roman"/>
          <w:color w:val="000000"/>
          <w:spacing w:val="-2"/>
          <w:sz w:val="24"/>
        </w:rPr>
        <w:t xml:space="preserve"> thành một thửa đất lớn để ước tính giá trị (diện tích trong đó diện tích đất ở tại nông thôn là </w:t>
      </w:r>
      <w:r>
        <w:rPr>
          <w:rFonts w:ascii="Times New Roman" w:hAnsi="Times New Roman" w:eastAsia="Times New Roman" w:cs="Times New Roman"/>
          <w:color w:val="000000"/>
          <w:spacing w:val="-2"/>
          <w:sz w:val="24"/>
        </w:rPr>
        <w:t xml:space="preserve">400m², diện tích </w:t>
      </w:r>
      <w:r>
        <w:rPr>
          <w:rFonts w:ascii="Times New Roman" w:hAnsi="Times New Roman" w:eastAsia="Times New Roman" w:cs="Times New Roman"/>
          <w:color w:val="000000"/>
          <w:spacing w:val="-2"/>
          <w:sz w:val="24"/>
        </w:rPr>
        <w:t xml:space="preserve">Đất chuyên trồng lúa: 2.349m2; Đất trồng cây lâu năm: 4.786,6m2</w:t>
      </w:r>
      <w:r>
        <w:rPr>
          <w:rFonts w:ascii="Times New Roman" w:hAnsi="Times New Roman" w:eastAsia="Times New Roman" w:cs="Times New Roman"/>
          <w:color w:val="000000"/>
          <w:spacing w:val="-2"/>
          <w:sz w:val="24"/>
        </w:rPr>
        <w:t xml:space="preserve">;  mặt tiền rộng </w:t>
      </w:r>
      <w:r>
        <w:rPr>
          <w:rFonts w:ascii="Times New Roman" w:hAnsi="Times New Roman" w:eastAsia="Times New Roman" w:cs="Times New Roman"/>
          <w:color w:val="000000"/>
          <w:sz w:val="24"/>
        </w:rPr>
        <w:t xml:space="preserve">63,9</w:t>
      </w:r>
      <w:r>
        <w:rPr>
          <w:rFonts w:ascii="Times New Roman" w:hAnsi="Times New Roman" w:eastAsia="Times New Roman" w:cs="Times New Roman"/>
          <w:color w:val="000000"/>
          <w:spacing w:val="-2"/>
          <w:sz w:val="24"/>
        </w:rPr>
        <w:t xml:space="preserve">m</w:t>
      </w:r>
      <w:r>
        <w:rPr>
          <w:rFonts w:ascii="Times New Roman" w:hAnsi="Times New Roman" w:eastAsia="Times New Roman" w:cs="Times New Roman"/>
          <w:color w:val="000000"/>
          <w:spacing w:val="-2"/>
          <w:sz w:val="24"/>
        </w:rPr>
        <w:t xml:space="preserve">; 01 mặt tiếp giáp đường). Kết quả thẩm định giá được nêu trong báo cáo này chỉ có giá trị trong trường hợp Ngân hàng nhận thế chấp/giải chấp đồng thời các thửa đất cấp tại 03 (ba) giấy chứng nhận nêu trên.</w:t>
      </w:r>
      <w:r>
        <w:rPr>
          <w:rFonts w:ascii="Times New Roman" w:hAnsi="Times New Roman" w:eastAsia="Times New Roman" w:cs="Times New Roman"/>
          <w:sz w:val="24"/>
        </w:rPr>
      </w:r>
      <w:r/>
    </w:p>
    <w:p>
      <w:pPr>
        <w:pStyle w:val="1038"/>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8"/>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8"/>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8"/>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8"/>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8"/>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8"/>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8"/>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8"/>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numPr>
          <w:ilvl w:val="1"/>
          <w:numId w:val="40"/>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đơn giá quyền sử dụng đất hỗn hợp: (Đất ở tại nông thôn: 400m2; </w:t>
      </w:r>
      <w:r>
        <w:rPr>
          <w:rFonts w:ascii="Times New Roman" w:hAnsi="Times New Roman" w:eastAsia="Times New Roman" w:cs="Times New Roman"/>
          <w:b/>
          <w:color w:val="000000"/>
          <w:sz w:val="24"/>
        </w:rPr>
        <w:t xml:space="preserve">Đất chuyên trồng lúa: 2.349m2; Đất trồng cây lâu năm: 4.786,6m2</w:t>
      </w:r>
      <w:r>
        <w:rPr>
          <w:rFonts w:ascii="Times New Roman" w:hAnsi="Times New Roman" w:eastAsia="Times New Roman" w:cs="Times New Roman"/>
          <w:b/>
          <w:color w:val="000000"/>
          <w:sz w:val="24"/>
        </w:rPr>
        <w:t xml:space="preserve">)</w:t>
      </w:r>
      <w:r>
        <w:rPr>
          <w:rFonts w:ascii="Times New Roman" w:hAnsi="Times New Roman" w:eastAsia="Times New Roman" w:cs="Times New Roman"/>
          <w:sz w:val="24"/>
        </w:rPr>
      </w:r>
      <w:r/>
    </w:p>
    <w:p>
      <w:pPr>
        <w:pStyle w:val="1038"/>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8"/>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Trạm Thản, Huyện Phù Ninh,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Trị Quận, Huyện Phù Ninh,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Quế Lâm, Huyện Đoan Hùng,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Trị Quận, Huyện Phù Ninh, Tỉnh Phú Thọ</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https://alonhadat.com.vn/chuyen-nhuong-3ha-30-000m2-dat-o-va-dat-vuon-tai-phu-ninh-phu-tho-18167795.html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https://batdongsan.com.vn/ban-dat-duong-quoc-lo-2-xa-que-lam-474/ban-gap-tai-2-doan-hung-phu-tho-gia-sieu-hoi-850-trieu-2000-m2-pr44455286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https://www.facebook.com/groups/631206687508372/posts/1749880205641009/</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0985591528</w:t>
            </w:r>
            <w:r>
              <w:rPr>
                <w:sz w:val="22"/>
                <w:szCs w:val="22"/>
              </w:rPr>
              <w:t xml:space="preserve"> </w:t>
            </w:r>
            <w:r>
              <w:rPr>
                <w:sz w:val="22"/>
                <w:szCs w:val="22"/>
              </w:rPr>
              <w:br/>
              <w:t xml:space="preserve">(</w:t>
            </w:r>
            <w:r>
              <w:rPr>
                <w:sz w:val="22"/>
                <w:szCs w:val="22"/>
              </w:rPr>
              <w:t xml:space="preserve">Loan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0394913662</w:t>
            </w:r>
            <w:r>
              <w:rPr>
                <w:sz w:val="22"/>
                <w:szCs w:val="22"/>
              </w:rPr>
              <w:br/>
            </w:r>
            <w:r>
              <w:rPr>
                <w:sz w:val="22"/>
                <w:szCs w:val="22"/>
              </w:rPr>
              <w:t xml:space="preserve">(</w:t>
            </w:r>
            <w:r>
              <w:rPr>
                <w:sz w:val="22"/>
                <w:szCs w:val="22"/>
              </w:rPr>
              <w:t xml:space="preserve">Hòa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0972.728.982</w:t>
            </w:r>
            <w:r>
              <w:rPr>
                <w:sz w:val="22"/>
                <w:szCs w:val="22"/>
              </w:rPr>
              <w:br/>
            </w:r>
            <w:r>
              <w:rPr>
                <w:sz w:val="22"/>
                <w:szCs w:val="22"/>
              </w:rPr>
              <w:t xml:space="preserve">(</w:t>
            </w:r>
            <w:r>
              <w:rPr>
                <w:sz w:val="22"/>
                <w:szCs w:val="22"/>
              </w:rPr>
              <w:t xml:space="preserve">Hoài</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04/2026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04/2026</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Có Giấy chứng nhận Quyền sử dụng đất</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Có Giấy chứng nhận Quyền sử dụng đất</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Có Giấy chứng nhận Quyền sử dụng đất</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Có Giấy chứng nhận Quyền sử dụng đất</w:t>
            </w:r>
            <w:r>
              <w:rPr>
                <w:b w:val="0"/>
                <w:bCs w:val="0"/>
              </w:rPr>
            </w:r>
            <w:r>
              <w:rPr>
                <w:b w:val="0"/>
                <w:bCs w:val="0"/>
              </w:rPr>
            </w:r>
          </w:p>
        </w:tc>
      </w:tr>
      <w:tr>
        <w:trPr>
          <w:trHeight w:val="178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 đất chuyên trồng lúa,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năm,Đất nuôi trồng thủy sản,Đất trồng cây hàng năm khác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Trạm Thản, Huyện Phù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Trị Quận, Huyện Phù Ninh, Tỉnh Phú Thọ</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Quế Lâm, Huyện Đoan Hùng, Tỉnh Phú Thọ</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Trị Quận, Huyện Phù Ninh, Tỉnh Phú Thọ</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5199,5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9168.7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177,1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211,26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2.625.000.000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2.625.000.000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286.300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44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8"/>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9.600.000.000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2.625.000.000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286.300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Có Giấy chứng nhận Quyền sử dụng đất</w:t>
            </w:r>
            <w:r>
              <w:rPr>
                <w:b w:val="0"/>
                <w:bCs w:val="0"/>
              </w:rPr>
            </w:r>
            <w:r>
              <w:rPr>
                <w:b w:val="0"/>
                <w:bCs w:val="0"/>
              </w:rPr>
            </w:r>
          </w:p>
        </w:tc>
        <w:tc>
          <w:tcPr>
            <w:shd w:val="clear" w:color="000000" w:fill="ffffff"/>
            <w:tcBorders/>
            <w:tcW w:w="152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Có Giấy chứng nhận Quyền sử dụng đất</w:t>
            </w:r>
            <w:r>
              <w:rPr>
                <w:b w:val="0"/>
                <w:bCs w:val="0"/>
              </w:rPr>
            </w:r>
            <w:r>
              <w:rPr>
                <w:b w:val="0"/>
                <w:bCs w:val="0"/>
              </w:rPr>
            </w:r>
          </w:p>
        </w:tc>
        <w:tc>
          <w:tcPr>
            <w:shd w:val="clear" w:color="000000" w:fill="ffffff"/>
            <w:tcBorders/>
            <w:tcW w:w="152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Có Giấy chứng nhận Quyền sử dụng đất</w:t>
            </w:r>
            <w:r>
              <w:rPr>
                <w:b w:val="0"/>
                <w:bCs w:val="0"/>
              </w:rPr>
            </w:r>
            <w:r>
              <w:rPr>
                <w:b w:val="0"/>
                <w:bCs w:val="0"/>
              </w:rPr>
            </w:r>
          </w:p>
        </w:tc>
        <w:tc>
          <w:tcPr>
            <w:shd w:val="clear" w:color="000000" w:fill="ffffff"/>
            <w:tcBorders/>
            <w:tcW w:w="152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Có Giấy chứng nhận Quyền sử dụng đất</w:t>
            </w:r>
            <w:r>
              <w:rPr>
                <w:b w:val="0"/>
                <w:bCs w:val="0"/>
              </w:rPr>
            </w:r>
            <w:r>
              <w:rPr>
                <w:b w:val="0"/>
                <w:bCs w:val="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286.300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 đất chuyên trồng lúa, đất trồng cây lâu năm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năm,Đất nuôi trồng thủy sản,Đất trồng cây hàng năm khác</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286.300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chuyên trồng lúa nước: có thời hạn; Đất trồng cây lâu năm – Có thời hạn</w:t>
            </w:r>
            <w:r>
              <w:rPr>
                <w:b/>
                <w:bCs/>
                <w:color w:val="000000"/>
                <w:sz w:val="22"/>
                <w:szCs w:val="22"/>
              </w:rPr>
            </w:r>
            <w:r>
              <w:rPr>
                <w:b/>
                <w:bCs/>
                <w:color w:val="000000"/>
                <w:sz w:val="22"/>
                <w:szCs w:val="22"/>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 Đất nuôi trồng thủy sản – Có thời hạn, Đất trồng cây hàng năm khác – Có thời hạn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286.300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Trạm Thản, Huyện Phù Ninh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Trị Quận, Huyện Phù Ninh, Tỉnh Phú Thọ</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Quế Lâm, Huyện Đoan Hùng, Tỉnh Phú Thọ</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Trị Quận, Huyện Phù Ninh, Tỉnh Phú Thọ</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286.300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286.300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300.615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5199,5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9168,7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5.726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306.341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-8.589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297.752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211,26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8.589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306.341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306.341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w:t>
            </w:r>
            <w:r>
              <w:rPr>
                <w:color w:val="000000" w:themeColor="text1"/>
                <w:sz w:val="22"/>
                <w:szCs w:val="22"/>
              </w:rPr>
              <w:t xml:space="preserve">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73"/>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306.341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Tỉ lệ đất ở/ Tổng diện tích: 5%</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Tỉ lệ đất ở/ Tổng diện tích: 1%</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Tỉ lệ đất ở/ Tổng diện tích: 19%</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Tỉ lệ đất ở/ Tổng diện tích: 3%</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5.726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312.067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361.600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289.000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312.067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320.889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12,69%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-9,94%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137.600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42.945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41.600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51.000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25.767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-9,94</w:t>
      </w:r>
      <w:r>
        <w:t xml:space="preserve">% đến</w:t>
      </w:r>
      <w:r>
        <w:t xml:space="preserve"> </w:t>
      </w:r>
      <w:r>
        <w:t xml:space="preserve"> </w:t>
      </w:r>
      <w:r>
        <w:t xml:space="preserve">12,69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361.600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120.557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289.000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96.324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312.067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104.012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320.893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320.000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320.000</w:t>
      </w:r>
      <w:r>
        <w:rPr>
          <w:b/>
          <w:bCs/>
          <w:color w:val="000000" w:themeColor="text1"/>
        </w:rPr>
        <w:t xml:space="preserve"> </w:t>
      </w:r>
      <w:r>
        <w:rPr>
          <w:b/>
          <w:bCs/>
        </w:rPr>
        <w:t xml:space="preserve">đồng/m².</w:t>
      </w:r>
      <w:r>
        <w:rPr>
          <w:b/>
          <w:bCs/>
        </w:rPr>
      </w:r>
      <w:r>
        <w:rPr>
          <w:b/>
          <w:bCs/>
        </w:rPr>
      </w:r>
    </w:p>
    <w:p>
      <w:pPr>
        <w:pBdr>
          <w:top w:val="none" w:color="000000" w:sz="4" w:space="0"/>
          <w:left w:val="none" w:color="000000" w:sz="4" w:space="0"/>
          <w:bottom w:val="none" w:color="000000" w:sz="4" w:space="0"/>
          <w:right w:val="none" w:color="000000" w:sz="4" w:space="0"/>
        </w:pBdr>
        <w:spacing w:after="120" w:before="120" w:line="288" w:lineRule="auto"/>
        <w:ind w:right="28" w:firstLine="0" w:left="0"/>
        <w:jc w:val="both"/>
        <w:rPr/>
      </w:pPr>
      <w:r>
        <w:rPr>
          <w:rFonts w:ascii="Times New Roman" w:hAnsi="Times New Roman" w:eastAsia="Times New Roman" w:cs="Times New Roman"/>
          <w:b/>
          <w:color w:val="000000"/>
          <w:sz w:val="24"/>
        </w:rPr>
        <w:t xml:space="preserve">1.2 Xác định giá trị quyền sử dụng đất ở (400m2)</w:t>
      </w:r>
      <w:r>
        <w:rPr>
          <w:rFonts w:ascii="Times New Roman" w:hAnsi="Times New Roman" w:eastAsia="Times New Roman" w:cs="Times New Roman"/>
          <w:sz w:val="24"/>
        </w:rPr>
      </w:r>
      <w:r/>
    </w:p>
    <w:p>
      <w:pPr>
        <w:pStyle w:val="1038"/>
        <w:pBdr/>
        <w:spacing w:after="120" w:before="120" w:line="276" w:lineRule="auto"/>
        <w:ind w:left="357"/>
        <w:jc w:val="both"/>
        <w:rPr>
          <w:b/>
          <w:bCs/>
          <w:highlight w:val="none"/>
          <w:lang w:val="pt-BR"/>
        </w:rPr>
      </w:pPr>
      <w:r>
        <w:rPr>
          <w:b/>
          <w:lang w:val="pt-BR"/>
        </w:rPr>
      </w:r>
      <w:r>
        <w:rPr>
          <w:rFonts w:ascii="Times New Roman" w:hAnsi="Times New Roman" w:eastAsia="Times New Roman" w:cs="Times New Roman"/>
          <w:color w:val="000000"/>
          <w:spacing w:val="-2"/>
          <w:sz w:val="24"/>
        </w:rPr>
        <w:t xml:space="preserve">S</w:t>
      </w:r>
      <w:r>
        <w:rPr>
          <w:rFonts w:ascii="Times New Roman" w:hAnsi="Times New Roman" w:eastAsia="Times New Roman" w:cs="Times New Roman"/>
          <w:color w:val="000000"/>
          <w:spacing w:val="-2"/>
          <w:sz w:val="24"/>
        </w:rPr>
        <w:t xml:space="preserve">ơ đồ thửa đất tại trang 3 GCN không thể hiện vị trí đất ở và đất trồng cây lâu năm, do vậy, theo nguyên tắc sử dụng tốt nhất và hiệu quả nhất, Tổ thẩm định giả định phần đất ở diện tích 400m² có kích thước 20mx20m; hình dáng tương đối vuông vức, 1 mặt tiền</w:t>
      </w:r>
      <w:r>
        <w:rPr>
          <w:rFonts w:ascii="Times New Roman" w:hAnsi="Times New Roman" w:eastAsia="Times New Roman" w:cs="Times New Roman"/>
          <w:color w:val="000000"/>
          <w:spacing w:val="-2"/>
          <w:sz w:val="24"/>
        </w:rPr>
        <w:t xml:space="preserve">, mặt tiền hướng Đông Nam tiếp giáp đường. Trong trường hợp có sai khác giữa giả định của chúng tôi và bất kỳ văn bản nào của cơ quan Nhà nước có thẩm quyền cấp thì chúng tôi có quyền xem xét lại kết quả của báo cáo thẩm định giá này. </w:t>
      </w:r>
      <w:r>
        <w:rPr>
          <w:b/>
          <w:lang w:val="pt-BR"/>
        </w:rPr>
      </w:r>
      <w:r>
        <w:rPr>
          <w:b/>
          <w:bCs/>
          <w:highlight w:val="none"/>
          <w:lang w:val="pt-BR"/>
        </w:rPr>
      </w:r>
    </w:p>
    <w:p>
      <w:pPr>
        <w:pStyle w:val="1038"/>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8"/>
        <w:numPr>
          <w:ilvl w:val="0"/>
          <w:numId w:val="42"/>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33"/>
        <w:gridCol w:w="1751"/>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sz w:val="22"/>
                <w:szCs w:val="22"/>
              </w:rPr>
            </w:pPr>
            <w:r>
              <w:rPr>
                <w:color w:val="000000" w:themeColor="text1"/>
                <w:sz w:val="22"/>
                <w:szCs w:val="22"/>
              </w:rPr>
              <w:t xml:space="preserve">Xã Trạm Thản, Huyện Phù Ninh, Tỉnh Phú Thọ</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Xã Trạm Thản, Huyện Phù Ninh, Tỉnh Phú Thọ</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Trạm Thản, Huyện Phù Ninh, Tỉnh Phú Thọ</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Trạm Thản, Huyện Phù Ninh, Tỉnh Phú Thọ</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https://www.facebook.com/groups/531079663747669/posts/2907022516153360/</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https://www.facebook.com/groups/631206687508372/permalink/1758165121479184/</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https://www.facebook.com/groups/461874921211255/permalink/2052421222156609/</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0326029802</w:t>
            </w:r>
            <w:r>
              <w:rPr>
                <w:sz w:val="22"/>
                <w:szCs w:val="22"/>
              </w:rPr>
              <w:t xml:space="preserve"> </w:t>
            </w:r>
            <w:r>
              <w:rPr>
                <w:sz w:val="22"/>
                <w:szCs w:val="22"/>
              </w:rPr>
              <w:br/>
              <w:t xml:space="preserve">(</w:t>
            </w:r>
            <w:r>
              <w:rPr>
                <w:sz w:val="22"/>
                <w:szCs w:val="22"/>
              </w:rPr>
              <w:t xml:space="preserve">Oanh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0393.483.181</w:t>
            </w:r>
            <w:r>
              <w:rPr>
                <w:sz w:val="22"/>
                <w:szCs w:val="22"/>
              </w:rPr>
              <w:br/>
            </w:r>
            <w:r>
              <w:rPr>
                <w:sz w:val="22"/>
                <w:szCs w:val="22"/>
              </w:rPr>
              <w:t xml:space="preserve">(</w:t>
            </w:r>
            <w:r>
              <w:rPr>
                <w:sz w:val="22"/>
                <w:szCs w:val="22"/>
              </w:rPr>
              <w:t xml:space="preserve">Nam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0902266433</w:t>
            </w:r>
            <w:r>
              <w:rPr>
                <w:sz w:val="22"/>
                <w:szCs w:val="22"/>
              </w:rPr>
              <w:br/>
            </w:r>
            <w:r>
              <w:rPr>
                <w:sz w:val="22"/>
                <w:szCs w:val="22"/>
              </w:rPr>
              <w:t xml:space="preserve">(</w:t>
            </w:r>
            <w:r>
              <w:rPr>
                <w:sz w:val="22"/>
                <w:szCs w:val="22"/>
              </w:rPr>
              <w:t xml:space="preserve">Hương Thanh</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04/2026</w:t>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04/2026</w:t>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Có Giấy chứng nhận Quyền sử dụng đất</w:t>
            </w:r>
            <w:r>
              <w:rPr>
                <w:b w:val="0"/>
                <w:bCs w:val="0"/>
              </w:rPr>
            </w:r>
            <w:r>
              <w:rPr>
                <w:b w:val="0"/>
                <w:bCs w:val="0"/>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Có Giấy chứng nhận Quyền sử dụng đất</w:t>
            </w:r>
            <w:r>
              <w:rPr>
                <w:b w:val="0"/>
                <w:bCs w:val="0"/>
              </w:rPr>
            </w:r>
            <w:r>
              <w:rPr>
                <w:b w:val="0"/>
                <w:bCs w:val="0"/>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Có Giấy chứng nhận Quyền sử dụng đất</w:t>
            </w:r>
            <w:r>
              <w:rPr>
                <w:b w:val="0"/>
                <w:bCs w:val="0"/>
              </w:rPr>
            </w:r>
            <w:r>
              <w:rPr>
                <w:b w:val="0"/>
                <w:bCs w:val="0"/>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Có Giấy chứng nhận Quyền sử dụng đất</w:t>
            </w:r>
            <w:r>
              <w:rPr>
                <w:b w:val="0"/>
                <w:bCs w:val="0"/>
              </w:rPr>
            </w:r>
            <w:r>
              <w:rPr>
                <w:b w:val="0"/>
                <w:bCs w:val="0"/>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Tàn sản nằm tại xã Trạm Thản, tỉnh Phú Thọ. Cách QL2 khoảng 300m</w:t>
            </w:r>
            <w:r>
              <w:rPr>
                <w:b w:val="0"/>
                <w:bCs w:val="0"/>
              </w:rPr>
            </w:r>
            <w:r>
              <w:rPr>
                <w:b w:val="0"/>
                <w:bCs w:val="0"/>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Tàn sản nằm tại xã Trạm Thản, tỉnh Phú Thọ. Cách QL2 khoảng 100m</w:t>
            </w:r>
            <w:r>
              <w:rPr>
                <w:b w:val="0"/>
                <w:bCs w:val="0"/>
              </w:rPr>
            </w:r>
            <w:r>
              <w:rPr>
                <w:b w:val="0"/>
                <w:bCs w:val="0"/>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Tàn sản nằm tại xã Trạm Thản, tỉnh Phú Thọ. Cách QL2 khoảng 3,4km</w:t>
            </w:r>
            <w:r>
              <w:rPr>
                <w:b w:val="0"/>
                <w:bCs w:val="0"/>
              </w:rPr>
            </w:r>
            <w:r>
              <w:rPr>
                <w:b w:val="0"/>
                <w:bCs w:val="0"/>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Tàn sản nằm tại xã Trạm Thản, tỉnh Phú Thọ. Cách QL2 khoảng 100m</w:t>
            </w:r>
            <w:r>
              <w:rPr>
                <w:b w:val="0"/>
                <w:bCs w:val="0"/>
              </w:rPr>
            </w:r>
            <w:r>
              <w:rPr>
                <w:b w:val="0"/>
                <w:bCs w:val="0"/>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2336,1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130,5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184,5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63,9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6,2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5,28</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21,05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22,76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34,94</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480.000.000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279.000.000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408.000.000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251.100.000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442.000.000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408.000.000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251.100.000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442.000.000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tcPr>
          <w:p>
            <w:pPr>
              <w:pBdr/>
              <w:spacing/>
              <w:ind/>
              <w:jc w:val="center"/>
              <w:rPr>
                <w:color w:val="000000"/>
                <w:sz w:val="22"/>
                <w:szCs w:val="22"/>
              </w:rPr>
            </w:pPr>
            <w:r>
              <w:rPr>
                <w:color w:val="000000" w:themeColor="text1"/>
                <w:sz w:val="22"/>
                <w:szCs w:val="22"/>
              </w:rPr>
              <w:t xml:space="preserve">3.126.437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2.005.591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2.395.664</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8"/>
        <w:numPr>
          <w:ilvl w:val="0"/>
          <w:numId w:val="43"/>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408.000.000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251.100.000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442.000.000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3.126.437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2.005.591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2.395.664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3.126.437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2.005.591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2.395.664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468.966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401.118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718.699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3.595.403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2.406.709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3.114.363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3.595.403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2.406.709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3.114.363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Tàn sản nằm tại xã Trạm Thản, tỉnh Phú Thọ. Cách QL2 khoảng 300m</w:t>
            </w:r>
            <w:r>
              <w:rPr>
                <w:b w:val="0"/>
                <w:bCs w:val="0"/>
              </w:rPr>
            </w:r>
            <w:r>
              <w:rPr>
                <w:b w:val="0"/>
                <w:bCs w:val="0"/>
              </w:rPr>
            </w:r>
          </w:p>
        </w:tc>
        <w:tc>
          <w:tcPr>
            <w:shd w:val="clear" w:color="000000" w:fill="ffffff"/>
            <w:tcBorders/>
            <w:tcW w:w="152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Tàn sản nằm tại xã Trạm Thản, tỉnh Phú Thọ. Cách QL2 khoảng 100m</w:t>
            </w:r>
            <w:r>
              <w:rPr>
                <w:b w:val="0"/>
                <w:bCs w:val="0"/>
              </w:rPr>
            </w:r>
            <w:r>
              <w:rPr>
                <w:b w:val="0"/>
                <w:bCs w:val="0"/>
              </w:rPr>
            </w:r>
          </w:p>
        </w:tc>
        <w:tc>
          <w:tcPr>
            <w:shd w:val="clear" w:color="000000" w:fill="ffffff"/>
            <w:tcBorders/>
            <w:tcW w:w="152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Tàn sản nằm tại xã Trạm Thản, tỉnh Phú Thọ. Cách QL2 khoảng 3,4km</w:t>
            </w:r>
            <w:r>
              <w:rPr>
                <w:b w:val="0"/>
                <w:bCs w:val="0"/>
              </w:rPr>
            </w:r>
            <w:r>
              <w:rPr>
                <w:b w:val="0"/>
                <w:bCs w:val="0"/>
              </w:rPr>
            </w:r>
          </w:p>
        </w:tc>
        <w:tc>
          <w:tcPr>
            <w:shd w:val="clear" w:color="000000" w:fill="ffffff"/>
            <w:tcBorders/>
            <w:tcW w:w="152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Tàn sản nằm tại xã Trạm Thản, tỉnh Phú Thọ. Cách QL2 khoảng 100m</w:t>
            </w:r>
            <w:r>
              <w:rPr>
                <w:b w:val="0"/>
                <w:bCs w:val="0"/>
              </w:rPr>
            </w:r>
            <w:r>
              <w:rPr>
                <w:b w:val="0"/>
                <w:bCs w:val="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401.118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3.595.403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2.807.827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3.114.363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3.595.403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2.807.827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3.114.363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3.595.403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2.807.827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3.114.363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2336,1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w:t>
            </w: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-250.115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-160.447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-143.740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3.345.288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2.647.380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2.970.623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312.644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160.447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191.653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3.657.932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2.807.827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3.162.276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34,94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71.870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3.657.932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2.807.827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3.234.146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3.657.932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2.807.827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3.234.146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-156.322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-100.280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3.501.610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2.707.547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3.234.146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3.501.610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2.707.547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3.234.146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3.147.768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1.188.047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1.223.410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1.125.962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375.173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701.956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838.482</w:t>
            </w:r>
            <w:r>
              <w:rPr>
                <w:sz w:val="22"/>
                <w:szCs w:val="22"/>
              </w:rPr>
            </w:r>
            <w:r>
              <w:rPr>
                <w:sz w:val="22"/>
                <w:szCs w:val="22"/>
              </w:rPr>
            </w:r>
          </w:p>
        </w:tc>
      </w:tr>
    </w:tbl>
    <w:p>
      <w:pPr>
        <w:pBdr/>
        <w:spacing w:after="120" w:before="120" w:line="276" w:lineRule="auto"/>
        <w:ind/>
        <w:jc w:val="both"/>
        <w:rPr>
          <w:b/>
          <w:bCs/>
          <w:i/>
          <w:iCs/>
        </w:rPr>
      </w:pP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-13,99</w:t>
      </w:r>
      <w:r>
        <w:t xml:space="preserve">% đến</w:t>
      </w:r>
      <w:r>
        <w:t xml:space="preserve"> </w:t>
      </w:r>
      <w:r>
        <w:t xml:space="preserve"> </w:t>
      </w:r>
      <w:r>
        <w:t xml:space="preserve">11,24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000000" w:sz="4" w:space="0"/>
              <w:left w:val="single" w:color="000000" w:sz="4" w:space="0"/>
              <w:bottom w:val="single" w:color="000000" w:sz="4" w:space="0"/>
              <w:right w:val="single" w:color="000000"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pPr>
              <w:pBdr/>
              <w:spacing/>
              <w:ind/>
              <w:jc w:val="center"/>
              <w:rPr>
                <w:color w:val="000000"/>
              </w:rPr>
            </w:pPr>
            <w:r>
              <w:rPr>
                <w:color w:val="000000"/>
              </w:rPr>
              <w:t xml:space="preserve">3.501.610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pPr>
              <w:pBdr/>
              <w:spacing/>
              <w:ind/>
              <w:jc w:val="center"/>
              <w:rPr>
                <w:color w:val="000000"/>
              </w:rPr>
            </w:pPr>
            <w:r>
              <w:rPr>
                <w:color w:val="000000"/>
              </w:rPr>
              <w:t xml:space="preserve">1.167.437</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pPr>
              <w:pBdr/>
              <w:spacing/>
              <w:ind/>
              <w:jc w:val="center"/>
              <w:rPr>
                <w:color w:val="000000"/>
              </w:rPr>
            </w:pPr>
            <w:r>
              <w:rPr>
                <w:color w:val="000000"/>
              </w:rPr>
              <w:t xml:space="preserve">2.707.547</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pPr>
              <w:pBdr/>
              <w:spacing/>
              <w:ind/>
              <w:jc w:val="center"/>
              <w:rPr>
                <w:color w:val="000000"/>
              </w:rPr>
            </w:pPr>
            <w:r>
              <w:rPr>
                <w:color w:val="000000"/>
              </w:rPr>
              <w:t xml:space="preserve">902.425</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pPr>
              <w:pBdr/>
              <w:spacing/>
              <w:ind/>
              <w:jc w:val="center"/>
              <w:rPr>
                <w:color w:val="000000"/>
              </w:rPr>
            </w:pPr>
            <w:r>
              <w:rPr>
                <w:color w:val="000000"/>
              </w:rPr>
              <w:t xml:space="preserve">3.234.146</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pPr>
              <w:pBdr/>
              <w:spacing/>
              <w:ind/>
              <w:jc w:val="center"/>
              <w:rPr>
                <w:color w:val="000000"/>
              </w:rPr>
            </w:pPr>
            <w:r>
              <w:rPr>
                <w:color w:val="000000"/>
              </w:rPr>
              <w:t xml:space="preserve">1.077.941</w:t>
            </w:r>
            <w:r>
              <w:rPr>
                <w:color w:val="000000"/>
              </w:rPr>
            </w:r>
            <w:r>
              <w:rPr>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3.147.803</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3.100.000</w:t>
            </w:r>
            <w:r>
              <w:rPr>
                <w:b/>
                <w:bCs/>
                <w:color w:val="000000"/>
              </w:rPr>
            </w:r>
            <w:r>
              <w:rPr>
                <w:b/>
                <w:bCs/>
                <w:color w:val="000000"/>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3.100.000</w:t>
      </w:r>
      <w:r>
        <w:rPr>
          <w:b/>
          <w:bCs/>
          <w:color w:val="000000" w:themeColor="text1"/>
        </w:rPr>
        <w:t xml:space="preserve"> </w:t>
      </w:r>
      <w:r>
        <w:rPr>
          <w:b/>
          <w:bCs/>
        </w:rPr>
        <w:t xml:space="preserve">đồng/m².</w:t>
      </w:r>
      <w:r>
        <w:rPr>
          <w:b/>
          <w:bCs/>
        </w:rPr>
      </w:r>
      <w:r>
        <w:rPr>
          <w:b/>
          <w:bCs/>
          <w:highlight w:val="none"/>
        </w:rPr>
      </w:r>
    </w:p>
    <w:p>
      <w:pPr>
        <w:pBdr/>
        <w:spacing w:after="120" w:before="120" w:line="276" w:lineRule="auto"/>
        <w:ind/>
        <w:jc w:val="both"/>
        <w:rPr>
          <w:b w:val="0"/>
          <w:bCs w:val="0"/>
        </w:rPr>
      </w:pPr>
      <w:r>
        <w:rPr>
          <w:b/>
          <w:bCs/>
          <w:highlight w:val="none"/>
        </w:rPr>
        <w:t xml:space="preserve">Tổng giá trị đất ở: </w:t>
      </w:r>
      <w:r>
        <w:rPr>
          <w:b w:val="0"/>
          <w:bCs w:val="0"/>
          <w:highlight w:val="none"/>
        </w:rPr>
        <w:t xml:space="preserve">3.100.000*400 = </w:t>
      </w:r>
      <w:r>
        <w:rPr>
          <w:b w:val="0"/>
          <w:bCs w:val="0"/>
          <w:highlight w:val="none"/>
        </w:rPr>
        <w:t xml:space="preserve">1.240.000.000</w:t>
      </w:r>
      <w:r>
        <w:rPr>
          <w:b w:val="0"/>
          <w:bCs w:val="0"/>
          <w:highlight w:val="none"/>
        </w:rPr>
        <w:t xml:space="preserve"> đồng</w:t>
      </w:r>
      <w:r>
        <w:rPr>
          <w:b w:val="0"/>
          <w:bCs w:val="0"/>
          <w:highlight w:val="none"/>
        </w:rPr>
      </w:r>
      <w:r>
        <w:rPr>
          <w:b w:val="0"/>
          <w:bCs w:val="0"/>
        </w:rPr>
      </w:r>
    </w:p>
    <w:p>
      <w:pPr>
        <w:pBdr/>
        <w:spacing w:after="120" w:before="120" w:line="276" w:lineRule="auto"/>
        <w:ind/>
        <w:jc w:val="both"/>
        <w:rPr>
          <w:b/>
          <w:bCs/>
        </w:rPr>
      </w:pPr>
      <w:r>
        <w:rPr>
          <w:b/>
          <w:bCs/>
        </w:rPr>
        <w:t xml:space="preserve">3. </w:t>
      </w:r>
      <w:r>
        <w:rPr>
          <w:rFonts w:ascii="Times New Roman" w:hAnsi="Times New Roman" w:eastAsia="Times New Roman" w:cs="Times New Roman"/>
          <w:b/>
          <w:color w:val="000000"/>
          <w:sz w:val="24"/>
        </w:rPr>
        <w:t xml:space="preserve">Xác định đơn giá quyền sử dụng đất nông nghiệp (</w:t>
      </w:r>
      <w:r>
        <w:rPr>
          <w:rFonts w:ascii="Times New Roman" w:hAnsi="Times New Roman" w:eastAsia="Times New Roman" w:cs="Times New Roman"/>
          <w:b w:val="0"/>
          <w:bCs w:val="0"/>
          <w:color w:val="000000"/>
          <w:sz w:val="24"/>
        </w:rPr>
        <w:t xml:space="preserve">Đất chuyên trồng lúa: 2.349m2; Đất trồng cây lâu năm: 4.786,6m2</w:t>
      </w:r>
      <w:r>
        <w:rPr>
          <w:rFonts w:ascii="Times New Roman" w:hAnsi="Times New Roman" w:eastAsia="Times New Roman" w:cs="Times New Roman"/>
          <w:b/>
          <w:color w:val="000000"/>
          <w:sz w:val="24"/>
        </w:rPr>
        <w:t xml:space="preserve">):</w:t>
      </w:r>
      <w:r>
        <w:rPr>
          <w:b/>
          <w:bCs/>
        </w:rPr>
      </w:r>
      <w:r>
        <w:rPr>
          <w:b/>
          <w:bCs/>
        </w:rP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Tổng giá trị </w:t>
      </w:r>
      <w:r>
        <w:rPr>
          <w:rFonts w:ascii="Times New Roman" w:hAnsi="Times New Roman" w:eastAsia="Times New Roman" w:cs="Times New Roman"/>
          <w:b w:val="0"/>
          <w:bCs w:val="0"/>
          <w:color w:val="000000"/>
          <w:sz w:val="24"/>
        </w:rPr>
        <w:t xml:space="preserve">Đất chuyên trồng lúa: 2.349m2; Đất trồng cây lâu năm: 4.786,6m2</w:t>
      </w:r>
      <w:r>
        <w:rPr>
          <w:rFonts w:ascii="Times New Roman" w:hAnsi="Times New Roman" w:eastAsia="Times New Roman" w:cs="Times New Roman"/>
          <w:color w:val="000000"/>
          <w:sz w:val="24"/>
        </w:rPr>
        <w:t xml:space="preserve"> = Tổng giá trị tài sản thẩm định – Tổng giá trị đất ở = </w:t>
      </w:r>
      <w:r>
        <w:rPr>
          <w:rFonts w:ascii="Times New Roman" w:hAnsi="Times New Roman" w:eastAsia="Times New Roman" w:cs="Times New Roman"/>
          <w:color w:val="000000"/>
          <w:sz w:val="24"/>
        </w:rPr>
        <w:t xml:space="preserve">2.411.392.000</w:t>
      </w:r>
      <w:r>
        <w:rPr>
          <w:rFonts w:ascii="Times New Roman" w:hAnsi="Times New Roman" w:eastAsia="Times New Roman" w:cs="Times New Roman"/>
          <w:color w:val="000000"/>
          <w:sz w:val="24"/>
        </w:rPr>
        <w:t xml:space="preserve"> - 410.000.000 = </w:t>
      </w:r>
      <w:r>
        <w:rPr>
          <w:rFonts w:ascii="Times New Roman" w:hAnsi="Times New Roman" w:eastAsia="Times New Roman" w:cs="Times New Roman"/>
          <w:color w:val="000000"/>
          <w:sz w:val="24"/>
        </w:rPr>
        <w:t xml:space="preserve">1.171.392.000</w:t>
      </w:r>
      <w:r>
        <w:rPr>
          <w:rFonts w:ascii="Times New Roman" w:hAnsi="Times New Roman" w:eastAsia="Times New Roman" w:cs="Times New Roman"/>
          <w:color w:val="000000"/>
          <w:sz w:val="24"/>
        </w:rPr>
        <w:t xml:space="preserve"> (đồng)</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Segoe UI Symbol" w:hAnsi="Segoe UI Symbol" w:eastAsia="Segoe UI Symbol" w:cs="Segoe UI Symbol"/>
          <w:color w:val="000000"/>
          <w:sz w:val="24"/>
        </w:rPr>
        <w:t xml:space="preserve">➢</w:t>
      </w:r>
      <w:r>
        <w:rPr>
          <w:rFonts w:ascii="Times New Roman" w:hAnsi="Times New Roman" w:eastAsia="Times New Roman" w:cs="Times New Roman"/>
          <w:color w:val="000000"/>
          <w:sz w:val="24"/>
        </w:rPr>
        <w:t xml:space="preserve"> Đơn giá đất trồng cây lâu năm = </w:t>
      </w:r>
      <w:r>
        <w:rPr>
          <w:rFonts w:ascii="Times New Roman" w:hAnsi="Times New Roman" w:eastAsia="Times New Roman" w:cs="Times New Roman"/>
          <w:color w:val="000000"/>
          <w:sz w:val="24"/>
        </w:rPr>
        <w:t xml:space="preserve">1.171.392.000</w:t>
      </w:r>
      <w:r>
        <w:rPr>
          <w:rFonts w:ascii="Times New Roman" w:hAnsi="Times New Roman" w:eastAsia="Times New Roman" w:cs="Times New Roman"/>
          <w:color w:val="000000"/>
          <w:sz w:val="24"/>
        </w:rPr>
        <w:t xml:space="preserve">/7.135,6= 164,162 đồng/m2 (đơn giá đã làm tròn)</w:t>
      </w:r>
      <w:r/>
    </w:p>
    <w:p>
      <w:pPr>
        <w:pStyle w:val="1038"/>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8"/>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Style w:val="104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6"/>
        <w:gridCol w:w="2884"/>
        <w:gridCol w:w="2156"/>
        <w:gridCol w:w="1964"/>
        <w:gridCol w:w="1808"/>
      </w:tblGrid>
      <w:tr>
        <w:trPr>
          <w:trHeight w:val="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TT</w:t>
            </w:r>
            <w:r>
              <w:rPr>
                <w:b/>
                <w:bCs/>
              </w:rPr>
            </w:r>
            <w:r>
              <w:rPr>
                <w:b/>
                <w:bCs/>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884"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Tài sản</w:t>
            </w:r>
            <w:r>
              <w:rPr>
                <w:b/>
                <w:bCs/>
              </w:rPr>
            </w:r>
            <w:r>
              <w:rPr>
                <w:b/>
                <w:bCs/>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56"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Diện tích (m²)</w:t>
            </w:r>
            <w:r>
              <w:rPr>
                <w:b/>
                <w:bCs/>
              </w:rPr>
            </w:r>
            <w:r>
              <w:rPr>
                <w:b/>
                <w:bCs/>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64"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Đơn giá (đồng/m²)</w:t>
            </w:r>
            <w:r>
              <w:rPr>
                <w:b/>
                <w:bCs/>
              </w:rPr>
            </w:r>
            <w:r>
              <w:rPr>
                <w:b/>
                <w:bCs/>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Thành tiền (đồng)</w:t>
            </w:r>
            <w:r>
              <w:rPr>
                <w:b/>
                <w:bCs/>
              </w:rPr>
            </w:r>
            <w:r>
              <w:rPr>
                <w:b/>
                <w:bCs/>
              </w:rP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 </w:t>
            </w:r>
            <w:r>
              <w:rPr>
                <w:b/>
                <w:bCs/>
              </w:rPr>
            </w:r>
            <w:r>
              <w:rPr>
                <w:b/>
                <w:bCs/>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004" w:type="dxa"/>
            <w:vAlign w:val="center"/>
            <w:textDirection w:val="lrTb"/>
            <w:noWrap w:val="false"/>
          </w:tcPr>
          <w:p>
            <w:pPr>
              <w:pBdr/>
              <w:spacing w:after="0" w:before="0" w:line="240" w:lineRule="auto"/>
              <w:ind/>
              <w:jc w:val="left"/>
              <w:rPr>
                <w:b w:val="0"/>
                <w:bCs w:val="0"/>
              </w:rPr>
            </w:pPr>
            <w:r>
              <w:rPr>
                <w:rFonts w:ascii="Times New Roman" w:hAnsi="Times New Roman" w:eastAsia="Times New Roman" w:cs="Times New Roman"/>
                <w:b w:val="0"/>
                <w:bCs w:val="0"/>
                <w:color w:val="000000"/>
                <w:sz w:val="24"/>
              </w:rPr>
              <w:t xml:space="preserve">Quyền sử dụng đất tại các thửa đất có địa chỉ xã Trạm Thản, tỉnh Phú Thọ, bao gồm:</w:t>
              <w:br/>
              <w:t xml:space="preserve">+ Thửa đất số: 59, tờ bản đồ số  48 (xã Trạm Thản cũ) theo Giấy chứng nhận quyền sử dụng đất quyền sở hữu tài sản gắn liền với đất số: AA 07694667, số vào sổ cấp GCN: CN 794</w:t>
            </w:r>
            <w:r>
              <w:rPr>
                <w:rFonts w:ascii="Times New Roman" w:hAnsi="Times New Roman" w:eastAsia="Times New Roman" w:cs="Times New Roman"/>
                <w:b w:val="0"/>
                <w:bCs w:val="0"/>
                <w:color w:val="000000"/>
                <w:sz w:val="24"/>
              </w:rPr>
              <w:t xml:space="preserve">9 do Chi nhánh văn phòng đăng kí đất đai Phù Ninh cấp ngày 01/4/2026; Chủ sử dụng đất là ông Nguyễn Văn Thái;</w:t>
              <w:br/>
              <w:t xml:space="preserve">+ Thửa đất số: 32, tờ bản đồ số  48 (xã Trạm Thản cũ) theo Giấy chứng nhận quyền sử dụng đất quyền sở hữu tài sản gắn liền với đất số: AA 07694666</w:t>
            </w:r>
            <w:r>
              <w:rPr>
                <w:rFonts w:ascii="Times New Roman" w:hAnsi="Times New Roman" w:eastAsia="Times New Roman" w:cs="Times New Roman"/>
                <w:b w:val="0"/>
                <w:bCs w:val="0"/>
                <w:color w:val="000000"/>
                <w:sz w:val="24"/>
              </w:rPr>
              <w:t xml:space="preserve">, số vào sổ cấp GCN: CN 7948 do Chi nhánh văn phòng đăng ký đất đai Phù Ninh cấp ngày 01/04/2026; Chủ sử dụng đất là Ông Nguyễn Văn Thái;</w:t>
              <w:br/>
              <w:t xml:space="preserve">+ Thửa đất số: 352, tờ bản đồ số  36 (xã Trạm Thản cũ); thửa đất số 34, tờ bản đồ số: 48 (xã Trạm Thản cũ); thửa đất s</w:t>
            </w:r>
            <w:r>
              <w:rPr>
                <w:rFonts w:ascii="Times New Roman" w:hAnsi="Times New Roman" w:eastAsia="Times New Roman" w:cs="Times New Roman"/>
                <w:b w:val="0"/>
                <w:bCs w:val="0"/>
                <w:color w:val="000000"/>
                <w:sz w:val="24"/>
              </w:rPr>
              <w:t xml:space="preserve">ố 35, tờ bản đồ số: 48 (xã Trạm Thản cũ); thửa đất số 36, tờ bản đồ số: 48 (xã Trạm Thản cũ); thửa đất số 37, tờ bản đồ số: 48 (xã Trạm Thản cũ); thửa đất số 42, tờ bản đồ số: 48 (xã Trạm Thản cũ); thửa đất số 43, tờ bản đồ số: 48 (xã Trạm Thản cũ); thửa đ</w:t>
            </w:r>
            <w:r>
              <w:rPr>
                <w:rFonts w:ascii="Times New Roman" w:hAnsi="Times New Roman" w:eastAsia="Times New Roman" w:cs="Times New Roman"/>
                <w:b w:val="0"/>
                <w:bCs w:val="0"/>
                <w:color w:val="000000"/>
                <w:sz w:val="24"/>
              </w:rPr>
              <w:t xml:space="preserve">ất số 44, tờ bản đồ số: 48 (xã Trạm Thản cũ); thửa đất số 45, tờ bản đồ số: 48 (xã Trạm Thản cũ); thửa đất số 46, tờ bản đồ số: 48 (xã Trạm Thản cũ); thửa đất số 52, tờ bản đồ số: 48 (xã Trạm Thản cũ); thửa đất số 106-4, tờ bản đồ số: 49 (xã Trạm Thản cũ) </w:t>
            </w:r>
            <w:r>
              <w:rPr>
                <w:rFonts w:ascii="Times New Roman" w:hAnsi="Times New Roman" w:eastAsia="Times New Roman" w:cs="Times New Roman"/>
                <w:b w:val="0"/>
                <w:bCs w:val="0"/>
                <w:color w:val="000000"/>
                <w:sz w:val="24"/>
              </w:rPr>
              <w:t xml:space="preserve"> theo Giấy chứng nhận quyền sử dụng đất quyền sở hữu tài sản gắn liền với đất số: AA 07694674, số vào sổ cấp GCN: CN 7956 do Chi nhánh văn phòng đăng ký đất đai Phù Ninh cấp ngày 01/04/2026; Chủ sử dụng đất là Ông Nguyễn Văn Thái.</w:t>
            </w:r>
            <w:r>
              <w:rPr>
                <w:b w:val="0"/>
                <w:bCs w:val="0"/>
              </w:rPr>
            </w:r>
            <w:r>
              <w:rPr>
                <w:b w:val="0"/>
                <w:bCs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1808" w:type="dxa"/>
            <w:vAlign w:val="center"/>
            <w:textDirection w:val="lrTb"/>
            <w:noWrap w:val="false"/>
          </w:tcPr>
          <w:p>
            <w:pPr>
              <w:pBdr/>
              <w:spacing w:after="0" w:before="0" w:line="240" w:lineRule="auto"/>
              <w:ind/>
              <w:jc w:val="right"/>
              <w:rPr>
                <w:b/>
                <w:bCs/>
              </w:rPr>
            </w:pPr>
            <w:r>
              <w:rPr>
                <w:rFonts w:ascii="Times New Roman" w:hAnsi="Times New Roman" w:eastAsia="Times New Roman" w:cs="Times New Roman"/>
                <w:b/>
                <w:bCs/>
                <w:color w:val="000000"/>
                <w:sz w:val="24"/>
              </w:rPr>
              <w:t xml:space="preserve"> </w:t>
            </w:r>
            <w:r>
              <w:rPr>
                <w:b/>
                <w:bCs/>
              </w:rPr>
            </w:r>
            <w:r>
              <w:rPr>
                <w:b/>
                <w:bCs/>
              </w:rP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4"/>
              </w:rPr>
              <w:t xml:space="preserve">01</w:t>
            </w:r>
            <w:r>
              <w:rPr>
                <w:b w:val="0"/>
                <w:bCs w:val="0"/>
              </w:rPr>
            </w:r>
            <w:r>
              <w:rPr>
                <w:b w:val="0"/>
                <w:bCs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2884" w:type="dxa"/>
            <w:vAlign w:val="center"/>
            <w:textDirection w:val="lrTb"/>
            <w:noWrap w:val="false"/>
          </w:tcPr>
          <w:p>
            <w:pPr>
              <w:pBdr/>
              <w:spacing w:after="0" w:before="0" w:line="240" w:lineRule="auto"/>
              <w:ind/>
              <w:rPr>
                <w:b w:val="0"/>
                <w:bCs w:val="0"/>
              </w:rPr>
            </w:pPr>
            <w:r>
              <w:rPr>
                <w:rFonts w:ascii="Times New Roman" w:hAnsi="Times New Roman" w:eastAsia="Times New Roman" w:cs="Times New Roman"/>
                <w:b w:val="0"/>
                <w:bCs w:val="0"/>
                <w:color w:val="000000"/>
                <w:sz w:val="24"/>
              </w:rPr>
              <w:t xml:space="preserve">Quyền sử dụng đất ở (400m2)</w:t>
            </w:r>
            <w:r>
              <w:rPr>
                <w:b w:val="0"/>
                <w:bCs w:val="0"/>
              </w:rPr>
            </w:r>
            <w:r>
              <w:rPr>
                <w:b w:val="0"/>
                <w:bCs w:val="0"/>
              </w:rPr>
            </w:r>
          </w:p>
        </w:tc>
        <w:tc>
          <w:tcPr>
            <w:tcBorders>
              <w:bottom w:val="single" w:color="000000" w:sz="5" w:space="0"/>
              <w:right w:val="single" w:color="000000" w:sz="5" w:space="0"/>
            </w:tcBorders>
            <w:tcMar>
              <w:left w:w="0" w:type="dxa"/>
              <w:top w:w="0" w:type="dxa"/>
              <w:right w:w="0" w:type="dxa"/>
              <w:bottom w:w="0" w:type="dxa"/>
            </w:tcMar>
            <w:tcW w:w="2156" w:type="dxa"/>
            <w:vAlign w:val="center"/>
            <w:textDirection w:val="lrTb"/>
            <w:noWrap/>
          </w:tcPr>
          <w:p>
            <w:pPr>
              <w:pBdr/>
              <w:spacing w:after="0" w:before="0" w:line="240" w:lineRule="auto"/>
              <w:ind/>
              <w:rPr>
                <w:b w:val="0"/>
                <w:bCs w:val="0"/>
              </w:rPr>
            </w:pPr>
            <w:r>
              <w:rPr>
                <w:rFonts w:ascii="Times New Roman" w:hAnsi="Times New Roman" w:eastAsia="Times New Roman" w:cs="Times New Roman"/>
                <w:b w:val="0"/>
                <w:bCs w:val="0"/>
                <w:color w:val="000000"/>
                <w:sz w:val="24"/>
              </w:rPr>
              <w:t xml:space="preserve">                        400,0 </w:t>
            </w:r>
            <w:r>
              <w:rPr>
                <w:b w:val="0"/>
                <w:bCs w:val="0"/>
              </w:rPr>
            </w:r>
            <w:r>
              <w:rPr>
                <w:b w:val="0"/>
                <w:bCs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196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4"/>
              </w:rPr>
              <w:t xml:space="preserve">           3.100.000 </w:t>
            </w:r>
            <w:r>
              <w:rPr>
                <w:b w:val="0"/>
                <w:bCs w:val="0"/>
              </w:rPr>
            </w:r>
            <w:r>
              <w:rPr>
                <w:b w:val="0"/>
                <w:bCs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1808" w:type="dxa"/>
            <w:vAlign w:val="center"/>
            <w:textDirection w:val="lrTb"/>
            <w:noWrap w:val="false"/>
          </w:tcPr>
          <w:p>
            <w:pPr>
              <w:pBdr/>
              <w:spacing w:after="0" w:before="0" w:line="240" w:lineRule="auto"/>
              <w:ind/>
              <w:jc w:val="right"/>
              <w:rPr>
                <w:b w:val="0"/>
                <w:bCs w:val="0"/>
              </w:rPr>
            </w:pPr>
            <w:r>
              <w:rPr>
                <w:rFonts w:ascii="Times New Roman" w:hAnsi="Times New Roman" w:eastAsia="Times New Roman" w:cs="Times New Roman"/>
                <w:b w:val="0"/>
                <w:bCs w:val="0"/>
                <w:color w:val="000000"/>
                <w:sz w:val="24"/>
              </w:rPr>
              <w:t xml:space="preserve">1.240.000.000</w:t>
            </w:r>
            <w:r>
              <w:rPr>
                <w:b w:val="0"/>
                <w:bCs w:val="0"/>
              </w:rPr>
            </w:r>
            <w:r>
              <w:rPr>
                <w:b w:val="0"/>
                <w:bCs w:val="0"/>
              </w:rP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4"/>
              </w:rPr>
              <w:t xml:space="preserve">02</w:t>
            </w:r>
            <w:r>
              <w:rPr>
                <w:b w:val="0"/>
                <w:bCs w:val="0"/>
              </w:rPr>
            </w:r>
            <w:r>
              <w:rPr>
                <w:b w:val="0"/>
                <w:bCs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2884" w:type="dxa"/>
            <w:vAlign w:val="center"/>
            <w:textDirection w:val="lrTb"/>
            <w:noWrap w:val="false"/>
          </w:tcPr>
          <w:p>
            <w:pPr>
              <w:pBdr/>
              <w:spacing w:after="0" w:before="0" w:line="240" w:lineRule="auto"/>
              <w:ind/>
              <w:rPr>
                <w:b w:val="0"/>
                <w:bCs w:val="0"/>
              </w:rPr>
            </w:pPr>
            <w:r>
              <w:rPr>
                <w:rFonts w:ascii="Times New Roman" w:hAnsi="Times New Roman" w:eastAsia="Times New Roman" w:cs="Times New Roman"/>
                <w:b w:val="0"/>
                <w:bCs w:val="0"/>
                <w:color w:val="000000"/>
                <w:sz w:val="24"/>
              </w:rPr>
              <w:t xml:space="preserve">Quyền sử dụng đất cây nông nghiệp (Đất chuyên trồng lúa: 2.349m2; Đất trồng cây lâu năm: 4.786,6m2)</w:t>
            </w:r>
            <w:r>
              <w:rPr>
                <w:b w:val="0"/>
                <w:bCs w:val="0"/>
              </w:rPr>
            </w:r>
            <w:r>
              <w:rPr>
                <w:b w:val="0"/>
                <w:bCs w:val="0"/>
              </w:rPr>
            </w:r>
          </w:p>
        </w:tc>
        <w:tc>
          <w:tcPr>
            <w:tcBorders>
              <w:bottom w:val="single" w:color="000000" w:sz="5" w:space="0"/>
              <w:right w:val="single" w:color="000000" w:sz="5" w:space="0"/>
            </w:tcBorders>
            <w:tcMar>
              <w:left w:w="0" w:type="dxa"/>
              <w:top w:w="0" w:type="dxa"/>
              <w:right w:w="0" w:type="dxa"/>
              <w:bottom w:w="0" w:type="dxa"/>
            </w:tcMar>
            <w:tcW w:w="2156" w:type="dxa"/>
            <w:vAlign w:val="center"/>
            <w:textDirection w:val="lrTb"/>
            <w:noWrap/>
          </w:tcPr>
          <w:p>
            <w:pPr>
              <w:pBdr/>
              <w:spacing w:after="0" w:before="0" w:line="240" w:lineRule="auto"/>
              <w:ind/>
              <w:rPr>
                <w:b w:val="0"/>
                <w:bCs w:val="0"/>
              </w:rPr>
            </w:pPr>
            <w:r>
              <w:rPr>
                <w:rFonts w:ascii="Times New Roman" w:hAnsi="Times New Roman" w:eastAsia="Times New Roman" w:cs="Times New Roman"/>
                <w:b w:val="0"/>
                <w:bCs w:val="0"/>
                <w:color w:val="000000"/>
                <w:sz w:val="24"/>
              </w:rPr>
              <w:t xml:space="preserve">                     7.135,6 </w:t>
            </w:r>
            <w:r>
              <w:rPr>
                <w:b w:val="0"/>
                <w:bCs w:val="0"/>
              </w:rPr>
            </w:r>
            <w:r>
              <w:rPr>
                <w:b w:val="0"/>
                <w:bCs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196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4"/>
              </w:rPr>
              <w:t xml:space="preserve">              164.162 </w:t>
            </w:r>
            <w:r>
              <w:rPr>
                <w:b w:val="0"/>
                <w:bCs w:val="0"/>
              </w:rPr>
            </w:r>
            <w:r>
              <w:rPr>
                <w:b w:val="0"/>
                <w:bCs w:val="0"/>
              </w:rPr>
            </w:r>
          </w:p>
        </w:tc>
        <w:tc>
          <w:tcPr>
            <w:shd w:val="clear" w:color="ffffff" w:fill="ffffff"/>
            <w:tcBorders>
              <w:bottom w:val="single" w:color="000000" w:sz="5" w:space="0"/>
              <w:right w:val="single" w:color="000000" w:sz="5" w:space="0"/>
            </w:tcBorders>
            <w:tcMar>
              <w:left w:w="0" w:type="dxa"/>
              <w:top w:w="0" w:type="dxa"/>
              <w:right w:w="0" w:type="dxa"/>
              <w:bottom w:w="0" w:type="dxa"/>
            </w:tcMar>
            <w:tcW w:w="1808" w:type="dxa"/>
            <w:vAlign w:val="center"/>
            <w:textDirection w:val="lrTb"/>
            <w:noWrap w:val="false"/>
          </w:tcPr>
          <w:p>
            <w:pPr>
              <w:pBdr/>
              <w:spacing w:after="0" w:before="0" w:line="240" w:lineRule="auto"/>
              <w:ind/>
              <w:jc w:val="right"/>
              <w:rPr>
                <w:b w:val="0"/>
                <w:bCs w:val="0"/>
              </w:rPr>
            </w:pPr>
            <w:r>
              <w:rPr>
                <w:rFonts w:ascii="Times New Roman" w:hAnsi="Times New Roman" w:eastAsia="Times New Roman" w:cs="Times New Roman"/>
                <w:b w:val="0"/>
                <w:bCs w:val="0"/>
                <w:color w:val="000000"/>
                <w:sz w:val="24"/>
              </w:rPr>
              <w:t xml:space="preserve">1.171.394.367</w:t>
            </w:r>
            <w:r>
              <w:rPr>
                <w:b w:val="0"/>
                <w:bCs w:val="0"/>
              </w:rPr>
            </w:r>
            <w:r>
              <w:rPr>
                <w:b w:val="0"/>
                <w:bCs w:val="0"/>
              </w:rPr>
            </w:r>
          </w:p>
        </w:tc>
      </w:tr>
      <w:tr>
        <w:trPr>
          <w:trHeight w:val="0"/>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540"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TỔNG CỘNG</w:t>
            </w:r>
            <w:r>
              <w:rPr>
                <w:b/>
                <w:bCs/>
              </w:rPr>
            </w:r>
            <w:r>
              <w:rPr>
                <w:b/>
                <w:bCs/>
              </w:rPr>
            </w:r>
          </w:p>
        </w:tc>
        <w:tc>
          <w:tcPr>
            <w:tcBorders>
              <w:bottom w:val="single" w:color="000000" w:sz="5" w:space="0"/>
              <w:right w:val="single" w:color="000000" w:sz="5" w:space="0"/>
            </w:tcBorders>
            <w:tcMar>
              <w:left w:w="0" w:type="dxa"/>
              <w:top w:w="0" w:type="dxa"/>
              <w:right w:w="0" w:type="dxa"/>
              <w:bottom w:w="0" w:type="dxa"/>
            </w:tcMar>
            <w:tcW w:w="1808"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4"/>
              </w:rPr>
              <w:t xml:space="preserve">2.411.394.367</w:t>
            </w:r>
            <w:r>
              <w:rPr>
                <w:b/>
                <w:bCs/>
              </w:rPr>
            </w:r>
            <w:r>
              <w:rPr>
                <w:b/>
                <w:bCs/>
              </w:rPr>
            </w:r>
          </w:p>
        </w:tc>
      </w:tr>
      <w:tr>
        <w:trPr>
          <w:trHeight w:val="0"/>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540"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LÀM TRÒN</w:t>
            </w:r>
            <w:r>
              <w:rPr>
                <w:b/>
                <w:bCs/>
              </w:rPr>
            </w:r>
            <w:r>
              <w:rPr>
                <w:b/>
                <w:bCs/>
              </w:rPr>
            </w:r>
          </w:p>
        </w:tc>
        <w:tc>
          <w:tcPr>
            <w:tcBorders>
              <w:bottom w:val="single" w:color="000000" w:sz="5" w:space="0"/>
              <w:right w:val="single" w:color="000000" w:sz="5" w:space="0"/>
            </w:tcBorders>
            <w:tcMar>
              <w:left w:w="0" w:type="dxa"/>
              <w:top w:w="0" w:type="dxa"/>
              <w:right w:w="0" w:type="dxa"/>
              <w:bottom w:w="0" w:type="dxa"/>
            </w:tcMar>
            <w:tcW w:w="1808"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4"/>
              </w:rPr>
              <w:t xml:space="preserve">2.411.000.000</w:t>
            </w:r>
            <w:r>
              <w:rPr>
                <w:b/>
                <w:bCs/>
              </w:rPr>
            </w:r>
            <w:r>
              <w:rPr>
                <w:b/>
                <w:bCs/>
              </w:rPr>
            </w:r>
          </w:p>
        </w:tc>
      </w:tr>
      <w:tr>
        <w:trPr>
          <w:trHeight w:val="0"/>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348"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i/>
                <w:color w:val="000000"/>
                <w:sz w:val="24"/>
              </w:rPr>
              <w:t xml:space="preserve">(Bằng chữ: Hai tỷ bốn trăm mười một triệu đồng chẵn ./.)</w:t>
            </w:r>
            <w:r>
              <w:rPr>
                <w:b/>
                <w:bCs/>
              </w:rPr>
            </w:r>
            <w:r>
              <w:rPr>
                <w:b/>
                <w:bCs/>
              </w:rPr>
            </w:r>
          </w:p>
        </w:tc>
      </w:tr>
    </w:tbl>
    <w:p>
      <w:pPr>
        <w:pStyle w:val="1038"/>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8"/>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8"/>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8"/>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8"/>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8"/>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8"/>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8"/>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8"/>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8"/>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8"/>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8"/>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8"/>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8"/>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8"/>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8"/>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8"/>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8"/>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8"/>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8"/>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sz w:val="24"/>
        </w:rPr>
      </w:pPr>
      <w:r>
        <w:rPr>
          <w:rFonts w:ascii="Times New Roman" w:hAnsi="Times New Roman" w:eastAsia="Times New Roman" w:cs="Times New Roman"/>
          <w:color w:val="000000"/>
          <w:spacing w:val="-2"/>
          <w:sz w:val="24"/>
        </w:rPr>
        <w:t xml:space="preserve">Tài sản thẩm định giá bao gồm </w:t>
      </w:r>
      <w:r>
        <w:rPr>
          <w:rFonts w:ascii="Times New Roman" w:hAnsi="Times New Roman" w:eastAsia="Times New Roman" w:cs="Times New Roman"/>
          <w:color w:val="000000"/>
          <w:sz w:val="24"/>
        </w:rPr>
        <w:t xml:space="preserve">các </w:t>
      </w:r>
      <w:r>
        <w:rPr>
          <w:rFonts w:ascii="Times New Roman" w:hAnsi="Times New Roman" w:eastAsia="Times New Roman" w:cs="Times New Roman"/>
          <w:color w:val="000000"/>
          <w:spacing w:val="-2"/>
          <w:sz w:val="24"/>
        </w:rPr>
        <w:t xml:space="preserve">nằm tiếp tiếp giáp liền cạnh, không có mốc giới giữa các thửa đất, đồng thời có các công trình xây dựng trên các thửa đất. Được sự thống nhất của Khách hàng và Ngân hàng, tổ thẩm định gộp các </w:t>
      </w:r>
      <w:r>
        <w:rPr>
          <w:rFonts w:ascii="Times New Roman" w:hAnsi="Times New Roman" w:eastAsia="Times New Roman" w:cs="Times New Roman"/>
          <w:color w:val="000000"/>
          <w:sz w:val="24"/>
        </w:rPr>
        <w:t xml:space="preserve">thửa đất</w:t>
      </w:r>
      <w:r>
        <w:rPr>
          <w:rFonts w:ascii="Times New Roman" w:hAnsi="Times New Roman" w:eastAsia="Times New Roman" w:cs="Times New Roman"/>
          <w:color w:val="000000"/>
          <w:spacing w:val="-2"/>
          <w:sz w:val="24"/>
        </w:rPr>
        <w:t xml:space="preserve"> thành một thửa đất lớn để ước tính giá trị (diện tích trong đó diện tích đất ở tại nông thôn là </w:t>
      </w:r>
      <w:r>
        <w:rPr>
          <w:rFonts w:ascii="Times New Roman" w:hAnsi="Times New Roman" w:eastAsia="Times New Roman" w:cs="Times New Roman"/>
          <w:color w:val="000000"/>
          <w:spacing w:val="-2"/>
          <w:sz w:val="24"/>
        </w:rPr>
        <w:t xml:space="preserve">400m², diện tích </w:t>
      </w:r>
      <w:r>
        <w:rPr>
          <w:rFonts w:ascii="Times New Roman" w:hAnsi="Times New Roman" w:eastAsia="Times New Roman" w:cs="Times New Roman"/>
          <w:color w:val="000000"/>
          <w:spacing w:val="-2"/>
          <w:sz w:val="24"/>
        </w:rPr>
        <w:t xml:space="preserve">Đất chuyên trồng lúa: 2.349m2; Đất trồng cây lâu năm: 4.786,6m2</w:t>
      </w:r>
      <w:r>
        <w:rPr>
          <w:rFonts w:ascii="Times New Roman" w:hAnsi="Times New Roman" w:eastAsia="Times New Roman" w:cs="Times New Roman"/>
          <w:color w:val="000000"/>
          <w:spacing w:val="-2"/>
          <w:sz w:val="24"/>
        </w:rPr>
        <w:t xml:space="preserve">;  mặt tiền rộng </w:t>
      </w:r>
      <w:r>
        <w:rPr>
          <w:rFonts w:ascii="Times New Roman" w:hAnsi="Times New Roman" w:eastAsia="Times New Roman" w:cs="Times New Roman"/>
          <w:color w:val="000000"/>
          <w:sz w:val="24"/>
        </w:rPr>
        <w:t xml:space="preserve">63,9</w:t>
      </w:r>
      <w:r>
        <w:rPr>
          <w:rFonts w:ascii="Times New Roman" w:hAnsi="Times New Roman" w:eastAsia="Times New Roman" w:cs="Times New Roman"/>
          <w:color w:val="000000"/>
          <w:spacing w:val="-2"/>
          <w:sz w:val="24"/>
        </w:rPr>
        <w:t xml:space="preserve">m</w:t>
      </w:r>
      <w:r>
        <w:rPr>
          <w:rFonts w:ascii="Times New Roman" w:hAnsi="Times New Roman" w:eastAsia="Times New Roman" w:cs="Times New Roman"/>
          <w:color w:val="000000"/>
          <w:spacing w:val="-2"/>
          <w:sz w:val="24"/>
        </w:rPr>
        <w:t xml:space="preserve">; 01 mặt tiếp giáp đường). Kết quả thẩm định giá được nêu trong báo cáo này chỉ có giá trị trong trường hợp Ngân hàng nhận thế chấp/giải chấp đồng thời các thửa đất cấp tại 03 (ba) giấy chứng nhận nêu trên.</w:t>
      </w:r>
      <w:r>
        <w:rPr>
          <w:rFonts w:ascii="Times New Roman" w:hAnsi="Times New Roman" w:eastAsia="Times New Roman" w:cs="Times New Roman"/>
          <w:sz w:val="24"/>
        </w:rPr>
      </w:r>
      <w:r>
        <w:rPr>
          <w:rFonts w:ascii="Times New Roman" w:hAnsi="Times New Roman" w:eastAsia="Times New Roman" w:cs="Times New Roman"/>
          <w:sz w:val="24"/>
        </w:rPr>
      </w:r>
    </w:p>
    <w:p>
      <w:pPr>
        <w:pStyle w:val="1038"/>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8"/>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8"/>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8"/>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8"/>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8"/>
        <w:pBdr/>
        <w:tabs>
          <w:tab w:val="left" w:leader="none" w:pos="993"/>
        </w:tabs>
        <w:spacing w:after="120" w:before="120" w:line="288" w:lineRule="auto"/>
        <w:ind w:left="0"/>
        <w:jc w:val="both"/>
        <w:rPr>
          <w:lang w:val="vi-VN"/>
        </w:rPr>
      </w:pPr>
      <w:r>
        <w:rPr>
          <w:highlight w:val="none"/>
          <w:lang w:val="vi-VN"/>
        </w:rPr>
      </w:r>
      <w:r>
        <w:rPr>
          <w:highlight w:val="none"/>
          <w:lang w:val="vi-VN"/>
        </w:rPr>
      </w:r>
      <w:r>
        <w:rPr>
          <w:lang w:val="vi-VN"/>
        </w:rPr>
      </w:r>
    </w:p>
    <w:p>
      <w:pPr>
        <w:pStyle w:val="1038"/>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8"/>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8"/>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8"/>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8"/>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8"/>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8"/>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8"/>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8"/>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8"/>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8"/>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8"/>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8"/>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275/2026/0570/VFI-CT.39.A</w:t>
      </w:r>
      <w:r>
        <w:rPr>
          <w:color w:val="ff0000"/>
          <w:lang w:val="vi-VN"/>
        </w:rPr>
        <w:t xml:space="preserve"> </w:t>
      </w:r>
      <w:r>
        <w:rPr>
          <w:color w:val="000000" w:themeColor="text1"/>
        </w:rPr>
        <w:t xml:space="preserve">ngày 14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275/2026/0570/VFI-BC.39.A</w:t>
      </w:r>
      <w:r>
        <w:rPr>
          <w:i/>
          <w:lang w:val="pt-BR"/>
        </w:rPr>
        <w:t xml:space="preserve"> </w:t>
      </w:r>
      <w:r>
        <w:rPr>
          <w:i/>
          <w:lang w:val="pt-BR"/>
        </w:rPr>
        <w:t xml:space="preserve">14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12.5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41535" cy="258871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400920" name=""/>
                              <pic:cNvPicPr>
                                <a:picLocks noChangeAspect="1"/>
                              </pic:cNvPicPr>
                              <pic:nvPr/>
                            </pic:nvPicPr>
                            <pic:blipFill rotWithShape="1">
                              <a:blip r:embed="rId21"/>
                              <a:stretch/>
                            </pic:blipFill>
                            <pic:spPr bwMode="auto">
                              <a:xfrm flipH="0" flipV="0">
                                <a:off x="0" y="0"/>
                                <a:ext cx="1941534" cy="25887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52.88pt;height:203.8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967649" cy="262353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13304" name=""/>
                              <pic:cNvPicPr>
                                <a:picLocks noChangeAspect="1"/>
                              </pic:cNvPicPr>
                              <pic:nvPr/>
                            </pic:nvPicPr>
                            <pic:blipFill rotWithShape="1">
                              <a:blip r:embed="rId22"/>
                              <a:stretch/>
                            </pic:blipFill>
                            <pic:spPr bwMode="auto">
                              <a:xfrm flipH="0" flipV="0">
                                <a:off x="0" y="0"/>
                                <a:ext cx="1967648" cy="26235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54.93pt;height:206.58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275/2026/0570/VFI-BC.39.A</w:t>
      </w:r>
      <w:r>
        <w:rPr>
          <w:i/>
          <w:lang w:val="pt-BR"/>
        </w:rPr>
        <w:t xml:space="preserve"> ngày </w:t>
      </w:r>
      <w:r>
        <w:rPr>
          <w:i/>
          <w:lang w:val="pt-BR"/>
        </w:rPr>
        <w:t xml:space="preserve">14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https://alonhadat.com.vn/chuyen-nhuong-3ha-30-000m2-dat-o-va-dat-vuon-tai-phu-ninh-phu-tho-18167795.html</w:t>
            </w:r>
            <w:r>
              <w:rPr>
                <w:color w:val="000000" w:themeColor="text1"/>
                <w:sz w:val="22"/>
                <w:szCs w:val="22"/>
              </w:rPr>
              <w:br/>
              <w:t xml:space="preserve">0985591528</w:t>
            </w:r>
            <w:r>
              <w:rPr>
                <w:sz w:val="22"/>
                <w:szCs w:val="22"/>
              </w:rPr>
              <w:t xml:space="preserve"> </w:t>
            </w:r>
            <w:r>
              <w:rPr>
                <w:sz w:val="22"/>
                <w:szCs w:val="22"/>
              </w:rPr>
              <w:br/>
              <w:t xml:space="preserve">(Loan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(400m²), Đất trồng cây lâu năm (29600m²)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Trị Quận, Huyện Phù Ninh, Tỉnh Phú Thọ, độ rộng đường trước mặt tài sản 5m, mặt tiền 1694m, 21.491940451212873, 105.29208333333334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169.4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23335"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92333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87.66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82341"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3823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45.07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39079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3907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45.73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19944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19944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09.4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https://batdongsan.com.vn/ban-dat-duong-quoc-lo-2-xa-que-lam-474/ban-gap-tai-2-doan-hung-phu-tho-gia-sieu-hoi-850-trieu-2000-m2-pr44455286</w:t>
            </w:r>
            <w:r>
              <w:rPr>
                <w:color w:val="000000" w:themeColor="text1"/>
                <w:sz w:val="22"/>
                <w:szCs w:val="22"/>
              </w:rPr>
              <w:br/>
              <w:t xml:space="preserve">0394913662</w:t>
            </w:r>
            <w:r>
              <w:rPr>
                <w:sz w:val="22"/>
                <w:szCs w:val="22"/>
              </w:rPr>
              <w:t xml:space="preserve"> </w:t>
            </w:r>
            <w:r>
              <w:rPr>
                <w:sz w:val="22"/>
                <w:szCs w:val="22"/>
              </w:rPr>
              <w:br/>
              <w:t xml:space="preserve">(Hòa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(386.4m²), Đất trồng cây lâu năm (1613.6m²)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Quế Lâm, Huyện Đoan Hùng, Tỉnh Phú Thọ, độ rộng đường trước mặt tài sản 3m, mặt tiền 27.05m, 21.64461111111111, 105.09238888888889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https://www.facebook.com/groups/631206687508372/posts/1749880205641009/</w:t>
            </w:r>
            <w:r>
              <w:rPr>
                <w:color w:val="000000" w:themeColor="text1"/>
                <w:sz w:val="22"/>
                <w:szCs w:val="22"/>
              </w:rPr>
              <w:br/>
            </w:r>
            <w:r>
              <w:rPr>
                <w:sz w:val="22"/>
                <w:szCs w:val="22"/>
              </w:rPr>
              <w:t xml:space="preserve">SĐT: </w:t>
            </w:r>
            <w:r>
              <w:rPr>
                <w:color w:val="000000" w:themeColor="text1"/>
                <w:sz w:val="22"/>
                <w:szCs w:val="22"/>
              </w:rPr>
              <w:t xml:space="preserve">0972.728.982</w:t>
            </w:r>
            <w:r>
              <w:rPr>
                <w:sz w:val="22"/>
                <w:szCs w:val="22"/>
              </w:rPr>
              <w:t xml:space="preserve"> </w:t>
            </w:r>
            <w:r>
              <w:rPr>
                <w:sz w:val="22"/>
                <w:szCs w:val="22"/>
              </w:rPr>
              <w:br/>
              <w:t xml:space="preserve">(Hoài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(300m²), Đất trồng cây lâu năm (2540m²), Đất nuôi trồng thủy sản (203.7m²), Đất trồng cây hàng năm khác (6125m²)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Đất nuôi trồng thủy sản – Có thời hạn, Đất trồng cây hàng năm khác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Trị Quận, Huyện Phù Ninh, Tỉnh Phú Thọ, độ rộng đường trước mặt tài sản 3m, mặt tiền 43.4m, 21.496361111111113, 105.30991666666667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9168.7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504020204"/>
  </w:font>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BD1342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4B4F9979"/>
    <w:lvl w:ilvl="0">
      <w:isLgl w:val="false"/>
      <w:lvlJc w:val="left"/>
      <w:lvlText w:val="%1"/>
      <w:numFmt w:val="decimal"/>
      <w:pPr>
        <w:pBdr/>
        <w:spacing/>
        <w:ind w:hanging="360" w:left="360"/>
      </w:pPr>
      <w:rPr>
        <w:color w:val="000000"/>
      </w:rPr>
      <w:start w:val="1"/>
      <w:suff w:val="tab"/>
    </w:lvl>
    <w:lvl w:ilvl="1">
      <w:isLgl w:val="false"/>
      <w:lvlJc w:val="left"/>
      <w:lvlText w:val="%1.%2"/>
      <w:numFmt w:val="decimal"/>
      <w:pPr>
        <w:pBdr/>
        <w:spacing/>
        <w:ind w:hanging="360" w:left="360"/>
      </w:pPr>
      <w:rPr>
        <w:color w:val="000000"/>
      </w:rPr>
      <w:start w:val="1"/>
      <w:suff w:val="tab"/>
    </w:lvl>
    <w:lvl w:ilvl="2">
      <w:isLgl w:val="false"/>
      <w:lvlJc w:val="left"/>
      <w:lvlText w:val="%1.%2.%3"/>
      <w:numFmt w:val="decimal"/>
      <w:pPr>
        <w:pBdr/>
        <w:spacing/>
        <w:ind w:hanging="720" w:left="720"/>
      </w:pPr>
      <w:rPr>
        <w:color w:val="000000"/>
      </w:rPr>
      <w:start w:val="1"/>
      <w:suff w:val="tab"/>
    </w:lvl>
    <w:lvl w:ilvl="3">
      <w:isLgl w:val="false"/>
      <w:lvlJc w:val="left"/>
      <w:lvlText w:val="%1.%2.%3.%4"/>
      <w:numFmt w:val="decimal"/>
      <w:pPr>
        <w:pBdr/>
        <w:spacing/>
        <w:ind w:hanging="720" w:left="720"/>
      </w:pPr>
      <w:rPr>
        <w:color w:val="000000"/>
      </w:rPr>
      <w:start w:val="1"/>
      <w:suff w:val="tab"/>
    </w:lvl>
    <w:lvl w:ilvl="4">
      <w:isLgl w:val="false"/>
      <w:lvlJc w:val="left"/>
      <w:lvlText w:val="%1.%2.%3.%4.%5"/>
      <w:numFmt w:val="decimal"/>
      <w:pPr>
        <w:pBdr/>
        <w:spacing/>
        <w:ind w:hanging="1080" w:left="1080"/>
      </w:pPr>
      <w:rPr>
        <w:color w:val="000000"/>
      </w:rPr>
      <w:start w:val="1"/>
      <w:suff w:val="tab"/>
    </w:lvl>
    <w:lvl w:ilvl="5">
      <w:isLgl w:val="false"/>
      <w:lvlJc w:val="left"/>
      <w:lvlText w:val="%1.%2.%3.%4.%5.%6"/>
      <w:numFmt w:val="decimal"/>
      <w:pPr>
        <w:pBdr/>
        <w:spacing/>
        <w:ind w:hanging="1080" w:left="1080"/>
      </w:pPr>
      <w:rPr>
        <w:color w:val="000000"/>
      </w:rPr>
      <w:start w:val="1"/>
      <w:suff w:val="tab"/>
    </w:lvl>
    <w:lvl w:ilvl="6">
      <w:isLgl w:val="false"/>
      <w:lvlJc w:val="left"/>
      <w:lvlText w:val="%1.%2.%3.%4.%5.%6.%7"/>
      <w:numFmt w:val="decimal"/>
      <w:pPr>
        <w:pBdr/>
        <w:spacing/>
        <w:ind w:hanging="1440" w:left="1440"/>
      </w:pPr>
      <w:rPr>
        <w:color w:val="000000"/>
      </w:rPr>
      <w:start w:val="1"/>
      <w:suff w:val="tab"/>
    </w:lvl>
    <w:lvl w:ilvl="7">
      <w:isLgl w:val="false"/>
      <w:lvlJc w:val="left"/>
      <w:lvlText w:val="%1.%2.%3.%4.%5.%6.%7.%8"/>
      <w:numFmt w:val="decimal"/>
      <w:pPr>
        <w:pBdr/>
        <w:spacing/>
        <w:ind w:hanging="1440" w:left="1440"/>
      </w:pPr>
      <w:rPr>
        <w:color w:val="000000"/>
      </w:rPr>
      <w:start w:val="1"/>
      <w:suff w:val="tab"/>
    </w:lvl>
    <w:lvl w:ilvl="8">
      <w:isLgl w:val="false"/>
      <w:lvlJc w:val="left"/>
      <w:lvlText w:val="%1.%2.%3.%4.%5.%6.%7.%8.%9"/>
      <w:numFmt w:val="decimal"/>
      <w:pPr>
        <w:pBdr/>
        <w:spacing/>
        <w:ind w:hanging="1800" w:left="1800"/>
      </w:pPr>
      <w:rPr>
        <w:color w:val="000000"/>
      </w:rPr>
      <w:start w:val="1"/>
      <w:suff w:val="tab"/>
    </w:lvl>
  </w:abstractNum>
  <w:abstractNum w:abstractNumId="39">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0">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1">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2">
    <w:nsid w:val="2FA7C2DF"/>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3">
    <w:nsid w:val="4BD1342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0">
    <w:name w:val="Table Grid Light"/>
    <w:basedOn w:val="102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1"/>
    <w:basedOn w:val="102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2"/>
    <w:basedOn w:val="102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3"/>
    <w:basedOn w:val="102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4"/>
    <w:basedOn w:val="102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5"/>
    <w:basedOn w:val="102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w:basedOn w:val="102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1"/>
    <w:basedOn w:val="102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2"/>
    <w:basedOn w:val="102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3"/>
    <w:basedOn w:val="102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4"/>
    <w:basedOn w:val="102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5"/>
    <w:basedOn w:val="102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6"/>
    <w:basedOn w:val="102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w:basedOn w:val="102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1"/>
    <w:basedOn w:val="102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2"/>
    <w:basedOn w:val="102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3"/>
    <w:basedOn w:val="102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4"/>
    <w:basedOn w:val="102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5"/>
    <w:basedOn w:val="102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6"/>
    <w:basedOn w:val="102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w:basedOn w:val="102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1"/>
    <w:basedOn w:val="102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2"/>
    <w:basedOn w:val="102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3"/>
    <w:basedOn w:val="102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4"/>
    <w:basedOn w:val="102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5"/>
    <w:basedOn w:val="102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6"/>
    <w:basedOn w:val="102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w:basedOn w:val="102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1"/>
    <w:basedOn w:val="102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2"/>
    <w:basedOn w:val="102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3"/>
    <w:basedOn w:val="102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4"/>
    <w:basedOn w:val="102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5"/>
    <w:basedOn w:val="102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6"/>
    <w:basedOn w:val="102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1"/>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2"/>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3"/>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4"/>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5"/>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6"/>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6 Colorful"/>
    <w:basedOn w:val="102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2">
    <w:name w:val="Grid Table 6 Colorful - Accent 1"/>
    <w:basedOn w:val="102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3">
    <w:name w:val="Grid Table 6 Colorful - Accent 2"/>
    <w:basedOn w:val="102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4">
    <w:name w:val="Grid Table 6 Colorful - Accent 3"/>
    <w:basedOn w:val="102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5">
    <w:name w:val="Grid Table 6 Colorful - Accent 4"/>
    <w:basedOn w:val="102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6">
    <w:name w:val="Grid Table 6 Colorful - Accent 5"/>
    <w:basedOn w:val="102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6 Colorful - Accent 6"/>
    <w:basedOn w:val="102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7 Colorful"/>
    <w:basedOn w:val="102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1"/>
    <w:basedOn w:val="102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2"/>
    <w:basedOn w:val="102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3"/>
    <w:basedOn w:val="102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4"/>
    <w:basedOn w:val="102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5"/>
    <w:basedOn w:val="102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6"/>
    <w:basedOn w:val="102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1"/>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2"/>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3"/>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4"/>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5"/>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6"/>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w:basedOn w:val="102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1"/>
    <w:basedOn w:val="102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2"/>
    <w:basedOn w:val="102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3"/>
    <w:basedOn w:val="102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4"/>
    <w:basedOn w:val="102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5"/>
    <w:basedOn w:val="102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6"/>
    <w:basedOn w:val="102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w:basedOn w:val="102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1"/>
    <w:basedOn w:val="102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2"/>
    <w:basedOn w:val="102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3"/>
    <w:basedOn w:val="102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4"/>
    <w:basedOn w:val="102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5"/>
    <w:basedOn w:val="102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6"/>
    <w:basedOn w:val="102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w:basedOn w:val="102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1"/>
    <w:basedOn w:val="102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2"/>
    <w:basedOn w:val="102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3"/>
    <w:basedOn w:val="102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4"/>
    <w:basedOn w:val="102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5"/>
    <w:basedOn w:val="102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6"/>
    <w:basedOn w:val="102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5 Dark"/>
    <w:basedOn w:val="102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1"/>
    <w:basedOn w:val="102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2"/>
    <w:basedOn w:val="102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3"/>
    <w:basedOn w:val="102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4"/>
    <w:basedOn w:val="102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5"/>
    <w:basedOn w:val="102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6"/>
    <w:basedOn w:val="102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6 Colorful"/>
    <w:basedOn w:val="102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1"/>
    <w:basedOn w:val="102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2"/>
    <w:basedOn w:val="102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3"/>
    <w:basedOn w:val="102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4"/>
    <w:basedOn w:val="102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5"/>
    <w:basedOn w:val="102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6"/>
    <w:basedOn w:val="102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7 Colorful"/>
    <w:basedOn w:val="102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8">
    <w:name w:val="List Table 7 Colorful - Accent 1"/>
    <w:basedOn w:val="102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9">
    <w:name w:val="List Table 7 Colorful - Accent 2"/>
    <w:basedOn w:val="102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0">
    <w:name w:val="List Table 7 Colorful - Accent 3"/>
    <w:basedOn w:val="102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1">
    <w:name w:val="List Table 7 Colorful - Accent 4"/>
    <w:basedOn w:val="102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2">
    <w:name w:val="List Table 7 Colorful - Accent 5"/>
    <w:basedOn w:val="102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3">
    <w:name w:val="List Table 7 Colorful - Accent 6"/>
    <w:basedOn w:val="102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4">
    <w:name w:val="Lined - Accent"/>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1"/>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2"/>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3"/>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4"/>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5"/>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6"/>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w:basedOn w:val="102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1"/>
    <w:basedOn w:val="102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2"/>
    <w:basedOn w:val="102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3"/>
    <w:basedOn w:val="102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4"/>
    <w:basedOn w:val="102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5"/>
    <w:basedOn w:val="102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6"/>
    <w:basedOn w:val="102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w:basedOn w:val="102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1"/>
    <w:basedOn w:val="102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2"/>
    <w:basedOn w:val="102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3"/>
    <w:basedOn w:val="102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4"/>
    <w:basedOn w:val="102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5"/>
    <w:basedOn w:val="102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6"/>
    <w:basedOn w:val="102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5">
    <w:name w:val="Heading 5"/>
    <w:basedOn w:val="1016"/>
    <w:next w:val="1016"/>
    <w:link w:val="98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6">
    <w:name w:val="Heading 6"/>
    <w:basedOn w:val="1016"/>
    <w:next w:val="1016"/>
    <w:link w:val="98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7">
    <w:name w:val="Heading 7"/>
    <w:basedOn w:val="1016"/>
    <w:next w:val="1016"/>
    <w:link w:val="98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8">
    <w:name w:val="Heading 8"/>
    <w:basedOn w:val="1016"/>
    <w:next w:val="1016"/>
    <w:link w:val="98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9">
    <w:name w:val="Heading 9"/>
    <w:basedOn w:val="1016"/>
    <w:next w:val="1016"/>
    <w:link w:val="98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0">
    <w:name w:val="Heading 5 Char"/>
    <w:basedOn w:val="1021"/>
    <w:link w:val="975"/>
    <w:uiPriority w:val="9"/>
    <w:pPr>
      <w:pBdr/>
      <w:spacing/>
      <w:ind/>
    </w:pPr>
    <w:rPr>
      <w:rFonts w:ascii="Arial" w:hAnsi="Arial" w:eastAsia="Arial" w:cs="Arial"/>
      <w:color w:val="0f4761" w:themeColor="accent1" w:themeShade="BF"/>
    </w:rPr>
  </w:style>
  <w:style w:type="character" w:styleId="981">
    <w:name w:val="Heading 6 Char"/>
    <w:basedOn w:val="1021"/>
    <w:link w:val="976"/>
    <w:uiPriority w:val="9"/>
    <w:pPr>
      <w:pBdr/>
      <w:spacing/>
      <w:ind/>
    </w:pPr>
    <w:rPr>
      <w:rFonts w:ascii="Arial" w:hAnsi="Arial" w:eastAsia="Arial" w:cs="Arial"/>
      <w:i/>
      <w:iCs/>
      <w:color w:val="595959" w:themeColor="text1" w:themeTint="A6"/>
    </w:rPr>
  </w:style>
  <w:style w:type="character" w:styleId="982">
    <w:name w:val="Heading 7 Char"/>
    <w:basedOn w:val="1021"/>
    <w:link w:val="977"/>
    <w:uiPriority w:val="9"/>
    <w:pPr>
      <w:pBdr/>
      <w:spacing/>
      <w:ind/>
    </w:pPr>
    <w:rPr>
      <w:rFonts w:ascii="Arial" w:hAnsi="Arial" w:eastAsia="Arial" w:cs="Arial"/>
      <w:color w:val="595959" w:themeColor="text1" w:themeTint="A6"/>
    </w:rPr>
  </w:style>
  <w:style w:type="character" w:styleId="983">
    <w:name w:val="Heading 8 Char"/>
    <w:basedOn w:val="1021"/>
    <w:link w:val="978"/>
    <w:uiPriority w:val="9"/>
    <w:pPr>
      <w:pBdr/>
      <w:spacing/>
      <w:ind/>
    </w:pPr>
    <w:rPr>
      <w:rFonts w:ascii="Arial" w:hAnsi="Arial" w:eastAsia="Arial" w:cs="Arial"/>
      <w:i/>
      <w:iCs/>
      <w:color w:val="272727" w:themeColor="text1" w:themeTint="D8"/>
    </w:rPr>
  </w:style>
  <w:style w:type="character" w:styleId="984">
    <w:name w:val="Heading 9 Char"/>
    <w:basedOn w:val="1021"/>
    <w:link w:val="979"/>
    <w:uiPriority w:val="9"/>
    <w:pPr>
      <w:pBdr/>
      <w:spacing/>
      <w:ind/>
    </w:pPr>
    <w:rPr>
      <w:rFonts w:ascii="Arial" w:hAnsi="Arial" w:eastAsia="Arial" w:cs="Arial"/>
      <w:i/>
      <w:iCs/>
      <w:color w:val="272727" w:themeColor="text1" w:themeTint="D8"/>
    </w:rPr>
  </w:style>
  <w:style w:type="paragraph" w:styleId="985">
    <w:name w:val="Subtitle"/>
    <w:basedOn w:val="1016"/>
    <w:next w:val="1016"/>
    <w:link w:val="986"/>
    <w:uiPriority w:val="11"/>
    <w:qFormat/>
    <w:pPr>
      <w:numPr>
        <w:ilvl w:val="1"/>
      </w:numPr>
      <w:pBdr/>
      <w:spacing/>
      <w:ind/>
    </w:pPr>
    <w:rPr>
      <w:color w:val="595959" w:themeColor="text1" w:themeTint="A6"/>
      <w:spacing w:val="15"/>
      <w:sz w:val="28"/>
      <w:szCs w:val="28"/>
    </w:rPr>
  </w:style>
  <w:style w:type="character" w:styleId="986">
    <w:name w:val="Subtitle Char"/>
    <w:basedOn w:val="1021"/>
    <w:link w:val="985"/>
    <w:uiPriority w:val="11"/>
    <w:pPr>
      <w:pBdr/>
      <w:spacing/>
      <w:ind/>
    </w:pPr>
    <w:rPr>
      <w:color w:val="595959" w:themeColor="text1" w:themeTint="A6"/>
      <w:spacing w:val="15"/>
      <w:sz w:val="28"/>
      <w:szCs w:val="28"/>
    </w:rPr>
  </w:style>
  <w:style w:type="paragraph" w:styleId="987">
    <w:name w:val="Quote"/>
    <w:basedOn w:val="1016"/>
    <w:next w:val="1016"/>
    <w:link w:val="988"/>
    <w:uiPriority w:val="29"/>
    <w:qFormat/>
    <w:pPr>
      <w:pBdr/>
      <w:spacing w:before="160"/>
      <w:ind/>
      <w:jc w:val="center"/>
    </w:pPr>
    <w:rPr>
      <w:i/>
      <w:iCs/>
      <w:color w:val="404040" w:themeColor="text1" w:themeTint="BF"/>
    </w:rPr>
  </w:style>
  <w:style w:type="character" w:styleId="988">
    <w:name w:val="Quote Char"/>
    <w:basedOn w:val="1021"/>
    <w:link w:val="987"/>
    <w:uiPriority w:val="29"/>
    <w:pPr>
      <w:pBdr/>
      <w:spacing/>
      <w:ind/>
    </w:pPr>
    <w:rPr>
      <w:i/>
      <w:iCs/>
      <w:color w:val="404040" w:themeColor="text1" w:themeTint="BF"/>
    </w:rPr>
  </w:style>
  <w:style w:type="character" w:styleId="989">
    <w:name w:val="Intense Emphasis"/>
    <w:basedOn w:val="1021"/>
    <w:uiPriority w:val="21"/>
    <w:qFormat/>
    <w:pPr>
      <w:pBdr/>
      <w:spacing/>
      <w:ind/>
    </w:pPr>
    <w:rPr>
      <w:i/>
      <w:iCs/>
      <w:color w:val="0f4761" w:themeColor="accent1" w:themeShade="BF"/>
    </w:rPr>
  </w:style>
  <w:style w:type="paragraph" w:styleId="990">
    <w:name w:val="Intense Quote"/>
    <w:basedOn w:val="1016"/>
    <w:next w:val="1016"/>
    <w:link w:val="99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1">
    <w:name w:val="Intense Quote Char"/>
    <w:basedOn w:val="1021"/>
    <w:link w:val="990"/>
    <w:uiPriority w:val="30"/>
    <w:pPr>
      <w:pBdr/>
      <w:spacing/>
      <w:ind/>
    </w:pPr>
    <w:rPr>
      <w:i/>
      <w:iCs/>
      <w:color w:val="0f4761" w:themeColor="accent1" w:themeShade="BF"/>
    </w:rPr>
  </w:style>
  <w:style w:type="character" w:styleId="992">
    <w:name w:val="Intense Reference"/>
    <w:basedOn w:val="1021"/>
    <w:uiPriority w:val="32"/>
    <w:qFormat/>
    <w:pPr>
      <w:pBdr/>
      <w:spacing/>
      <w:ind/>
    </w:pPr>
    <w:rPr>
      <w:b/>
      <w:bCs/>
      <w:smallCaps/>
      <w:color w:val="0f4761" w:themeColor="accent1" w:themeShade="BF"/>
      <w:spacing w:val="5"/>
    </w:rPr>
  </w:style>
  <w:style w:type="paragraph" w:styleId="993">
    <w:name w:val="No Spacing"/>
    <w:basedOn w:val="1016"/>
    <w:uiPriority w:val="1"/>
    <w:qFormat/>
    <w:pPr>
      <w:pBdr/>
      <w:spacing w:after="0" w:line="240" w:lineRule="auto"/>
      <w:ind/>
    </w:pPr>
  </w:style>
  <w:style w:type="character" w:styleId="994">
    <w:name w:val="Subtle Emphasis"/>
    <w:basedOn w:val="1021"/>
    <w:uiPriority w:val="19"/>
    <w:qFormat/>
    <w:pPr>
      <w:pBdr/>
      <w:spacing/>
      <w:ind/>
    </w:pPr>
    <w:rPr>
      <w:i/>
      <w:iCs/>
      <w:color w:val="404040" w:themeColor="text1" w:themeTint="BF"/>
    </w:rPr>
  </w:style>
  <w:style w:type="character" w:styleId="995">
    <w:name w:val="Subtle Reference"/>
    <w:basedOn w:val="1021"/>
    <w:uiPriority w:val="31"/>
    <w:qFormat/>
    <w:pPr>
      <w:pBdr/>
      <w:spacing/>
      <w:ind/>
    </w:pPr>
    <w:rPr>
      <w:smallCaps/>
      <w:color w:val="5a5a5a" w:themeColor="text1" w:themeTint="A5"/>
    </w:rPr>
  </w:style>
  <w:style w:type="character" w:styleId="996">
    <w:name w:val="Book Title"/>
    <w:basedOn w:val="1021"/>
    <w:uiPriority w:val="33"/>
    <w:qFormat/>
    <w:pPr>
      <w:pBdr/>
      <w:spacing/>
      <w:ind/>
    </w:pPr>
    <w:rPr>
      <w:b/>
      <w:bCs/>
      <w:i/>
      <w:iCs/>
      <w:spacing w:val="5"/>
    </w:rPr>
  </w:style>
  <w:style w:type="paragraph" w:styleId="997">
    <w:name w:val="Caption"/>
    <w:basedOn w:val="1016"/>
    <w:next w:val="1016"/>
    <w:uiPriority w:val="35"/>
    <w:unhideWhenUsed/>
    <w:qFormat/>
    <w:pPr>
      <w:pBdr/>
      <w:spacing w:after="200" w:line="240" w:lineRule="auto"/>
      <w:ind/>
    </w:pPr>
    <w:rPr>
      <w:i/>
      <w:iCs/>
      <w:color w:val="0e2841" w:themeColor="text2"/>
      <w:sz w:val="18"/>
      <w:szCs w:val="18"/>
    </w:rPr>
  </w:style>
  <w:style w:type="paragraph" w:styleId="998">
    <w:name w:val="footnote text"/>
    <w:basedOn w:val="1016"/>
    <w:link w:val="999"/>
    <w:uiPriority w:val="99"/>
    <w:semiHidden/>
    <w:unhideWhenUsed/>
    <w:pPr>
      <w:pBdr/>
      <w:spacing w:after="0" w:line="240" w:lineRule="auto"/>
      <w:ind/>
    </w:pPr>
    <w:rPr>
      <w:sz w:val="20"/>
      <w:szCs w:val="20"/>
    </w:rPr>
  </w:style>
  <w:style w:type="character" w:styleId="999">
    <w:name w:val="Footnote Text Char"/>
    <w:basedOn w:val="1021"/>
    <w:link w:val="998"/>
    <w:uiPriority w:val="99"/>
    <w:semiHidden/>
    <w:pPr>
      <w:pBdr/>
      <w:spacing/>
      <w:ind/>
    </w:pPr>
    <w:rPr>
      <w:sz w:val="20"/>
      <w:szCs w:val="20"/>
    </w:rPr>
  </w:style>
  <w:style w:type="character" w:styleId="1000">
    <w:name w:val="footnote reference"/>
    <w:basedOn w:val="1021"/>
    <w:uiPriority w:val="99"/>
    <w:semiHidden/>
    <w:unhideWhenUsed/>
    <w:pPr>
      <w:pBdr/>
      <w:spacing/>
      <w:ind/>
    </w:pPr>
    <w:rPr>
      <w:vertAlign w:val="superscript"/>
    </w:rPr>
  </w:style>
  <w:style w:type="paragraph" w:styleId="1001">
    <w:name w:val="endnote text"/>
    <w:basedOn w:val="1016"/>
    <w:link w:val="1002"/>
    <w:uiPriority w:val="99"/>
    <w:semiHidden/>
    <w:unhideWhenUsed/>
    <w:pPr>
      <w:pBdr/>
      <w:spacing w:after="0" w:line="240" w:lineRule="auto"/>
      <w:ind/>
    </w:pPr>
    <w:rPr>
      <w:sz w:val="20"/>
      <w:szCs w:val="20"/>
    </w:rPr>
  </w:style>
  <w:style w:type="character" w:styleId="1002">
    <w:name w:val="Endnote Text Char"/>
    <w:basedOn w:val="1021"/>
    <w:link w:val="1001"/>
    <w:uiPriority w:val="99"/>
    <w:semiHidden/>
    <w:pPr>
      <w:pBdr/>
      <w:spacing/>
      <w:ind/>
    </w:pPr>
    <w:rPr>
      <w:sz w:val="20"/>
      <w:szCs w:val="20"/>
    </w:rPr>
  </w:style>
  <w:style w:type="character" w:styleId="1003">
    <w:name w:val="endnote reference"/>
    <w:basedOn w:val="1021"/>
    <w:uiPriority w:val="99"/>
    <w:semiHidden/>
    <w:unhideWhenUsed/>
    <w:pPr>
      <w:pBdr/>
      <w:spacing/>
      <w:ind/>
    </w:pPr>
    <w:rPr>
      <w:vertAlign w:val="superscript"/>
    </w:rPr>
  </w:style>
  <w:style w:type="paragraph" w:styleId="1004">
    <w:name w:val="toc 1"/>
    <w:basedOn w:val="1016"/>
    <w:next w:val="1016"/>
    <w:uiPriority w:val="39"/>
    <w:unhideWhenUsed/>
    <w:pPr>
      <w:pBdr/>
      <w:spacing w:after="100"/>
      <w:ind/>
    </w:pPr>
  </w:style>
  <w:style w:type="paragraph" w:styleId="1005">
    <w:name w:val="toc 2"/>
    <w:basedOn w:val="1016"/>
    <w:next w:val="1016"/>
    <w:uiPriority w:val="39"/>
    <w:unhideWhenUsed/>
    <w:pPr>
      <w:pBdr/>
      <w:spacing w:after="100"/>
      <w:ind w:left="220"/>
    </w:pPr>
  </w:style>
  <w:style w:type="paragraph" w:styleId="1006">
    <w:name w:val="toc 3"/>
    <w:basedOn w:val="1016"/>
    <w:next w:val="1016"/>
    <w:uiPriority w:val="39"/>
    <w:unhideWhenUsed/>
    <w:pPr>
      <w:pBdr/>
      <w:spacing w:after="100"/>
      <w:ind w:left="440"/>
    </w:pPr>
  </w:style>
  <w:style w:type="paragraph" w:styleId="1007">
    <w:name w:val="toc 4"/>
    <w:basedOn w:val="1016"/>
    <w:next w:val="1016"/>
    <w:uiPriority w:val="39"/>
    <w:unhideWhenUsed/>
    <w:pPr>
      <w:pBdr/>
      <w:spacing w:after="100"/>
      <w:ind w:left="660"/>
    </w:pPr>
  </w:style>
  <w:style w:type="paragraph" w:styleId="1008">
    <w:name w:val="toc 5"/>
    <w:basedOn w:val="1016"/>
    <w:next w:val="1016"/>
    <w:uiPriority w:val="39"/>
    <w:unhideWhenUsed/>
    <w:pPr>
      <w:pBdr/>
      <w:spacing w:after="100"/>
      <w:ind w:left="880"/>
    </w:pPr>
  </w:style>
  <w:style w:type="paragraph" w:styleId="1009">
    <w:name w:val="toc 6"/>
    <w:basedOn w:val="1016"/>
    <w:next w:val="1016"/>
    <w:uiPriority w:val="39"/>
    <w:unhideWhenUsed/>
    <w:pPr>
      <w:pBdr/>
      <w:spacing w:after="100"/>
      <w:ind w:left="1100"/>
    </w:pPr>
  </w:style>
  <w:style w:type="paragraph" w:styleId="1010">
    <w:name w:val="toc 7"/>
    <w:basedOn w:val="1016"/>
    <w:next w:val="1016"/>
    <w:uiPriority w:val="39"/>
    <w:unhideWhenUsed/>
    <w:pPr>
      <w:pBdr/>
      <w:spacing w:after="100"/>
      <w:ind w:left="1320"/>
    </w:pPr>
  </w:style>
  <w:style w:type="paragraph" w:styleId="1011">
    <w:name w:val="toc 8"/>
    <w:basedOn w:val="1016"/>
    <w:next w:val="1016"/>
    <w:uiPriority w:val="39"/>
    <w:unhideWhenUsed/>
    <w:pPr>
      <w:pBdr/>
      <w:spacing w:after="100"/>
      <w:ind w:left="1540"/>
    </w:pPr>
  </w:style>
  <w:style w:type="paragraph" w:styleId="1012">
    <w:name w:val="toc 9"/>
    <w:basedOn w:val="1016"/>
    <w:next w:val="1016"/>
    <w:uiPriority w:val="39"/>
    <w:unhideWhenUsed/>
    <w:pPr>
      <w:pBdr/>
      <w:spacing w:after="100"/>
      <w:ind w:left="1760"/>
    </w:pPr>
  </w:style>
  <w:style w:type="character" w:styleId="1013">
    <w:name w:val="Placeholder Text"/>
    <w:basedOn w:val="1021"/>
    <w:uiPriority w:val="99"/>
    <w:semiHidden/>
    <w:pPr>
      <w:pBdr/>
      <w:spacing/>
      <w:ind/>
    </w:pPr>
    <w:rPr>
      <w:color w:val="666666"/>
    </w:rPr>
  </w:style>
  <w:style w:type="paragraph" w:styleId="1014">
    <w:name w:val="TOC Heading"/>
    <w:uiPriority w:val="39"/>
    <w:unhideWhenUsed/>
    <w:pPr>
      <w:pBdr/>
      <w:spacing/>
      <w:ind/>
    </w:pPr>
  </w:style>
  <w:style w:type="paragraph" w:styleId="1015">
    <w:name w:val="table of figures"/>
    <w:basedOn w:val="1016"/>
    <w:next w:val="1016"/>
    <w:uiPriority w:val="99"/>
    <w:unhideWhenUsed/>
    <w:pPr>
      <w:pBdr/>
      <w:spacing w:after="0" w:afterAutospacing="0"/>
      <w:ind/>
    </w:pPr>
  </w:style>
  <w:style w:type="paragraph" w:styleId="1016" w:default="1">
    <w:name w:val="Normal"/>
    <w:qFormat/>
    <w:pPr>
      <w:pBdr/>
      <w:spacing w:after="0" w:line="240" w:lineRule="auto"/>
      <w:ind/>
    </w:pPr>
    <w:rPr>
      <w:rFonts w:ascii="Times New Roman" w:hAnsi="Times New Roman" w:eastAsia="Times New Roman" w:cs="Times New Roman"/>
      <w:sz w:val="24"/>
      <w:szCs w:val="24"/>
    </w:rPr>
  </w:style>
  <w:style w:type="paragraph" w:styleId="1017">
    <w:name w:val="Heading 1"/>
    <w:basedOn w:val="1016"/>
    <w:next w:val="1016"/>
    <w:link w:val="1024"/>
    <w:qFormat/>
    <w:pPr>
      <w:keepNext w:val="true"/>
      <w:pBdr/>
      <w:spacing w:after="120" w:before="120"/>
      <w:ind/>
      <w:jc w:val="center"/>
      <w:outlineLvl w:val="0"/>
    </w:pPr>
    <w:rPr>
      <w:b/>
      <w:bCs/>
      <w:sz w:val="27"/>
      <w:szCs w:val="27"/>
    </w:rPr>
  </w:style>
  <w:style w:type="paragraph" w:styleId="1018">
    <w:name w:val="Heading 2"/>
    <w:basedOn w:val="1016"/>
    <w:next w:val="1016"/>
    <w:link w:val="102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9">
    <w:name w:val="Heading 3"/>
    <w:basedOn w:val="1016"/>
    <w:next w:val="1016"/>
    <w:link w:val="1026"/>
    <w:qFormat/>
    <w:pPr>
      <w:keepNext w:val="true"/>
      <w:pBdr/>
      <w:spacing w:before="60"/>
      <w:ind/>
      <w:outlineLvl w:val="2"/>
    </w:pPr>
    <w:rPr>
      <w:sz w:val="28"/>
      <w:szCs w:val="28"/>
    </w:rPr>
  </w:style>
  <w:style w:type="paragraph" w:styleId="1020">
    <w:name w:val="Heading 4"/>
    <w:basedOn w:val="1016"/>
    <w:next w:val="1016"/>
    <w:link w:val="1027"/>
    <w:qFormat/>
    <w:pPr>
      <w:keepNext w:val="true"/>
      <w:pBdr/>
      <w:spacing/>
      <w:ind/>
      <w:jc w:val="center"/>
      <w:outlineLvl w:val="3"/>
    </w:pPr>
    <w:rPr>
      <w:b/>
      <w:bCs/>
    </w:rPr>
  </w:style>
  <w:style w:type="character" w:styleId="1021" w:default="1">
    <w:name w:val="Default Paragraph Font"/>
    <w:uiPriority w:val="1"/>
    <w:semiHidden/>
    <w:unhideWhenUsed/>
    <w:pPr>
      <w:pBdr/>
      <w:spacing/>
      <w:ind/>
    </w:pPr>
  </w:style>
  <w:style w:type="table" w:styleId="102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3" w:default="1">
    <w:name w:val="No List"/>
    <w:uiPriority w:val="99"/>
    <w:semiHidden/>
    <w:unhideWhenUsed/>
    <w:pPr>
      <w:pBdr/>
      <w:spacing/>
      <w:ind/>
    </w:pPr>
  </w:style>
  <w:style w:type="character" w:styleId="1024" w:customStyle="1">
    <w:name w:val="Heading 1 Char"/>
    <w:basedOn w:val="1021"/>
    <w:link w:val="1017"/>
    <w:pPr>
      <w:pBdr/>
      <w:spacing/>
      <w:ind/>
    </w:pPr>
    <w:rPr>
      <w:rFonts w:ascii="Times New Roman" w:hAnsi="Times New Roman" w:eastAsia="Times New Roman" w:cs="Times New Roman"/>
      <w:b/>
      <w:bCs/>
      <w:sz w:val="27"/>
      <w:szCs w:val="27"/>
    </w:rPr>
  </w:style>
  <w:style w:type="character" w:styleId="1025" w:customStyle="1">
    <w:name w:val="Heading 2 Char"/>
    <w:basedOn w:val="1021"/>
    <w:link w:val="1018"/>
    <w:uiPriority w:val="9"/>
    <w:pPr>
      <w:pBdr/>
      <w:spacing/>
      <w:ind/>
    </w:pPr>
    <w:rPr>
      <w:rFonts w:asciiTheme="majorHAnsi" w:hAnsiTheme="majorHAnsi" w:eastAsiaTheme="majorEastAsia" w:cstheme="majorBidi"/>
      <w:color w:val="365f91" w:themeColor="accent1" w:themeShade="BF"/>
      <w:sz w:val="26"/>
      <w:szCs w:val="26"/>
    </w:rPr>
  </w:style>
  <w:style w:type="character" w:styleId="1026" w:customStyle="1">
    <w:name w:val="Heading 3 Char"/>
    <w:basedOn w:val="1021"/>
    <w:link w:val="1019"/>
    <w:pPr>
      <w:pBdr/>
      <w:spacing/>
      <w:ind/>
    </w:pPr>
    <w:rPr>
      <w:rFonts w:ascii="Times New Roman" w:hAnsi="Times New Roman" w:eastAsia="Times New Roman" w:cs="Times New Roman"/>
      <w:sz w:val="28"/>
      <w:szCs w:val="28"/>
    </w:rPr>
  </w:style>
  <w:style w:type="character" w:styleId="1027" w:customStyle="1">
    <w:name w:val="Heading 4 Char"/>
    <w:basedOn w:val="1021"/>
    <w:link w:val="1020"/>
    <w:pPr>
      <w:pBdr/>
      <w:spacing/>
      <w:ind/>
    </w:pPr>
    <w:rPr>
      <w:rFonts w:ascii="Times New Roman" w:hAnsi="Times New Roman" w:eastAsia="Times New Roman" w:cs="Times New Roman"/>
      <w:b/>
      <w:bCs/>
      <w:sz w:val="24"/>
      <w:szCs w:val="24"/>
    </w:rPr>
  </w:style>
  <w:style w:type="character" w:styleId="1028">
    <w:name w:val="Hyperlink"/>
    <w:uiPriority w:val="99"/>
    <w:pPr>
      <w:pBdr/>
      <w:spacing/>
      <w:ind/>
    </w:pPr>
    <w:rPr>
      <w:color w:val="000000"/>
      <w:u w:val="single"/>
    </w:rPr>
  </w:style>
  <w:style w:type="character" w:styleId="1029">
    <w:name w:val="Strong"/>
    <w:uiPriority w:val="22"/>
    <w:qFormat/>
    <w:pPr>
      <w:pBdr/>
      <w:spacing/>
      <w:ind/>
    </w:pPr>
    <w:rPr>
      <w:b/>
      <w:bCs/>
    </w:rPr>
  </w:style>
  <w:style w:type="paragraph" w:styleId="1030">
    <w:name w:val="Balloon Text"/>
    <w:basedOn w:val="1016"/>
    <w:link w:val="1031"/>
    <w:uiPriority w:val="99"/>
    <w:semiHidden/>
    <w:unhideWhenUsed/>
    <w:pPr>
      <w:pBdr/>
      <w:spacing/>
      <w:ind/>
    </w:pPr>
    <w:rPr>
      <w:rFonts w:ascii="Tahoma" w:hAnsi="Tahoma" w:cs="Tahoma"/>
      <w:sz w:val="16"/>
      <w:szCs w:val="16"/>
    </w:rPr>
  </w:style>
  <w:style w:type="character" w:styleId="1031" w:customStyle="1">
    <w:name w:val="Balloon Text Char"/>
    <w:basedOn w:val="1021"/>
    <w:link w:val="1030"/>
    <w:uiPriority w:val="99"/>
    <w:semiHidden/>
    <w:pPr>
      <w:pBdr/>
      <w:spacing/>
      <w:ind/>
    </w:pPr>
    <w:rPr>
      <w:rFonts w:ascii="Tahoma" w:hAnsi="Tahoma" w:eastAsia="Times New Roman" w:cs="Tahoma"/>
      <w:sz w:val="16"/>
      <w:szCs w:val="16"/>
    </w:rPr>
  </w:style>
  <w:style w:type="paragraph" w:styleId="1032">
    <w:name w:val="Header"/>
    <w:basedOn w:val="1016"/>
    <w:link w:val="1033"/>
    <w:unhideWhenUsed/>
    <w:pPr>
      <w:pBdr/>
      <w:tabs>
        <w:tab w:val="center" w:leader="none" w:pos="4680"/>
        <w:tab w:val="right" w:leader="none" w:pos="9360"/>
      </w:tabs>
      <w:spacing/>
      <w:ind/>
    </w:pPr>
  </w:style>
  <w:style w:type="character" w:styleId="1033" w:customStyle="1">
    <w:name w:val="Header Char"/>
    <w:basedOn w:val="1021"/>
    <w:link w:val="1032"/>
    <w:pPr>
      <w:pBdr/>
      <w:spacing/>
      <w:ind/>
    </w:pPr>
    <w:rPr>
      <w:rFonts w:ascii="Times New Roman" w:hAnsi="Times New Roman" w:eastAsia="Times New Roman" w:cs="Times New Roman"/>
      <w:sz w:val="24"/>
      <w:szCs w:val="24"/>
    </w:rPr>
  </w:style>
  <w:style w:type="paragraph" w:styleId="1034">
    <w:name w:val="Footer"/>
    <w:basedOn w:val="1016"/>
    <w:link w:val="1035"/>
    <w:uiPriority w:val="99"/>
    <w:unhideWhenUsed/>
    <w:pPr>
      <w:pBdr/>
      <w:tabs>
        <w:tab w:val="center" w:leader="none" w:pos="4680"/>
        <w:tab w:val="right" w:leader="none" w:pos="9360"/>
      </w:tabs>
      <w:spacing/>
      <w:ind/>
    </w:pPr>
  </w:style>
  <w:style w:type="character" w:styleId="1035" w:customStyle="1">
    <w:name w:val="Footer Char"/>
    <w:basedOn w:val="1021"/>
    <w:link w:val="1034"/>
    <w:uiPriority w:val="99"/>
    <w:pPr>
      <w:pBdr/>
      <w:spacing/>
      <w:ind/>
    </w:pPr>
    <w:rPr>
      <w:rFonts w:ascii="Times New Roman" w:hAnsi="Times New Roman" w:eastAsia="Times New Roman" w:cs="Times New Roman"/>
      <w:sz w:val="24"/>
      <w:szCs w:val="24"/>
    </w:rPr>
  </w:style>
  <w:style w:type="character" w:styleId="1036" w:customStyle="1">
    <w:name w:val="normal-h1"/>
    <w:pPr>
      <w:pBdr/>
      <w:spacing/>
      <w:ind/>
    </w:pPr>
    <w:rPr>
      <w:rFonts w:hint="default" w:ascii=".VnTime" w:hAnsi=".VnTime"/>
      <w:color w:val="0000ff"/>
      <w:sz w:val="24"/>
      <w:szCs w:val="24"/>
    </w:rPr>
  </w:style>
  <w:style w:type="paragraph" w:styleId="1037" w:customStyle="1">
    <w:name w:val="normal-p"/>
    <w:basedOn w:val="1016"/>
    <w:pPr>
      <w:pBdr/>
      <w:spacing/>
      <w:ind/>
      <w:jc w:val="both"/>
    </w:pPr>
    <w:rPr>
      <w:sz w:val="20"/>
      <w:szCs w:val="20"/>
    </w:rPr>
  </w:style>
  <w:style w:type="paragraph" w:styleId="1038">
    <w:name w:val="List Paragraph"/>
    <w:basedOn w:val="1016"/>
    <w:link w:val="1125"/>
    <w:uiPriority w:val="34"/>
    <w:qFormat/>
    <w:pPr>
      <w:pBdr/>
      <w:spacing/>
      <w:ind w:left="720"/>
    </w:pPr>
  </w:style>
  <w:style w:type="paragraph" w:styleId="1039">
    <w:name w:val="Normal (Web)"/>
    <w:basedOn w:val="1016"/>
    <w:uiPriority w:val="99"/>
    <w:pPr>
      <w:pBdr/>
      <w:spacing w:after="100" w:afterAutospacing="1" w:before="100" w:beforeAutospacing="1"/>
      <w:ind/>
    </w:pPr>
  </w:style>
  <w:style w:type="paragraph" w:styleId="1040">
    <w:name w:val="Body Text"/>
    <w:basedOn w:val="1016"/>
    <w:link w:val="1041"/>
    <w:pPr>
      <w:pBdr/>
      <w:spacing w:after="120"/>
      <w:ind/>
      <w:jc w:val="both"/>
    </w:pPr>
  </w:style>
  <w:style w:type="character" w:styleId="1041" w:customStyle="1">
    <w:name w:val="Body Text Char"/>
    <w:basedOn w:val="1021"/>
    <w:link w:val="1040"/>
    <w:pPr>
      <w:pBdr/>
      <w:spacing/>
      <w:ind/>
    </w:pPr>
    <w:rPr>
      <w:rFonts w:ascii="Times New Roman" w:hAnsi="Times New Roman" w:eastAsia="Times New Roman" w:cs="Times New Roman"/>
      <w:sz w:val="24"/>
      <w:szCs w:val="24"/>
    </w:rPr>
  </w:style>
  <w:style w:type="table" w:styleId="1042">
    <w:name w:val="Table Grid"/>
    <w:basedOn w:val="102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4">
    <w:name w:val="annotation reference"/>
    <w:basedOn w:val="1021"/>
    <w:uiPriority w:val="99"/>
    <w:semiHidden/>
    <w:unhideWhenUsed/>
    <w:pPr>
      <w:pBdr/>
      <w:spacing/>
      <w:ind/>
    </w:pPr>
    <w:rPr>
      <w:sz w:val="16"/>
      <w:szCs w:val="16"/>
    </w:rPr>
  </w:style>
  <w:style w:type="paragraph" w:styleId="1045">
    <w:name w:val="annotation text"/>
    <w:basedOn w:val="1016"/>
    <w:link w:val="1046"/>
    <w:uiPriority w:val="99"/>
    <w:unhideWhenUsed/>
    <w:pPr>
      <w:pBdr/>
      <w:spacing/>
      <w:ind/>
    </w:pPr>
    <w:rPr>
      <w:sz w:val="20"/>
      <w:szCs w:val="20"/>
    </w:rPr>
  </w:style>
  <w:style w:type="character" w:styleId="1046" w:customStyle="1">
    <w:name w:val="Comment Text Char"/>
    <w:basedOn w:val="1021"/>
    <w:link w:val="1045"/>
    <w:uiPriority w:val="99"/>
    <w:pPr>
      <w:pBdr/>
      <w:spacing/>
      <w:ind/>
    </w:pPr>
    <w:rPr>
      <w:rFonts w:ascii="Times New Roman" w:hAnsi="Times New Roman" w:eastAsia="Times New Roman" w:cs="Times New Roman"/>
      <w:sz w:val="20"/>
      <w:szCs w:val="20"/>
    </w:rPr>
  </w:style>
  <w:style w:type="paragraph" w:styleId="1047">
    <w:name w:val="annotation subject"/>
    <w:basedOn w:val="1045"/>
    <w:next w:val="1045"/>
    <w:link w:val="1048"/>
    <w:uiPriority w:val="99"/>
    <w:semiHidden/>
    <w:unhideWhenUsed/>
    <w:pPr>
      <w:pBdr/>
      <w:spacing/>
      <w:ind/>
    </w:pPr>
    <w:rPr>
      <w:b/>
      <w:bCs/>
    </w:rPr>
  </w:style>
  <w:style w:type="character" w:styleId="1048" w:customStyle="1">
    <w:name w:val="Comment Subject Char"/>
    <w:basedOn w:val="1046"/>
    <w:link w:val="1047"/>
    <w:uiPriority w:val="99"/>
    <w:semiHidden/>
    <w:pPr>
      <w:pBdr/>
      <w:spacing/>
      <w:ind/>
    </w:pPr>
    <w:rPr>
      <w:rFonts w:ascii="Times New Roman" w:hAnsi="Times New Roman" w:eastAsia="Times New Roman" w:cs="Times New Roman"/>
      <w:b/>
      <w:bCs/>
      <w:sz w:val="20"/>
      <w:szCs w:val="20"/>
    </w:rPr>
  </w:style>
  <w:style w:type="paragraph" w:styleId="1049" w:customStyle="1">
    <w:name w:val="font5"/>
    <w:basedOn w:val="1016"/>
    <w:pPr>
      <w:pBdr/>
      <w:spacing w:after="100" w:afterAutospacing="1" w:before="100" w:beforeAutospacing="1"/>
      <w:ind/>
    </w:pPr>
    <w:rPr>
      <w:rFonts w:ascii="Tahoma" w:hAnsi="Tahoma" w:cs="Tahoma"/>
      <w:color w:val="000000"/>
      <w:sz w:val="18"/>
      <w:szCs w:val="18"/>
    </w:rPr>
  </w:style>
  <w:style w:type="paragraph" w:styleId="1050" w:customStyle="1">
    <w:name w:val="font6"/>
    <w:basedOn w:val="1016"/>
    <w:pPr>
      <w:pBdr/>
      <w:spacing w:after="100" w:afterAutospacing="1" w:before="100" w:beforeAutospacing="1"/>
      <w:ind/>
    </w:pPr>
    <w:rPr>
      <w:rFonts w:ascii="Tahoma" w:hAnsi="Tahoma" w:cs="Tahoma"/>
      <w:b/>
      <w:bCs/>
      <w:color w:val="000000"/>
      <w:sz w:val="18"/>
      <w:szCs w:val="18"/>
    </w:rPr>
  </w:style>
  <w:style w:type="paragraph" w:styleId="1051" w:customStyle="1">
    <w:name w:val="xl233"/>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2" w:customStyle="1">
    <w:name w:val="xl234"/>
    <w:basedOn w:val="1016"/>
    <w:pPr>
      <w:pBdr/>
      <w:spacing w:after="100" w:afterAutospacing="1" w:before="100" w:beforeAutospacing="1"/>
      <w:ind/>
      <w:jc w:val="center"/>
    </w:pPr>
  </w:style>
  <w:style w:type="paragraph" w:styleId="1053" w:customStyle="1">
    <w:name w:val="xl235"/>
    <w:basedOn w:val="1016"/>
    <w:pPr>
      <w:pBdr/>
      <w:spacing w:after="100" w:afterAutospacing="1" w:before="100" w:beforeAutospacing="1"/>
      <w:ind/>
      <w:jc w:val="center"/>
    </w:pPr>
    <w:rPr>
      <w:b/>
      <w:bCs/>
    </w:rPr>
  </w:style>
  <w:style w:type="paragraph" w:styleId="1054" w:customStyle="1">
    <w:name w:val="xl236"/>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37"/>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6" w:customStyle="1">
    <w:name w:val="xl238"/>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39"/>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8" w:customStyle="1">
    <w:name w:val="xl240"/>
    <w:basedOn w:val="1016"/>
    <w:pPr>
      <w:pBdr/>
      <w:spacing w:after="100" w:afterAutospacing="1" w:before="100" w:beforeAutospacing="1"/>
      <w:ind/>
    </w:pPr>
  </w:style>
  <w:style w:type="paragraph" w:styleId="1059" w:customStyle="1">
    <w:name w:val="xl241"/>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0" w:customStyle="1">
    <w:name w:val="xl242"/>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3"/>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44"/>
    <w:basedOn w:val="1016"/>
    <w:pPr>
      <w:pBdr/>
      <w:spacing w:after="100" w:afterAutospacing="1" w:before="100" w:beforeAutospacing="1"/>
      <w:ind/>
    </w:pPr>
    <w:rPr>
      <w:b/>
      <w:bCs/>
    </w:rPr>
  </w:style>
  <w:style w:type="paragraph" w:styleId="1063" w:customStyle="1">
    <w:name w:val="xl245"/>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6"/>
    <w:basedOn w:val="101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47"/>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6" w:customStyle="1">
    <w:name w:val="xl248"/>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7" w:customStyle="1">
    <w:name w:val="xl249"/>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8" w:customStyle="1">
    <w:name w:val="xl250"/>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51"/>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2"/>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3"/>
    <w:basedOn w:val="101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4"/>
    <w:basedOn w:val="101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5"/>
    <w:basedOn w:val="101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6"/>
    <w:basedOn w:val="101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7"/>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8"/>
    <w:basedOn w:val="101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9"/>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0"/>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1"/>
    <w:basedOn w:val="101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2"/>
    <w:basedOn w:val="101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63"/>
    <w:basedOn w:val="1016"/>
    <w:pPr>
      <w:pBdr/>
      <w:shd w:val="clear" w:color="000000" w:fill="ffffff"/>
      <w:spacing w:after="100" w:afterAutospacing="1" w:before="100" w:beforeAutospacing="1"/>
      <w:ind/>
    </w:pPr>
  </w:style>
  <w:style w:type="paragraph" w:styleId="1082" w:customStyle="1">
    <w:name w:val="xl264"/>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5"/>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66"/>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5" w:customStyle="1">
    <w:name w:val="xl267"/>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68"/>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69"/>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70"/>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71"/>
    <w:basedOn w:val="101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0" w:customStyle="1">
    <w:name w:val="xl272"/>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1" w:customStyle="1">
    <w:name w:val="xl273"/>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2" w:customStyle="1">
    <w:name w:val="xl274"/>
    <w:basedOn w:val="101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75"/>
    <w:basedOn w:val="1016"/>
    <w:pPr>
      <w:pBdr/>
      <w:spacing w:after="100" w:afterAutospacing="1" w:before="100" w:beforeAutospacing="1"/>
      <w:ind/>
    </w:pPr>
  </w:style>
  <w:style w:type="paragraph" w:styleId="1094" w:customStyle="1">
    <w:name w:val="xl276"/>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5" w:customStyle="1">
    <w:name w:val="xl277"/>
    <w:basedOn w:val="101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6" w:customStyle="1">
    <w:name w:val="xl278"/>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79"/>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0"/>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9" w:customStyle="1">
    <w:name w:val="xl281"/>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0" w:customStyle="1">
    <w:name w:val="xl282"/>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3"/>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4"/>
    <w:basedOn w:val="1016"/>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5"/>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6"/>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87"/>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8"/>
    <w:basedOn w:val="1016"/>
    <w:pPr>
      <w:pBdr>
        <w:top w:val="single" w:color="000000" w:sz="4" w:space="0"/>
        <w:left w:val="single" w:color="000000" w:sz="4" w:space="0"/>
        <w:right w:val="single" w:color="000000" w:sz="4" w:space="0"/>
      </w:pBdr>
      <w:spacing w:after="100" w:afterAutospacing="1" w:before="100" w:beforeAutospacing="1"/>
      <w:ind/>
    </w:pPr>
  </w:style>
  <w:style w:type="paragraph" w:styleId="1107" w:customStyle="1">
    <w:name w:val="xl289"/>
    <w:basedOn w:val="1016"/>
    <w:pPr>
      <w:pBdr>
        <w:left w:val="single" w:color="000000" w:sz="4" w:space="0"/>
        <w:right w:val="single" w:color="000000" w:sz="4" w:space="0"/>
      </w:pBdr>
      <w:spacing w:after="100" w:afterAutospacing="1" w:before="100" w:beforeAutospacing="1"/>
      <w:ind/>
    </w:pPr>
    <w:rPr>
      <w:b/>
      <w:bCs/>
    </w:rPr>
  </w:style>
  <w:style w:type="paragraph" w:styleId="1108" w:customStyle="1">
    <w:name w:val="xl290"/>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9" w:customStyle="1">
    <w:name w:val="xl291"/>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0" w:customStyle="1">
    <w:name w:val="xl292"/>
    <w:basedOn w:val="1016"/>
    <w:pPr>
      <w:pBdr>
        <w:top w:val="single" w:color="000000" w:sz="4" w:space="0"/>
        <w:left w:val="single" w:color="000000" w:sz="4" w:space="0"/>
        <w:right w:val="single" w:color="000000" w:sz="4" w:space="0"/>
      </w:pBdr>
      <w:spacing w:after="100" w:afterAutospacing="1" w:before="100" w:beforeAutospacing="1"/>
      <w:ind/>
    </w:pPr>
  </w:style>
  <w:style w:type="paragraph" w:styleId="1111" w:customStyle="1">
    <w:name w:val="xl293"/>
    <w:basedOn w:val="1016"/>
    <w:pPr>
      <w:pBdr>
        <w:left w:val="single" w:color="000000" w:sz="4" w:space="0"/>
        <w:bottom w:val="single" w:color="000000" w:sz="4" w:space="0"/>
        <w:right w:val="single" w:color="000000" w:sz="4" w:space="0"/>
      </w:pBdr>
      <w:spacing w:after="100" w:afterAutospacing="1" w:before="100" w:beforeAutospacing="1"/>
      <w:ind/>
    </w:pPr>
  </w:style>
  <w:style w:type="paragraph" w:styleId="1112" w:customStyle="1">
    <w:name w:val="xl294"/>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3">
    <w:name w:val="Title"/>
    <w:basedOn w:val="1016"/>
    <w:link w:val="1114"/>
    <w:qFormat/>
    <w:pPr>
      <w:pBdr/>
      <w:spacing/>
      <w:ind/>
      <w:jc w:val="center"/>
    </w:pPr>
    <w:rPr>
      <w:b/>
      <w:bCs/>
      <w:sz w:val="32"/>
      <w:szCs w:val="26"/>
    </w:rPr>
  </w:style>
  <w:style w:type="character" w:styleId="1114" w:customStyle="1">
    <w:name w:val="Title Char"/>
    <w:basedOn w:val="1021"/>
    <w:link w:val="1113"/>
    <w:pPr>
      <w:pBdr/>
      <w:spacing/>
      <w:ind/>
    </w:pPr>
    <w:rPr>
      <w:rFonts w:ascii="Times New Roman" w:hAnsi="Times New Roman" w:eastAsia="Times New Roman" w:cs="Times New Roman"/>
      <w:b/>
      <w:bCs/>
      <w:sz w:val="32"/>
      <w:szCs w:val="26"/>
    </w:rPr>
  </w:style>
  <w:style w:type="character" w:styleId="1115" w:customStyle="1">
    <w:name w:val="Unresolved Mention1"/>
    <w:basedOn w:val="1021"/>
    <w:uiPriority w:val="99"/>
    <w:semiHidden/>
    <w:unhideWhenUsed/>
    <w:pPr>
      <w:pBdr/>
      <w:spacing/>
      <w:ind/>
    </w:pPr>
    <w:rPr>
      <w:color w:val="605e5c"/>
      <w:shd w:val="clear" w:color="auto" w:fill="e1dfdd"/>
    </w:rPr>
  </w:style>
  <w:style w:type="character" w:styleId="1116" w:customStyle="1">
    <w:name w:val="Body text (3)_"/>
    <w:link w:val="1117"/>
    <w:pPr>
      <w:pBdr/>
      <w:spacing/>
      <w:ind/>
    </w:pPr>
    <w:rPr>
      <w:rFonts w:ascii="Times New Roman" w:hAnsi="Times New Roman" w:cs="Times New Roman"/>
      <w:i/>
      <w:iCs/>
      <w:spacing w:val="4"/>
      <w:shd w:val="clear" w:color="auto" w:fill="ffffff"/>
    </w:rPr>
  </w:style>
  <w:style w:type="paragraph" w:styleId="1117" w:customStyle="1">
    <w:name w:val="Body text (3)1"/>
    <w:basedOn w:val="1016"/>
    <w:link w:val="111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8" w:customStyle="1">
    <w:name w:val="t-j"/>
    <w:basedOn w:val="1016"/>
    <w:pPr>
      <w:pBdr/>
      <w:spacing w:after="100" w:afterAutospacing="1" w:before="100" w:beforeAutospacing="1"/>
      <w:ind/>
    </w:pPr>
  </w:style>
  <w:style w:type="character" w:styleId="1119" w:customStyle="1">
    <w:name w:val="Unresolved Mention2"/>
    <w:basedOn w:val="1021"/>
    <w:uiPriority w:val="99"/>
    <w:semiHidden/>
    <w:unhideWhenUsed/>
    <w:pPr>
      <w:pBdr/>
      <w:spacing/>
      <w:ind/>
    </w:pPr>
    <w:rPr>
      <w:color w:val="605e5c"/>
      <w:shd w:val="clear" w:color="auto" w:fill="e1dfdd"/>
    </w:rPr>
  </w:style>
  <w:style w:type="character" w:styleId="1120">
    <w:name w:val="FollowedHyperlink"/>
    <w:basedOn w:val="1021"/>
    <w:uiPriority w:val="99"/>
    <w:semiHidden/>
    <w:unhideWhenUsed/>
    <w:pPr>
      <w:pBdr/>
      <w:spacing/>
      <w:ind/>
    </w:pPr>
    <w:rPr>
      <w:color w:val="800080" w:themeColor="followedHyperlink"/>
      <w:u w:val="single"/>
    </w:rPr>
  </w:style>
  <w:style w:type="character" w:styleId="1121" w:customStyle="1">
    <w:name w:val="text"/>
    <w:basedOn w:val="1021"/>
    <w:pPr>
      <w:pBdr/>
      <w:spacing/>
      <w:ind/>
    </w:pPr>
  </w:style>
  <w:style w:type="character" w:styleId="1122" w:customStyle="1">
    <w:name w:val="card-send-time__sendtime"/>
    <w:basedOn w:val="1021"/>
    <w:pPr>
      <w:pBdr/>
      <w:spacing/>
      <w:ind/>
    </w:pPr>
  </w:style>
  <w:style w:type="character" w:styleId="1123" w:customStyle="1">
    <w:name w:val="Đề cập Chưa giải quyết1"/>
    <w:basedOn w:val="1021"/>
    <w:uiPriority w:val="99"/>
    <w:semiHidden/>
    <w:unhideWhenUsed/>
    <w:pPr>
      <w:pBdr/>
      <w:spacing/>
      <w:ind/>
    </w:pPr>
    <w:rPr>
      <w:color w:val="605e5c"/>
      <w:shd w:val="clear" w:color="auto" w:fill="e1dfdd"/>
    </w:rPr>
  </w:style>
  <w:style w:type="paragraph" w:styleId="1124" w:customStyle="1">
    <w:name w:val="nqtitle"/>
    <w:basedOn w:val="1016"/>
    <w:pPr>
      <w:pBdr/>
      <w:spacing w:after="100" w:afterAutospacing="1" w:before="100" w:beforeAutospacing="1"/>
      <w:ind/>
    </w:pPr>
    <w:rPr>
      <w:lang w:val="vi-VN" w:eastAsia="vi-VN"/>
    </w:rPr>
  </w:style>
  <w:style w:type="character" w:styleId="1125" w:customStyle="1">
    <w:name w:val="List Paragraph Char"/>
    <w:link w:val="1038"/>
    <w:uiPriority w:val="34"/>
    <w:qFormat/>
    <w:pPr>
      <w:pBdr/>
      <w:spacing/>
      <w:ind/>
    </w:pPr>
    <w:rPr>
      <w:rFonts w:ascii="Times New Roman" w:hAnsi="Times New Roman" w:eastAsia="Times New Roman" w:cs="Times New Roman"/>
      <w:sz w:val="24"/>
      <w:szCs w:val="24"/>
    </w:rPr>
  </w:style>
  <w:style w:type="character" w:styleId="1126" w:customStyle="1">
    <w:name w:val="Đề cập Chưa giải quyết2"/>
    <w:basedOn w:val="1021"/>
    <w:uiPriority w:val="99"/>
    <w:semiHidden/>
    <w:unhideWhenUsed/>
    <w:pPr>
      <w:pBdr/>
      <w:spacing/>
      <w:ind/>
    </w:pPr>
    <w:rPr>
      <w:color w:val="605e5c"/>
      <w:shd w:val="clear" w:color="auto" w:fill="e1dfdd"/>
    </w:rPr>
  </w:style>
  <w:style w:type="character" w:styleId="1127" w:customStyle="1">
    <w:name w:val="Unresolved Mention3"/>
    <w:basedOn w:val="1021"/>
    <w:uiPriority w:val="99"/>
    <w:semiHidden/>
    <w:unhideWhenUsed/>
    <w:pPr>
      <w:pBdr/>
      <w:spacing/>
      <w:ind/>
    </w:pPr>
    <w:rPr>
      <w:color w:val="605e5c"/>
      <w:shd w:val="clear" w:color="auto" w:fill="e1dfdd"/>
    </w:rPr>
  </w:style>
  <w:style w:type="character" w:styleId="1128" w:customStyle="1">
    <w:name w:val="copy"/>
    <w:basedOn w:val="1021"/>
    <w:pPr>
      <w:pBdr/>
      <w:spacing/>
      <w:ind/>
    </w:pPr>
  </w:style>
  <w:style w:type="paragraph" w:styleId="1129" w:customStyle="1">
    <w:name w:val="align-justify"/>
    <w:basedOn w:val="1016"/>
    <w:pPr>
      <w:pBdr/>
      <w:spacing w:after="100" w:afterAutospacing="1" w:before="100" w:beforeAutospacing="1"/>
      <w:ind/>
    </w:pPr>
  </w:style>
  <w:style w:type="character" w:styleId="1130" w:customStyle="1">
    <w:name w:val="btn"/>
    <w:basedOn w:val="1021"/>
    <w:pPr>
      <w:pBdr/>
      <w:spacing/>
      <w:ind/>
    </w:pPr>
  </w:style>
  <w:style w:type="character" w:styleId="1131" w:customStyle="1">
    <w:name w:val="hide_mobile"/>
    <w:basedOn w:val="1021"/>
    <w:pPr>
      <w:pBdr/>
      <w:spacing/>
      <w:ind/>
    </w:pPr>
  </w:style>
  <w:style w:type="character" w:styleId="1132">
    <w:name w:val="Emphasis"/>
    <w:basedOn w:val="1021"/>
    <w:uiPriority w:val="20"/>
    <w:qFormat/>
    <w:pPr>
      <w:pBdr/>
      <w:spacing/>
      <w:ind/>
    </w:pPr>
    <w:rPr>
      <w:i/>
      <w:iCs/>
    </w:rPr>
  </w:style>
  <w:style w:type="character" w:styleId="1133" w:customStyle="1">
    <w:name w:val="t1"/>
    <w:basedOn w:val="1021"/>
    <w:pPr>
      <w:pBdr/>
      <w:spacing/>
      <w:ind/>
    </w:pPr>
  </w:style>
  <w:style w:type="character" w:styleId="1134" w:customStyle="1">
    <w:name w:val="Unresolved Mention4"/>
    <w:basedOn w:val="1021"/>
    <w:uiPriority w:val="99"/>
    <w:semiHidden/>
    <w:unhideWhenUsed/>
    <w:pPr>
      <w:pBdr/>
      <w:spacing/>
      <w:ind/>
    </w:pPr>
    <w:rPr>
      <w:color w:val="605e5c"/>
      <w:shd w:val="clear" w:color="auto" w:fill="e1dfdd"/>
    </w:rPr>
  </w:style>
  <w:style w:type="character" w:styleId="1135">
    <w:name w:val="Unresolved Mention"/>
    <w:basedOn w:val="102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jp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280</cp:revision>
  <dcterms:created xsi:type="dcterms:W3CDTF">2025-09-15T09:58:00Z</dcterms:created>
  <dcterms:modified xsi:type="dcterms:W3CDTF">2026-04-15T02:39:57Z</dcterms:modified>
</cp:coreProperties>
</file>