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-710896</wp:posOffset>
                </wp:positionV>
                <wp:extent cx="5467350" cy="38004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00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ĐINH VĂN HIỂN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60, tờ bản đồ số: 28 tỷ lệ 1/200</w:t>
                            </w:r>
                            <w:r>
                              <w:rPr>
                                <w:color w:val="000000"/>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color w:val="000000"/>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5.98pt;mso-position-vertical:absolute;width:430.50pt;height:299.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ĐINH VĂN HIỂN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60, tờ bản đồ số: 28 tỷ lệ 1/200</w:t>
                      </w:r>
                      <w:r>
                        <w:rPr>
                          <w:color w:val="000000"/>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color w:val="000000"/>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275/2026/0270/VFI-CT.48.A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4 tháng 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ĐINH VĂN HIỂN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275/2026/0270/VFI-HĐTĐ.48.A</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w:t>
      </w:r>
      <w:r>
        <w:rPr>
          <w:color w:val="000000" w:themeColor="text1"/>
          <w:spacing w:val="-4"/>
        </w:rPr>
        <w:t xml:space="preserve">Ông Đinh Văn Hiển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275/2026/0270/VFI-BC.48.A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1865"/>
        <w:gridCol w:w="437"/>
        <w:gridCol w:w="5798"/>
      </w:tblGrid>
      <w:tr>
        <w:trPr>
          <w:trHeight w:val="20"/>
        </w:trPr>
        <w:tc>
          <w:tcPr>
            <w:shd w:val="clear" w:color="auto" w:fill="auto"/>
            <w:tcBorders/>
            <w:tcW w:w="1865"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3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579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pPr>
            <w:r>
              <w:rPr>
                <w:rFonts w:ascii="Times New Roman" w:hAnsi="Times New Roman" w:eastAsia="Times New Roman" w:cs="Times New Roman"/>
                <w:b/>
                <w:color w:val="000000"/>
                <w:sz w:val="24"/>
              </w:rPr>
              <w:t xml:space="preserve">ÔNG ĐINH VĂN HIỂN</w:t>
            </w:r>
            <w:r/>
          </w:p>
        </w:tc>
      </w:tr>
      <w:tr>
        <w:trPr>
          <w:trHeight w:val="20"/>
        </w:trPr>
        <w:tc>
          <w:tcPr>
            <w:shd w:val="clear" w:color="auto" w:fill="auto"/>
            <w:tcBorders/>
            <w:tcW w:w="1865"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3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57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1989</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60, tờ bản đồ số: 28 tỷ lệ 1/200</w:t>
      </w:r>
      <w:r>
        <w:rPr>
          <w:color w:val="000000" w:themeColor="text1"/>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color w:val="000000" w:themeColor="text1"/>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60, tờ bản đồ số: 28 tỷ lệ 1/200</w:t>
            </w:r>
            <w:r>
              <w:rPr>
                <w:color w:val="000000"/>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color w:val="000000"/>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13.343.061</w:t>
            </w:r>
            <w:r/>
          </w:p>
        </w:tc>
        <w:tc>
          <w:tcPr>
            <w:shd w:val="clear" w:color="000000" w:fill="ffffff"/>
            <w:tcBorders/>
            <w:tcW w:w="113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667.153.050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1123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5.673.061</w:t>
            </w:r>
            <w:r/>
          </w:p>
        </w:tc>
        <w:tc>
          <w:tcPr>
            <w:shd w:val="clear" w:color="000000" w:fill="ffffff"/>
            <w:tcBorders/>
            <w:tcW w:w="113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6.370.847.503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7.038.000.553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7.038.000.000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ba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275/2026/0270/VFI-BC.48.A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4 tháng 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275/2026/0270/VFI-BC.48.A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154"/>
        <w:gridCol w:w="284"/>
        <w:gridCol w:w="5924"/>
      </w:tblGrid>
      <w:tr>
        <w:trPr>
          <w:trHeight w:val="20"/>
        </w:trPr>
        <w:tc>
          <w:tcPr>
            <w:tcBorders/>
            <w:tcW w:w="2154"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pPr>
            <w:r>
              <w:rPr>
                <w:rFonts w:ascii="Times New Roman" w:hAnsi="Times New Roman" w:eastAsia="Times New Roman" w:cs="Times New Roman"/>
                <w:b/>
                <w:color w:val="000000"/>
                <w:sz w:val="24"/>
              </w:rPr>
              <w:t xml:space="preserve">ÔNG ĐINH VĂN HIỂN</w:t>
            </w:r>
            <w:r/>
          </w:p>
        </w:tc>
      </w:tr>
      <w:tr>
        <w:trPr>
          <w:trHeight w:val="20"/>
        </w:trPr>
        <w:tc>
          <w:tcPr>
            <w:tcBorders/>
            <w:tcW w:w="2154"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1989</w:t>
            </w:r>
            <w:r/>
          </w:p>
        </w:tc>
      </w:tr>
      <w:tr>
        <w:trPr>
          <w:trHeight w:val="20"/>
        </w:trPr>
        <w:tc>
          <w:tcPr>
            <w:tcBorders/>
            <w:tcW w:w="2154"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60, tờ bản đồ số: 28 tỷ lệ 1/200</w:t>
            </w:r>
            <w:r>
              <w:rPr>
                <w:bCs/>
                <w:color w:val="000000" w:themeColor="text1"/>
                <w:lang w:val="pt-BR"/>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bCs/>
                <w:color w:val="000000" w:themeColor="text1"/>
                <w:lang w:val="pt-BR"/>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Cs/>
                <w:spacing w:val="2"/>
              </w:rPr>
              <w:t xml:space="preserve">.</w:t>
            </w:r>
            <w:r>
              <w:rPr>
                <w:b/>
                <w:bCs/>
                <w:spacing w:val="2"/>
                <w:lang w:val="vi-VN"/>
              </w:rPr>
            </w:r>
            <w:r>
              <w:rPr>
                <w:b/>
                <w:bCs/>
                <w:spacing w:val="2"/>
                <w:lang w:val="vi-VN"/>
              </w:rPr>
            </w:r>
          </w:p>
        </w:tc>
      </w:tr>
      <w:tr>
        <w:trPr>
          <w:trHeight w:val="20"/>
        </w:trPr>
        <w:tc>
          <w:tcPr>
            <w:tcBorders/>
            <w:tcW w:w="2154"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154"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154"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154"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w:t>
            </w:r>
            <w:r>
              <w:rPr>
                <w:bCs/>
                <w:color w:val="000000" w:themeColor="text1"/>
                <w:lang w:val="pt-BR"/>
              </w:rPr>
              <w:t xml:space="preserve">hường Tân Thành, thành phố Hồ Chí Minh</w:t>
            </w:r>
            <w:r>
              <w:rPr>
                <w:color w:val="ee0000"/>
                <w:lang w:val="pt-BR"/>
              </w:rPr>
            </w:r>
            <w:r>
              <w:rPr>
                <w:color w:val="ee0000"/>
                <w:lang w:val="pt-BR"/>
              </w:rPr>
            </w:r>
          </w:p>
        </w:tc>
      </w:tr>
      <w:tr>
        <w:trPr>
          <w:trHeight w:val="20"/>
        </w:trPr>
        <w:tc>
          <w:tcPr>
            <w:tcBorders/>
            <w:tcW w:w="2154"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10.649972222222, 107.14094444444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154"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5924"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CH 3598</w:t>
      </w:r>
      <w:r>
        <w:rPr>
          <w:bCs/>
          <w:color w:val="000000" w:themeColor="text1"/>
          <w:lang w:val="pt-BR"/>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pacing w:val="-4"/>
          <w:sz w:val="24"/>
        </w:rPr>
        <w:t xml:space="preserve">275/2026/0270/VFI-HĐTĐ.48.A</w:t>
      </w:r>
      <w:r>
        <w:rPr>
          <w:color w:val="000000" w:themeColor="text1"/>
          <w:lang w:val="pt-BR"/>
        </w:rPr>
        <w:t xml:space="preserve"> ngày 02/02/2026 giữa </w:t>
      </w:r>
      <w:r>
        <w:rPr>
          <w:rFonts w:ascii="Times New Roman" w:hAnsi="Times New Roman" w:eastAsia="Times New Roman" w:cs="Times New Roman"/>
          <w:color w:val="000000"/>
          <w:sz w:val="24"/>
        </w:rPr>
        <w:t xml:space="preserve">Ông Đinh Văn Hiển</w:t>
      </w:r>
      <w:r>
        <w:rPr>
          <w:color w:val="000000" w:themeColor="text1"/>
          <w:lang w:val="pt-BR"/>
        </w:rPr>
        <w:t xml:space="preserve">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sáp nhập, TP.HCM ghi nhận những diễn biến đáng chú ý trong nội tại thị trường. Cơ cấu sản phẩm bấ</w:t>
      </w:r>
      <w:r>
        <w:rPr>
          <w:shd w:val="clear" w:color="auto" w:fill="ffffff"/>
        </w:rPr>
        <w:t xml:space="preserve">t động sản của thị trường đa dạng, phong phú hơn với sự xuất hiện của dòng căn hộ vừa túi tiền và sự tăng trưởng của nguồn cung bất động sản nghỉ dưỡng. </w:t>
      </w:r>
      <w:r>
        <w:rPr>
          <w:iCs/>
        </w:rPr>
      </w:r>
      <w:r>
        <w:rPr>
          <w:iCs/>
        </w:rPr>
      </w:r>
    </w:p>
    <w:p>
      <w:pPr>
        <w:pBdr/>
        <w:tabs>
          <w:tab w:val="left" w:leader="none" w:pos="426"/>
        </w:tabs>
        <w:spacing w:after="120" w:before="120" w:line="276" w:lineRule="auto"/>
        <w:ind/>
        <w:jc w:val="both"/>
        <w:rPr/>
      </w:pPr>
      <w:r>
        <w:rPr>
          <w:shd w:val="clear" w:color="auto" w:fill="ffffff"/>
        </w:rPr>
        <w:tab/>
        <w:t xml:space="preserve">Trước sáp nhập, thị trường bất động sản TP.HCM đã biến mất hoàn toàn dòng căn hộ bình dân, thị trường l</w:t>
      </w:r>
      <w:r>
        <w:rPr>
          <w:shd w:val="clear" w:color="auto" w:fill="ffffff"/>
        </w:rPr>
        <w:t xml:space="preserve">à sự áp đảo của các sản phẩm trung và cao cấp. Báo cáo thị trường bất động sản quý 1/2025 của Hội Môi giới Bất động sản Việt Nam ghi nhận, giá bán trung bình căn hộ tại TP.HCM đến thời điểm hết quý 1/2025 đạt 71,8 triệu đồng/m2 với tỉ trọng lớn của căn hộ </w:t>
      </w:r>
      <w:r>
        <w:rPr>
          <w:shd w:val="clear" w:color="auto" w:fill="ffffff"/>
        </w:rPr>
        <w:t xml:space="preserve">hạng sang và cao cấp. Thế nhưng kể từ sau sáp nhập, với việc mở rộng địa giới, TP.HCM mới – gồm TP.HCM, Bình Dương và Bà Rịa – Vũng Tàu (cũ) – đã trở thành đại đô thị có quy mô kinh tế, dân số và diện tích lớn nhất Việt Nam. Việc bổ sung thêm 2 thị trường </w:t>
      </w:r>
      <w:r>
        <w:rPr>
          <w:shd w:val="clear" w:color="auto" w:fill="ffffff"/>
        </w:rPr>
        <w:t xml:space="preserve">là Bình Dương và Bà Rịa Vũng Tàu đã tạo nên những thay đổi lớn trong cơ cấu sản phẩm của thị trường. Và TP.HCM – từ một thị trường đã tuyệt chủng căn hộ bình dân đã xuất hiện những sản phẩm có khoảng giá trên dưới 40 triệu đồng/m2,với tổng giá thành từ 1 t</w:t>
      </w:r>
      <w:r>
        <w:rPr>
          <w:shd w:val="clear" w:color="auto" w:fill="ffffff"/>
        </w:rPr>
        <w:t xml:space="preserve">ỷ đồng đến dưới 2 tỷ đồng mỗi căn hộ. </w:t>
      </w:r>
      <w:r/>
    </w:p>
    <w:p>
      <w:pPr>
        <w:pBdr/>
        <w:tabs>
          <w:tab w:val="left" w:leader="none" w:pos="426"/>
        </w:tabs>
        <w:spacing w:after="120" w:before="120" w:line="276" w:lineRule="auto"/>
        <w:ind/>
        <w:jc w:val="both"/>
        <w:rPr/>
      </w:pPr>
      <w:r>
        <w:rPr>
          <w:shd w:val="clear" w:color="auto" w:fill="ffffff"/>
        </w:rPr>
        <w:tab/>
        <w:t xml:space="preserve">Nguồn cung nhà ở vừa túi tiền của TP.HCM được bổ sung từ 2 thị trường được sáp nhạp là Bình Dương cũ và Bà Rịa Vũng Tàu cũ. Nhờ mức giá mềm và việc được sáp nhập vào TP.HCMm cộng hưởng việc đầu tư hạ tầng khiến căn hộ </w:t>
      </w:r>
      <w:r>
        <w:rPr>
          <w:shd w:val="clear" w:color="auto" w:fill="ffffff"/>
        </w:rPr>
        <w:t xml:space="preserve">chung cư tầm trung tại hai thị trường này thu hút mối quan tâm của người tiêu dùng. Đơn cử, tại Bà Rịa Vũng Tàu cũ, dữ liệu của Batdongsan.com.vn ghi nhận, thị trường chung cư Bà Rịa Vũng Tàu năm 2025 ghi nhận đà tăng giá và mức độ quan tâm cao hơn 16% so </w:t>
      </w:r>
      <w:r>
        <w:rPr>
          <w:shd w:val="clear" w:color="auto" w:fill="ffffff"/>
        </w:rPr>
        <w:t xml:space="preserve">với 2023, giá tăng từ 26 triệu đồng/m2 lên 35 triệu đồng/m2. Dòng căn hộ vừa túi tiền gọi tên các dự án như Maison Grand Phú Mỹ, Ecotown Phú Mỹ, Osimi Phú Mỹ với khoảng giá trên dưới 40 triệu đồng/m2. </w:t>
      </w:r>
      <w:r/>
    </w:p>
    <w:p>
      <w:pPr>
        <w:pBdr/>
        <w:tabs>
          <w:tab w:val="left" w:leader="none" w:pos="426"/>
        </w:tabs>
        <w:spacing w:after="120" w:before="120" w:line="276" w:lineRule="auto"/>
        <w:ind/>
        <w:jc w:val="both"/>
        <w:rPr/>
      </w:pPr>
      <w:r>
        <w:rPr>
          <w:shd w:val="clear" w:color="auto" w:fill="ffffff"/>
        </w:rPr>
        <w:tab/>
        <w:t xml:space="preserve">Dữ liệu thị trường bất động sản quý 3/2025 của Batdongs</w:t>
      </w:r>
      <w:r>
        <w:rPr>
          <w:shd w:val="clear" w:color="auto" w:fill="ffffff"/>
        </w:rPr>
        <w:t xml:space="preserve">an.com.vn ghi nhận, nhờ mức giá mềm hơn so với thị trường TP.HCM cũ, căn hộ chung cư tại Bình Dương cũ đang thu hút đông đảo mối quan tâm của người tiêu dùng. Mức độ quan tâm đối với phân khúc chung cư bán tại Bình Dương tăng mạnh nhất so với hai thị trườn</w:t>
      </w:r>
      <w:r>
        <w:rPr>
          <w:shd w:val="clear" w:color="auto" w:fill="ffffff"/>
        </w:rPr>
        <w:t xml:space="preserve">g TP.HCM cũ và Bà Rịa Vũng Tàu cũ, đạt 48% so với tháng 4/2025. Các dự án có khoảng giá từ 1,5- 2 tỷ đồng/căn hộ đang hút người mua ở Bình Dương có thể kể đến như Phú Đông SkyOne, TT AVIO, Samsora Riverside. </w:t>
      </w:r>
      <w:r/>
    </w:p>
    <w:p>
      <w:pPr>
        <w:pBdr/>
        <w:tabs>
          <w:tab w:val="left" w:leader="none" w:pos="426"/>
        </w:tabs>
        <w:spacing w:after="120" w:before="120" w:line="276" w:lineRule="auto"/>
        <w:ind/>
        <w:jc w:val="both"/>
        <w:rPr/>
      </w:pPr>
      <w:r>
        <w:rPr>
          <w:shd w:val="clear" w:color="auto" w:fill="ffffff"/>
        </w:rPr>
        <w:tab/>
        <w:t xml:space="preserve">Không chỉ thu hút người mua ở thực, căn hộ tại h</w:t>
      </w:r>
      <w:r>
        <w:rPr>
          <w:shd w:val="clear" w:color="auto" w:fill="ffffff"/>
        </w:rPr>
        <w:t xml:space="preserve">ai thị trường cũ là Bình Dương và Bà Rịa Vũng Tàu còn trở thành lựa chọn đầu tư bền vững của nhiều khách hàng TP.HCM do giá căn hộ nội đô bị đẩy lên mức quá cao, trong khi căn hộ vùng ven lại có khả năng khai thác cho thuê tốt nhờ nhu cầu chuyên gia tăng t</w:t>
      </w:r>
      <w:r>
        <w:rPr>
          <w:shd w:val="clear" w:color="auto" w:fill="ffffff"/>
        </w:rPr>
        <w:t xml:space="preserve">rưởng ổn định. </w:t>
      </w:r>
      <w:r/>
    </w:p>
    <w:p>
      <w:pPr>
        <w:pBdr/>
        <w:tabs>
          <w:tab w:val="left" w:leader="none" w:pos="426"/>
        </w:tabs>
        <w:spacing w:after="120" w:before="120" w:line="276" w:lineRule="auto"/>
        <w:ind/>
        <w:jc w:val="both"/>
        <w:rPr/>
      </w:pPr>
      <w:r>
        <w:rPr>
          <w:shd w:val="clear" w:color="auto" w:fill="ffffff"/>
        </w:rPr>
        <w:tab/>
        <w:t xml:space="preserve">Song song với sự bổ sung của đa dạng của loại hình căn hộ, sau sáp nhập, thị trường bất động sản TP.HCM chứng kiến sự sôi nổi của bất động sản nghỉ dưỡng, được bổ sung từ thị trường Bà Rịa Vũng Tàu cũ. Trước đó, trong cơ cấu sản phẩm, bất độ</w:t>
      </w:r>
      <w:r>
        <w:rPr>
          <w:shd w:val="clear" w:color="auto" w:fill="ffffff"/>
        </w:rPr>
        <w:t xml:space="preserve">ng sản nhà ở, bất động sản thương mại – dịch vụ và bất động sản công nghiệp là những loại hình chính của thị trường TP.HCM thì nay TP.HCM ghi nhận thêm sự sôi nổi của bất động sản nghỉ dưỡng sau quá trình sáp nhập. </w:t>
      </w:r>
      <w:r>
        <w:rPr>
          <w:shd w:val="clear" w:color="auto" w:fill="ffffff"/>
        </w:rPr>
        <w:t xml:space="preserve">Hàng loạt dự án nghỉ dưỡng được giới thiệ</w:t>
      </w:r>
      <w:r>
        <w:rPr>
          <w:shd w:val="clear" w:color="auto" w:fill="ffffff"/>
        </w:rPr>
        <w:t xml:space="preserve">u hoặc chào bán trong năm nay có thể kể đến như Five Star Odyssey cao 50 tầng trên trục Thùy Vân – một trong những tổ hợp khách sạn và căn hộ nghỉ dưỡng cao cấp đang được triển khai. </w:t>
      </w:r>
      <w:r/>
    </w:p>
    <w:p>
      <w:pPr>
        <w:pBdr/>
        <w:tabs>
          <w:tab w:val="left" w:leader="none" w:pos="426"/>
        </w:tabs>
        <w:spacing w:after="120" w:before="120" w:line="276" w:lineRule="auto"/>
        <w:ind/>
        <w:jc w:val="both"/>
        <w:rPr/>
      </w:pPr>
      <w:r>
        <w:rPr>
          <w:shd w:val="clear" w:color="auto" w:fill="ffffff"/>
        </w:rPr>
        <w:tab/>
        <w:t xml:space="preserve">Cùng thời điểm, Five Star Group cũng khởi công Poseidon, nâng tổng vốn đầ</w:t>
      </w:r>
      <w:r>
        <w:rPr>
          <w:shd w:val="clear" w:color="auto" w:fill="ffffff"/>
        </w:rPr>
        <w:t xml:space="preserve">u tư của hai dự án này lên hơn 10.000 tỉ đồng, đánh dấu bước dịch chuyển mạnh mẽ của dòng vốn vào phân khúc hạng sang. Bên cạnh đó, The Maris Vũng Tàu quy mô 23 ha đang hình thành một quần thể nghỉ dưỡng với biệt thự biển và condotel. Trong khi đó, Blanca </w:t>
      </w:r>
      <w:r>
        <w:rPr>
          <w:shd w:val="clear" w:color="auto" w:fill="ffffff"/>
        </w:rPr>
        <w:t xml:space="preserve">C</w:t>
      </w:r>
      <w:r>
        <w:rPr>
          <w:shd w:val="clear" w:color="auto" w:fill="ffffff"/>
        </w:rPr>
        <w:t xml:space="preserve">ity Vũng Tàu do Sun Group phát triển trên diện tích gần 100 ha hướng đến mô hình đô thị – du lịch tích hợp. </w:t>
        <w:tab/>
        <w:t xml:space="preserve">Các khu vực ven biển mở rộng khác cũng sôi động không kém, như UHM Luxury Resort &amp; Villas tại Bình Châu (27,5 ha), hay Serenity Phước Hải – dự án n</w:t>
      </w:r>
      <w:r>
        <w:rPr>
          <w:shd w:val="clear" w:color="auto" w:fill="ffffff"/>
        </w:rPr>
        <w:t xml:space="preserve">ghỉ dưỡng ven biển do Phát Đạt phát triển. Nhà đầu tư Nguyễn Minh Trí, chủ một hệ thống homestay tại Vũng Tàu cho rằng, việc Bà Rịa – Vũng Tàu chính thức sáp nhập vào TP.HCM đã tạo ra cú hích chưa từng có đối với thị trường bất động sản nghỉ dưỡng tại Vũng</w:t>
      </w:r>
      <w:r>
        <w:rPr>
          <w:shd w:val="clear" w:color="auto" w:fill="ffffff"/>
        </w:rPr>
        <w:t xml:space="preserve"> Tàu. </w:t>
      </w:r>
      <w:r/>
    </w:p>
    <w:p>
      <w:pPr>
        <w:pBdr/>
        <w:tabs>
          <w:tab w:val="left" w:leader="none" w:pos="426"/>
        </w:tabs>
        <w:spacing w:after="120" w:before="120" w:line="276" w:lineRule="auto"/>
        <w:ind/>
        <w:jc w:val="both"/>
        <w:rPr/>
      </w:pPr>
      <w:r>
        <w:rPr>
          <w:shd w:val="clear" w:color="auto" w:fill="ffffff"/>
        </w:rPr>
        <w:tab/>
        <w:t xml:space="preserve">Từ một thành phố biển độc lập, Vũng Tàu nay trở thành “tâm điểm nghỉ dưỡng” của đại đô thị lớn nhất cả nước, hưởng trọn sức mạnh của hệ thống hạ tầng, nguồn lực đầu tư và quy mô dân số thuộc TP.HCM mở rộng. Sự thay đổi về địa giới hành chính lập tức </w:t>
      </w:r>
      <w:r>
        <w:rPr>
          <w:shd w:val="clear" w:color="auto" w:fill="ffffff"/>
        </w:rPr>
        <w:t xml:space="preserve">kéo theo sự sôi động của thị trường: nhu cầu sở hữu second home gia tăng, lượng khách đổ về các bãi biển lớn nhỏ trở nên nhộn nhịp. Các chủ đầu tư cũng đẩy nhanh tiến độ để đón làn sóng dịch chuyển này.</w:t>
      </w:r>
      <w:r/>
    </w:p>
    <w:p>
      <w:pPr>
        <w:pBdr/>
        <w:tabs>
          <w:tab w:val="left" w:leader="none" w:pos="426"/>
        </w:tabs>
        <w:spacing w:after="120" w:before="120" w:line="276" w:lineRule="auto"/>
        <w:ind/>
        <w:jc w:val="both"/>
        <w:rPr/>
      </w:pPr>
      <w:r>
        <w:rPr>
          <w:shd w:val="clear" w:color="auto" w:fill="ffffff"/>
        </w:rPr>
        <w:tab/>
        <w:t xml:space="preserve">Cũng theo ông Trí, sau sáp nhập, hạ tầng được ưu tiên</w:t>
      </w:r>
      <w:r>
        <w:rPr>
          <w:shd w:val="clear" w:color="auto" w:fill="ffffff"/>
        </w:rPr>
        <w:t xml:space="preserve"> đầu tư ở cấp độ vùng đô thị, tạo ra sự bứt phá mạnh về kết nối. Cao tốc Biên Hòa – Vũng Tàu, trục ven biển Vũng Tàu – Hồ Tràm, mở rộng Quốc lộ 51 và các tuyến đường liên đô thị được tăng tốc hơn nhờ cơ chế điều phối mới. Khi Vũng Tàu trở thành “cửa ngõ bi</w:t>
      </w:r>
      <w:r>
        <w:rPr>
          <w:shd w:val="clear" w:color="auto" w:fill="ffffff"/>
        </w:rPr>
        <w:t xml:space="preserve">ển” của TP.HCM, nhu cầu du lịch cuối tuần, nghỉ dưỡng ngắn ngày, tổ chức sự kiện – hội nghị và sở hữu second home đều bật tăng rõ rệt.</w:t>
      </w:r>
      <w:r/>
    </w:p>
    <w:p>
      <w:pPr>
        <w:pBdr/>
        <w:tabs>
          <w:tab w:val="left" w:leader="none" w:pos="426"/>
        </w:tabs>
        <w:spacing w:after="120" w:before="120" w:line="276" w:lineRule="auto"/>
        <w:ind/>
        <w:jc w:val="both"/>
        <w:rPr/>
      </w:pPr>
      <w:r>
        <w:rPr>
          <w:shd w:val="clear" w:color="auto" w:fill="ffffff"/>
        </w:rPr>
        <w:tab/>
        <w:t xml:space="preserve">"Không chỉ dừng lại ở sức mua, thị trường còn được cộng hưởng bởi quy mô dân số khổng lồ của TP.HCM mở rộng, tạo nền tảng</w:t>
      </w:r>
      <w:r>
        <w:rPr>
          <w:shd w:val="clear" w:color="auto" w:fill="ffffff"/>
        </w:rPr>
        <w:t xml:space="preserve"> tiêu thụ lâu dài cho các sản phẩm nghỉ dưỡng. Thanh khoản cải thiện thấy rõ, mức độ hấp dẫn của biệt thự biển, shophouse du lịch và căn hộ nghỉ dưỡng tăng trong thời gian qua. Có thể nói, việc sáp nhập đã giải phóng sức bật tiềm năng vốn được ủng hộ bởi v</w:t>
      </w:r>
      <w:r>
        <w:rPr>
          <w:shd w:val="clear" w:color="auto" w:fill="ffffff"/>
        </w:rPr>
        <w:t xml:space="preserve">ị trí gần TP.HCM, nay càng phát huy mạnh mẽ hơn khi Vũng Tàu trở thành một phần liền mạch của TP.HCM", ông Trí nhấn mạnh.</w:t>
      </w:r>
      <w:r/>
    </w:p>
    <w:p>
      <w:pPr>
        <w:pBdr/>
        <w:tabs>
          <w:tab w:val="left" w:leader="none" w:pos="426"/>
        </w:tabs>
        <w:spacing w:after="120" w:before="120" w:line="276" w:lineRule="auto"/>
        <w:ind/>
        <w:jc w:val="center"/>
        <w:rPr>
          <w:bCs/>
          <w:i/>
          <w:lang w:val="pt-BR"/>
        </w:rPr>
      </w:pPr>
      <w:r>
        <w:rPr>
          <w:shd w:val="clear" w:color="auto" w:fill="ffffff"/>
        </w:rPr>
      </w:r>
      <w:r>
        <w:rPr>
          <w:i/>
          <w:iCs/>
          <w:shd w:val="clear" w:color="auto" w:fill="ffffff"/>
        </w:rPr>
        <w:t xml:space="preserve">(nguồn: https://wiki.batdongsan.com.vn/tin-tuc/thi-truong-bat-dong-san-tp.hcm-nhung-chuyen-bien-moi-o-giai-doan-bung-no-cd-hcm-841059)</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60, tờ bản đồ số: 28 tỷ lệ 1/200</w:t>
            </w:r>
            <w:r>
              <w:rPr>
                <w:b/>
                <w:bCs/>
                <w:color w:val="000000"/>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b/>
                <w:bCs/>
                <w:color w:val="000000"/>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val="0"/>
                <w:bCs w:val="0"/>
                <w:color w:val="000000"/>
              </w:rPr>
            </w:pPr>
            <w:r>
              <w:rPr>
                <w:b w:val="0"/>
                <w:bCs w:val="0"/>
                <w:color w:val="000000"/>
              </w:rPr>
              <w:t xml:space="preserve">-</w:t>
            </w:r>
            <w:r>
              <w:rPr>
                <w:b w:val="0"/>
                <w:bCs w:val="0"/>
                <w:color w:val="000000"/>
              </w:rPr>
            </w:r>
            <w:r>
              <w:rPr>
                <w:b w:val="0"/>
                <w:bCs w:val="0"/>
                <w:color w:val="000000"/>
              </w:rPr>
            </w:r>
          </w:p>
        </w:tc>
        <w:tc>
          <w:tcPr>
            <w:tcBorders/>
            <w:tcW w:w="2522" w:type="dxa"/>
            <w:vAlign w:val="center"/>
            <w:textDirection w:val="lrTb"/>
            <w:noWrap w:val="false"/>
          </w:tcPr>
          <w:p>
            <w:pPr>
              <w:pBdr/>
              <w:spacing/>
              <w:ind/>
              <w:rPr>
                <w:b w:val="0"/>
                <w:bCs w:val="0"/>
                <w:color w:val="000000"/>
              </w:rPr>
            </w:pPr>
            <w:r>
              <w:rPr>
                <w:b w:val="0"/>
                <w:bCs w:val="0"/>
                <w:color w:val="000000"/>
              </w:rPr>
              <w:t xml:space="preserve">Thửa</w:t>
            </w:r>
            <w:r>
              <w:rPr>
                <w:b w:val="0"/>
                <w:bCs w:val="0"/>
                <w:color w:val="000000"/>
              </w:rPr>
              <w:t xml:space="preserve"> </w:t>
            </w:r>
            <w:r>
              <w:rPr>
                <w:b w:val="0"/>
                <w:bCs w:val="0"/>
                <w:color w:val="000000"/>
              </w:rPr>
              <w:t xml:space="preserve">đất</w:t>
            </w:r>
            <w:r>
              <w:rPr>
                <w:b w:val="0"/>
                <w:bCs w:val="0"/>
                <w:color w:val="000000"/>
              </w:rPr>
              <w:t xml:space="preserve"> </w:t>
            </w:r>
            <w:r>
              <w:rPr>
                <w:b w:val="0"/>
                <w:bCs w:val="0"/>
                <w:color w:val="000000"/>
              </w:rPr>
              <w:t xml:space="preserve">số</w:t>
            </w:r>
            <w:r>
              <w:rPr>
                <w:b w:val="0"/>
                <w:bCs w:val="0"/>
                <w:color w:val="000000"/>
              </w:rPr>
              <w:t xml:space="preserve">:</w:t>
            </w:r>
            <w:r>
              <w:rPr>
                <w:b w:val="0"/>
                <w:bCs w:val="0"/>
                <w:color w:val="000000"/>
              </w:rPr>
            </w:r>
            <w:r>
              <w:rPr>
                <w:b w:val="0"/>
                <w:bCs w:val="0"/>
                <w:color w:val="000000"/>
              </w:rPr>
            </w:r>
          </w:p>
        </w:tc>
        <w:tc>
          <w:tcPr>
            <w:tcBorders/>
            <w:tcW w:w="2126" w:type="dxa"/>
            <w:vAlign w:val="center"/>
            <w:textDirection w:val="lrTb"/>
            <w:noWrap w:val="false"/>
          </w:tcPr>
          <w:p>
            <w:pPr>
              <w:pBdr/>
              <w:spacing/>
              <w:ind/>
              <w:jc w:val="center"/>
              <w:rPr>
                <w:b w:val="0"/>
                <w:bCs w:val="0"/>
                <w:color w:val="000000"/>
              </w:rPr>
            </w:pPr>
            <w:r>
              <w:rPr>
                <w:b w:val="0"/>
                <w:bCs w:val="0"/>
                <w:color w:val="000000" w:themeColor="text1"/>
              </w:rPr>
            </w:r>
            <w:r>
              <w:rPr>
                <w:b w:val="0"/>
                <w:bCs w:val="0"/>
                <w:color w:val="000000"/>
              </w:rPr>
              <w:t xml:space="preserve">60</w:t>
            </w:r>
            <w:r>
              <w:rPr>
                <w:b w:val="0"/>
                <w:bCs w:val="0"/>
                <w:color w:val="000000"/>
              </w:rPr>
            </w:r>
            <w:r>
              <w:rPr>
                <w:b w:val="0"/>
                <w:bCs w:val="0"/>
                <w:color w:val="000000"/>
              </w:rPr>
            </w:r>
          </w:p>
        </w:tc>
        <w:tc>
          <w:tcPr>
            <w:tcBorders/>
            <w:tcW w:w="2126" w:type="dxa"/>
            <w:vAlign w:val="center"/>
            <w:textDirection w:val="lrTb"/>
            <w:noWrap w:val="false"/>
          </w:tcPr>
          <w:p>
            <w:pPr>
              <w:pBdr/>
              <w:spacing/>
              <w:ind/>
              <w:rPr>
                <w:b w:val="0"/>
                <w:bCs w:val="0"/>
                <w:color w:val="000000"/>
              </w:rPr>
            </w:pPr>
            <w:r>
              <w:rPr>
                <w:b w:val="0"/>
                <w:bCs w:val="0"/>
                <w:color w:val="000000"/>
              </w:rPr>
              <w:t xml:space="preserve">Tờ</w:t>
            </w:r>
            <w:r>
              <w:rPr>
                <w:b w:val="0"/>
                <w:bCs w:val="0"/>
                <w:color w:val="000000"/>
              </w:rPr>
              <w:t xml:space="preserve"> </w:t>
            </w:r>
            <w:r>
              <w:rPr>
                <w:b w:val="0"/>
                <w:bCs w:val="0"/>
                <w:color w:val="000000"/>
              </w:rPr>
              <w:t xml:space="preserve">bản</w:t>
            </w:r>
            <w:r>
              <w:rPr>
                <w:b w:val="0"/>
                <w:bCs w:val="0"/>
                <w:color w:val="000000"/>
              </w:rPr>
              <w:t xml:space="preserve"> </w:t>
            </w:r>
            <w:r>
              <w:rPr>
                <w:b w:val="0"/>
                <w:bCs w:val="0"/>
                <w:color w:val="000000"/>
              </w:rPr>
              <w:t xml:space="preserve">đồ</w:t>
            </w:r>
            <w:r>
              <w:rPr>
                <w:b w:val="0"/>
                <w:bCs w:val="0"/>
                <w:color w:val="000000"/>
              </w:rPr>
              <w:t xml:space="preserve"> </w:t>
            </w:r>
            <w:r>
              <w:rPr>
                <w:b w:val="0"/>
                <w:bCs w:val="0"/>
                <w:color w:val="000000"/>
              </w:rPr>
              <w:t xml:space="preserve">số</w:t>
            </w:r>
            <w:r>
              <w:rPr>
                <w:b w:val="0"/>
                <w:bCs w:val="0"/>
                <w:color w:val="000000"/>
              </w:rPr>
              <w:t xml:space="preserve">:</w:t>
            </w:r>
            <w:r>
              <w:rPr>
                <w:b w:val="0"/>
                <w:bCs w:val="0"/>
                <w:color w:val="000000"/>
              </w:rPr>
            </w:r>
            <w:r>
              <w:rPr>
                <w:b w:val="0"/>
                <w:bCs w:val="0"/>
                <w:color w:val="000000"/>
              </w:rPr>
            </w:r>
          </w:p>
        </w:tc>
        <w:tc>
          <w:tcPr>
            <w:tcBorders/>
            <w:tcW w:w="2007" w:type="dxa"/>
            <w:vAlign w:val="center"/>
            <w:textDirection w:val="lrTb"/>
            <w:noWrap w:val="false"/>
          </w:tcPr>
          <w:p>
            <w:pPr>
              <w:pBdr/>
              <w:spacing/>
              <w:ind/>
              <w:jc w:val="center"/>
              <w:rPr>
                <w:b w:val="0"/>
                <w:bCs w:val="0"/>
                <w:color w:val="ee0000"/>
              </w:rPr>
            </w:pPr>
            <w:r>
              <w:rPr>
                <w:b w:val="0"/>
                <w:bCs w:val="0"/>
                <w:color w:val="000000" w:themeColor="text1"/>
              </w:rPr>
            </w:r>
            <w:r>
              <w:rPr>
                <w:b w:val="0"/>
                <w:bCs w:val="0"/>
                <w:color w:val="000000"/>
              </w:rPr>
              <w:t xml:space="preserve">28 tỷ lệ 1/200</w:t>
            </w:r>
            <w:r>
              <w:rPr>
                <w:b w:val="0"/>
                <w:bCs w:val="0"/>
                <w:color w:val="000000"/>
              </w:rPr>
              <w:t xml:space="preserve">0</w:t>
            </w:r>
            <w:r>
              <w:rPr>
                <w:b w:val="0"/>
                <w:bCs w:val="0"/>
                <w:color w:val="ee0000"/>
              </w:rPr>
            </w:r>
            <w:r>
              <w:rPr>
                <w:b w:val="0"/>
                <w:bCs w:val="0"/>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Ấp Cầu Ri, xã Sông Xoài, huyện Tân Thành, tỉnh Bà Rịa – Vũng Tàu (nay là phường Tân Thành, thành phố Hồ Chí Minh)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1173,0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50m</w:t>
            </w:r>
            <w:r>
              <w:rPr>
                <w:color w:val="000000" w:themeColor="text1"/>
                <w:vertAlign w:val="superscript"/>
              </w:rPr>
              <w:t xml:space="preserve">2</w:t>
            </w:r>
            <w:r>
              <w:rPr>
                <w:color w:val="000000" w:themeColor="text1"/>
              </w:rPr>
              <w:t xml:space="preserve">, Đất trồng cây lâu năm: 1123,0m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Đất ở: Lâu dài</w:t>
            </w:r>
            <w:r>
              <w:rPr>
                <w:color w:val="000000" w:themeColor="text1"/>
              </w:rPr>
              <w:t xml:space="preserve">, Đất trồng cây lâu năm: Đến năm 2047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Nhận chuyển nhượng đất được công nhận QSD đất như giao đất có thu tiền sử dụng đất: 50,0m</w:t>
            </w:r>
            <w:r>
              <w:rPr>
                <w:color w:val="000000"/>
                <w:vertAlign w:val="superscript"/>
              </w:rPr>
              <w:t xml:space="preserve">2</w:t>
            </w:r>
            <w:r>
              <w:rPr>
                <w:color w:val="000000"/>
                <w:vertAlign w:val="baseline"/>
              </w:rPr>
              <w:t xml:space="preserve">; Nhận chuyển nhượng đất được công nhận QSD đất như giao đất không thu tiền sử dụng đất: 1123,0m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Võ Văn Kiệt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10.649972222222</w:t>
            </w:r>
            <w:r>
              <w:rPr>
                <w:color w:val="000000"/>
              </w:rPr>
              <w:t xml:space="preserve">, </w:t>
            </w:r>
            <w:r>
              <w:rPr>
                <w:color w:val="000000"/>
              </w:rPr>
              <w:t xml:space="preserve">107.14094444444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1173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23,1</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64,6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1"/>
        <w:gridCol w:w="2227"/>
        <w:gridCol w:w="1732"/>
        <w:gridCol w:w="1732"/>
        <w:gridCol w:w="1732"/>
        <w:gridCol w:w="1732"/>
      </w:tblGrid>
      <w:tr>
        <w:trPr>
          <w:trHeight w:val="0"/>
          <w:tblHeader/>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Sông Xoài, Huyện Tân Thành, Tỉnh Bà Rịa - Vũng Tàu (nay làphường Tân Thành, thành phố Hồ Chí Minh)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Sông Xoài, Huyện Tân Thành, Tỉnh Bà Rịa - Vũng Tàu (nay làphường Tân Thành, thành phố Hồ Chí Minh)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Sông Xoài, Huyện Tân Thành, Tỉnh Bà Rịa - Vũng Tàu (nay làphường Tân Thành, thành phố Hồ Chí Minh)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Sông Xoài, Huyện Tân Thành, Tỉnh Bà Rịa - Vũng Tàu (nay làphường Tân Thành, thành phố Hồ Chí Minh)</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u w:val="single"/>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https://guland.vn/post/ban-dat-600m2-ngang-10m-gia-52-ty-phuong-tan-thanh-1428767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https://guland.vn/post/dat-652m2-tho-400m2-mt-vo-van-kiet-tx-phu-my-49-x50-1194115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https://guland.vn/post/ban-dat-20489m2-ngang-40m-gia-1495-ty-phuong-tan-thanh-phu-my-1414043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vMerge w:val="restart"/>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tcMar>
              <w:left w:w="15" w:type="dxa"/>
              <w:top w:w="15" w:type="dxa"/>
              <w:right w:w="15" w:type="dxa"/>
              <w:bottom w:w="0" w:type="dxa"/>
            </w:tcMar>
            <w:tcW w:w="2227" w:type="dxa"/>
            <w:vAlign w:val="center"/>
            <w:vMerge w:val="restart"/>
            <w:textDirection w:val="lrTb"/>
            <w:noWrap w:val="false"/>
          </w:tcPr>
          <w:p>
            <w:pPr>
              <w:pBdr/>
              <w:shd w:val="clear" w:color="ffffff" w:themeColor="background1" w:fill="ffffff" w:themeFill="background1"/>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32" w:type="dxa"/>
            <w:vAlign w:val="center"/>
            <w:vMerge w:val="restart"/>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u w:val="single"/>
              </w:rPr>
              <w:t xml:space="preserve"> </w:t>
            </w:r>
            <w:r>
              <w:rPr>
                <w:color w:val="000000" w:themeColor="text1"/>
              </w:rPr>
            </w:r>
            <w:r>
              <w:rPr>
                <w:color w:val="000000" w:themeColor="text1"/>
              </w:rP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SDT: 0705588311</w:t>
            </w:r>
            <w:r>
              <w:rPr>
                <w:color w:val="000000" w:themeColor="text1"/>
              </w:rPr>
            </w:r>
            <w:r>
              <w:rPr>
                <w:color w:val="000000" w:themeColor="text1"/>
              </w:rP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SDT: 0988453743</w:t>
            </w:r>
            <w:r>
              <w:rPr>
                <w:color w:val="000000" w:themeColor="text1"/>
              </w:rPr>
            </w:r>
            <w:r>
              <w:rPr>
                <w:color w:val="000000" w:themeColor="text1"/>
              </w:rP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SDT: 0983284379</w:t>
            </w:r>
            <w:r>
              <w:rPr>
                <w:color w:val="000000" w:themeColor="text1"/>
              </w:rPr>
            </w:r>
            <w:r>
              <w:rPr>
                <w:color w:val="000000" w:themeColor="text1"/>
              </w:rPr>
            </w:r>
          </w:p>
        </w:tc>
      </w:tr>
      <w:tr>
        <w:trPr>
          <w:trHeight w:val="0"/>
        </w:trPr>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(Sale Trần Thuỷ Tiên)</w:t>
            </w:r>
            <w:r>
              <w:rPr>
                <w:color w:val="000000" w:themeColor="text1"/>
              </w:rPr>
            </w:r>
            <w:r>
              <w:rPr>
                <w:color w:val="000000" w:themeColor="text1"/>
              </w:rP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(Sale Phạm Văn Dưỡng)</w:t>
            </w:r>
            <w:r>
              <w:rPr>
                <w:color w:val="000000" w:themeColor="text1"/>
              </w:rPr>
            </w:r>
            <w:r>
              <w:rPr>
                <w:color w:val="000000" w:themeColor="text1"/>
              </w:rPr>
            </w:r>
          </w:p>
        </w:tc>
        <w:tc>
          <w:tcPr>
            <w:shd w:val="clear" w:color="f5f5f5" w:fill="f5f5f5"/>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hd w:val="clear" w:color="ffffff" w:themeColor="background1" w:fill="ffffff" w:themeFill="background1"/>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(Sale Lê Phương)</w:t>
            </w:r>
            <w:r>
              <w:rPr>
                <w:color w:val="000000" w:themeColor="text1"/>
              </w:rPr>
            </w:r>
            <w:r>
              <w:rPr>
                <w:color w:val="000000" w:themeColor="text1"/>
              </w:rP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2/2026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2/2026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2/2026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Đất trồng cây lâu năm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Đất trồng cây lâu năm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Đất trồng cây lâu năm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Đất trồng cây lâu năm</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 Lâu dài, Đất trồng cây lâu năm – Có thời hạn (đến 31/12/2046, 20 năm)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mặt đường Võ Văn Kiệt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mặt đường Võ Văn Kiệt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mặt đường Võ Văn Kiệt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mặt đường Võ Văn Kiệt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1173</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597,0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652,0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2.048,9</w:t>
            </w:r>
            <w:r/>
          </w:p>
        </w:tc>
      </w:tr>
      <w:tr>
        <w:trPr>
          <w:trHeight w:val="0"/>
        </w:trPr>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Diện tích đất ở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300,0 m²</w:t>
            </w:r>
            <w:r/>
          </w:p>
        </w:tc>
      </w:tr>
      <w:tr>
        <w:trPr>
          <w:trHeight w:val="0"/>
        </w:trPr>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Diện tích đất CLN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1.123,00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537,0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252,0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1.748,9 m²</w:t>
            </w:r>
            <w:r/>
          </w:p>
        </w:tc>
      </w:tr>
      <w:tr>
        <w:trPr>
          <w:trHeight w:val="0"/>
        </w:trPr>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Tỷ lệ đất ở/ tổng diện tích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10,1%</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61,3%</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14,6%</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23,1</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49,9</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tiền trước sau</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tiền trước sau</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5.200.000.000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8.000.000.000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14.950.000.000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4.160.000.000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6.400.000.000</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11.960.000.000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Giá trị đất ở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4.160.000.000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6.400.000.000  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11.960.000.000  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6.968.174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9.815.951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5.837.279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Tỷ lệ đất ở/ tổng diện tích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3"/>
        <w:gridCol w:w="1909"/>
        <w:gridCol w:w="672"/>
        <w:gridCol w:w="1580"/>
        <w:gridCol w:w="1580"/>
        <w:gridCol w:w="1580"/>
        <w:gridCol w:w="1580"/>
      </w:tblGrid>
      <w:tr>
        <w:trPr>
          <w:trHeight w:val="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4.160.000.000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6.400.000.000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11.960.000.000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9.815.951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5.837.279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9.815.951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5.837.279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mặt đường Võ Văn Kiệt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mặt đường Võ Văn Kiệt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mặt đường Võ Văn Kiệt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mặt đường Võ Văn Kiệt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9.815.951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5.837.279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9.815.951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5.837.279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1173,0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597,0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652,0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2048,9</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-348.409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-490.798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6.619.765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9.325.153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6.421.006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348.409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-981.595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8.343.558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5.837.279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Tỷ lệ đất ở/ tổng diện tích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-696.817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-1.963.190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-583.728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6.271.357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6.380.368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5.253.551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tiền trước sau</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tiền trước sau</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348.409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291.864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6.619.765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6.380.368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5.545.415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-490.798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6.619.765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5.889.571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5.545.415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2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6.619.765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5.889.571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5.545.415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6" w:space="0"/>
              <w:right w:val="single" w:color="000000" w:sz="6" w:space="0"/>
            </w:tcBorders>
            <w:tcMar>
              <w:left w:w="15" w:type="dxa"/>
              <w:top w:w="15" w:type="dxa"/>
              <w:right w:w="15" w:type="dxa"/>
              <w:bottom w:w="0" w:type="dxa"/>
            </w:tcMar>
            <w:tcW w:w="474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6.018.250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90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1.742.044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3.926.380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2.043.047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(348.409)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(3.926.380)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(291.864)</w:t>
            </w:r>
            <w:r>
              <w:rPr>
                <w:color w:val="000000" w:themeColor="text1"/>
              </w:rPr>
            </w:r>
            <w:r>
              <w:rPr>
                <w:color w:val="000000" w:themeColor="text1"/>
              </w:rP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2,1% </w:t>
      </w:r>
      <w:r>
        <w:t xml:space="preserve">đến</w:t>
      </w:r>
      <w:r>
        <w:t xml:space="preserve"> 10,0%,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1"/>
        <w:gridCol w:w="2128"/>
        <w:gridCol w:w="2053"/>
        <w:gridCol w:w="2044"/>
        <w:gridCol w:w="2538"/>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6.619.765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2.206.588 </w:t>
            </w:r>
            <w:r>
              <w:rPr>
                <w:color w:val="000000" w:themeColor="text1"/>
              </w:rPr>
            </w:r>
            <w:r>
              <w:rPr>
                <w:color w:val="000000" w:themeColor="text1"/>
              </w:rP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5.889.571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1.962.994 </w:t>
            </w:r>
            <w:r>
              <w:rPr>
                <w:color w:val="000000" w:themeColor="text1"/>
              </w:rPr>
            </w:r>
            <w:r>
              <w:rPr>
                <w:color w:val="000000" w:themeColor="text1"/>
              </w:rP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5.545.415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                1.848.472 </w:t>
            </w:r>
            <w:r>
              <w:rPr>
                <w:color w:val="000000" w:themeColor="text1"/>
              </w:rPr>
            </w:r>
            <w:r>
              <w:rPr>
                <w:color w:val="000000" w:themeColor="text1"/>
              </w:rP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b/>
                <w:color w:val="000000" w:themeColor="text1"/>
                <w:sz w:val="24"/>
              </w:rPr>
              <w:t xml:space="preserve">                6.018.054 </w:t>
            </w:r>
            <w:r>
              <w:rPr>
                <w:color w:val="000000" w:themeColor="text1"/>
              </w:rPr>
            </w:r>
            <w:r>
              <w:rPr>
                <w:color w:val="000000" w:themeColor="text1"/>
              </w:rP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38"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b/>
                <w:color w:val="000000" w:themeColor="text1"/>
                <w:sz w:val="24"/>
              </w:rPr>
              <w:t xml:space="preserve">                6.000.000 </w:t>
            </w:r>
            <w:r>
              <w:rPr>
                <w:color w:val="000000" w:themeColor="text1"/>
              </w:rPr>
            </w:r>
            <w:r>
              <w:rPr>
                <w:color w:val="000000" w:themeColor="text1"/>
              </w:rPr>
            </w:r>
          </w:p>
        </w:tc>
      </w:tr>
    </w:tbl>
    <w:p>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6.000.000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Xác định đơn giá đất ở và đất trồng cây lâu năm:</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themeColor="text1"/>
          <w:sz w:val="24"/>
          <w:szCs w:val="24"/>
        </w:rPr>
        <w:t xml:space="preserve">Vận dụng </w:t>
      </w:r>
      <w:r>
        <w:rPr>
          <w:rFonts w:ascii="Times New Roman" w:hAnsi="Times New Roman" w:eastAsia="Times New Roman" w:cs="Times New Roman"/>
          <w:color w:val="000000" w:themeColor="text1"/>
          <w:sz w:val="24"/>
          <w:szCs w:val="24"/>
          <w:highlight w:val="white"/>
        </w:rPr>
        <w:t xml:space="preserve">Ngày 26/12/2025, Hội đồng nhân dân Thành phố Hồ Chí Minh khóa X, Kỳ họp thứ bảy thông qua </w:t>
      </w:r>
      <w:hyperlink r:id="rId19" w:tooltip="https://thuvienphapluat.vn/chinh-sach-phap-luat-moi/vn/ho-tro-phap-luat/bat-dong-san/102188/bang-gia-dat-tphcm-nam-2026-chinh-thuc" w:history="1">
        <w:r>
          <w:rPr>
            <w:rStyle w:val="1025"/>
            <w:rFonts w:ascii="Times New Roman" w:hAnsi="Times New Roman" w:eastAsia="Times New Roman" w:cs="Times New Roman"/>
            <w:color w:val="000000" w:themeColor="text1"/>
            <w:sz w:val="24"/>
            <w:szCs w:val="24"/>
            <w:highlight w:val="white"/>
            <w:u w:val="none"/>
          </w:rPr>
          <w:t xml:space="preserve">Nghị quyết 87/2025/NQ-HĐND</w:t>
        </w:r>
      </w:hyperlink>
      <w:r>
        <w:rPr>
          <w:rFonts w:ascii="Times New Roman" w:hAnsi="Times New Roman" w:eastAsia="Times New Roman" w:cs="Times New Roman"/>
          <w:color w:val="000000" w:themeColor="text1"/>
          <w:sz w:val="24"/>
          <w:szCs w:val="24"/>
          <w:highlight w:val="white"/>
        </w:rPr>
        <w:t xml:space="preserve"> ban hành quy định Bảng giá đất lần đầu áp dụng từ ngày 01 tháng 01 năm 2026 trên địa bàn Thành phố Hồ Chí Minh</w:t>
      </w:r>
      <w:r>
        <w:rPr>
          <w:rFonts w:ascii="Arial" w:hAnsi="Arial" w:eastAsia="Arial" w:cs="Arial"/>
          <w:color w:val="333333"/>
          <w:sz w:val="21"/>
          <w:highlight w:val="white"/>
        </w:rPr>
        <w:t xml:space="preserve">.</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tại đường Mỹ Xuân - Ngãi Giao: Đoạn còn lại đến ranh giới xã Sông Xoài cũ có đơn giá là: </w:t>
      </w:r>
      <w:r>
        <w:rPr>
          <w:rFonts w:ascii="Times New Roman" w:hAnsi="Times New Roman" w:eastAsia="Times New Roman" w:cs="Times New Roman"/>
          <w:b/>
          <w:color w:val="000000"/>
          <w:sz w:val="24"/>
        </w:rPr>
        <w:t xml:space="preserve">8.870.000 đồng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tại phương Tân Thành: </w:t>
      </w:r>
      <w:r>
        <w:rPr>
          <w:rFonts w:ascii="Times New Roman" w:hAnsi="Times New Roman" w:eastAsia="Times New Roman" w:cs="Times New Roman"/>
          <w:b/>
          <w:color w:val="000000"/>
          <w:sz w:val="24"/>
        </w:rPr>
        <w:t xml:space="preserve">1.200.000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50*X + 1123*Y = 6.000.000 * 1173</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50*X + 1123*Y = 7.038.000.000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8.870.000 - 1.200.000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7.670.000 </w:t>
      </w:r>
      <w:r>
        <w:rPr>
          <w:rFonts w:ascii="Times New Roman" w:hAnsi="Times New Roman" w:eastAsia="Times New Roman" w:cs="Times New Roman"/>
          <w:color w:val="000000"/>
          <w:sz w:val="20"/>
          <w:vertAlign w:val="superscript"/>
        </w:rPr>
        <w:t xml:space="preserve">(2)</w:t>
      </w:r>
      <w:r/>
    </w:p>
    <w:p>
      <w:pPr>
        <w:pBdr/>
        <w:spacing w:after="120" w:before="120" w:line="276" w:lineRule="auto"/>
        <w:ind/>
        <w:jc w:val="both"/>
        <w:rPr>
          <w:b/>
          <w:bCs/>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13.343.061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5.673.061 đồng/m</w:t>
      </w:r>
      <w:r>
        <w:rPr>
          <w:rFonts w:ascii="Times New Roman" w:hAnsi="Times New Roman" w:eastAsia="Times New Roman" w:cs="Times New Roman"/>
          <w:b/>
          <w:color w:val="000000"/>
          <w:sz w:val="20"/>
          <w:vertAlign w:val="superscript"/>
        </w:rPr>
        <w:t xml:space="preserve">2</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6"/>
        <w:gridCol w:w="2248"/>
        <w:gridCol w:w="1843"/>
        <w:gridCol w:w="2835"/>
        <w:gridCol w:w="1843"/>
      </w:tblGrid>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4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2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60, tờ bản đồ số: 28 tỷ lệ 1/200</w:t>
            </w:r>
            <w:r>
              <w:rPr>
                <w:color w:val="000000"/>
              </w:rPr>
              <w:t xml:space="preserve">0 (cập nhập ngày 14/1/2020) có địa chỉ: Ấp Cầu Ri, xã Sông Xoài, huyện Tân Thành, tỉnh Bà Rịa – Vũng Tàu (nay là phường Tân Thành, thành phố Hồ Chí Minh) theo Giấy chứng nhận quyền sử dụng đất quyền sở hữu nhà ở và tài sản khác gắn liền với đất số: CH 3598</w:t>
            </w:r>
            <w:r>
              <w:rPr>
                <w:color w:val="000000"/>
              </w:rPr>
              <w:t xml:space="preserve">19, số vào sổ cấp GCN: CS02523 do Sở Tài nguyên và Môi trường tỉnh Bà Rịa - Vũng Tàu cấp ngày 10/5/2017; Chủ sử dụng đất là Ông Trần Văn Khanh và Bà Cái Thị Diễm Trang cùng sử dụng đất với Ông Đinh Văn Hiển và Bà Nguyễn Thị Lương (cập nhập ngày 12/10/2017)</w:t>
            </w:r>
            <w:r>
              <w:rPr>
                <w:b/>
                <w:bCs/>
              </w:rPr>
              <w:t xml:space="preserve">.</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48" w:type="dxa"/>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2835" w:type="dxa"/>
            <w:vAlign w:val="center"/>
            <w:textDirection w:val="lrTb"/>
            <w:noWrap w:val="false"/>
          </w:tcPr>
          <w:p>
            <w:pPr>
              <w:pBdr/>
              <w:spacing w:after="40" w:before="40" w:line="288" w:lineRule="auto"/>
              <w:ind/>
              <w:jc w:val="center"/>
              <w:rPr/>
            </w:pPr>
            <w:r>
              <w:rPr>
                <w:color w:val="000000" w:themeColor="text1"/>
              </w:rPr>
              <w:t xml:space="preserve">13.343.061</w:t>
            </w:r>
            <w:r/>
          </w:p>
        </w:tc>
        <w:tc>
          <w:tcPr>
            <w:shd w:val="clear" w:color="000000" w:fill="ffffff"/>
            <w:tcBorders/>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667.153.050</w:t>
            </w: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248"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1123</w:t>
            </w:r>
            <w:r>
              <w:rPr>
                <w:color w:val="000000"/>
              </w:rPr>
            </w:r>
            <w:r>
              <w:rPr>
                <w:color w:val="000000"/>
              </w:rPr>
            </w:r>
          </w:p>
        </w:tc>
        <w:tc>
          <w:tcPr>
            <w:shd w:val="clear" w:color="000000" w:fill="ffffff"/>
            <w:tcBorders/>
            <w:tcW w:w="2835" w:type="dxa"/>
            <w:vAlign w:val="center"/>
            <w:textDirection w:val="lrTb"/>
            <w:noWrap w:val="false"/>
          </w:tcPr>
          <w:p>
            <w:pPr>
              <w:pBdr/>
              <w:spacing w:after="40" w:before="40" w:line="288" w:lineRule="auto"/>
              <w:ind/>
              <w:jc w:val="center"/>
              <w:rPr/>
            </w:pPr>
            <w:r>
              <w:rPr>
                <w:color w:val="000000" w:themeColor="text1"/>
              </w:rPr>
              <w:t xml:space="preserve">5.673.061</w:t>
            </w:r>
            <w:r/>
          </w:p>
        </w:tc>
        <w:tc>
          <w:tcPr>
            <w:shd w:val="clear" w:color="000000" w:fill="ffffff"/>
            <w:tcBorders/>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6.370.847.503</w:t>
            </w:r>
            <w:r/>
          </w:p>
        </w:tc>
      </w:tr>
      <w:tr>
        <w:trPr>
          <w:trHeight w:val="20"/>
        </w:trPr>
        <w:tc>
          <w:tcPr>
            <w:gridSpan w:val="4"/>
            <w:tcBorders/>
            <w:tcW w:w="768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7.038.000.553</w:t>
            </w:r>
            <w:r/>
          </w:p>
        </w:tc>
      </w:tr>
      <w:tr>
        <w:trPr>
          <w:trHeight w:val="20"/>
        </w:trPr>
        <w:tc>
          <w:tcPr>
            <w:gridSpan w:val="4"/>
            <w:tcBorders/>
            <w:tcW w:w="768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43" w:type="dxa"/>
            <w:vAlign w:val="center"/>
            <w:textDirection w:val="lrTb"/>
            <w:noWrap/>
          </w:tcPr>
          <w:p>
            <w:pPr>
              <w:pBdr/>
              <w:spacing w:after="40" w:before="40" w:line="288" w:lineRule="auto"/>
              <w:ind/>
              <w:jc w:val="center"/>
              <w:rPr>
                <w:b/>
                <w:bCs/>
                <w:color w:val="000000"/>
              </w:rPr>
            </w:pPr>
            <w:r>
              <w:rPr>
                <w:b/>
                <w:bCs/>
                <w:color w:val="000000"/>
              </w:rPr>
              <w:t xml:space="preserve">7.038.000.000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ba mươi tám triệu đồng </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275/2026/0270/VFI-CT.48.A</w:t>
      </w:r>
      <w:r>
        <w:rPr>
          <w:color w:val="ff0000"/>
          <w:lang w:val="vi-VN"/>
        </w:rPr>
        <w:t xml:space="preserve"> </w:t>
      </w:r>
      <w:r>
        <w:rPr>
          <w:color w:val="000000" w:themeColor="text1"/>
        </w:rPr>
        <w:t xml:space="preserve">ngày 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275/2026/0270/VFI-BC.48.A ngày</w:t>
      </w:r>
      <w:r>
        <w:rPr>
          <w:i/>
          <w:lang w:val="pt-BR"/>
        </w:rPr>
        <w:t xml:space="preserve"> </w:t>
      </w:r>
      <w:r>
        <w:rPr>
          <w:i/>
          <w:lang w:val="pt-BR"/>
        </w:rPr>
        <w:t xml:space="preserve">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34353" cy="2232645"/>
                      <wp:effectExtent l="0" t="0" r="0" b="0"/>
                      <wp:docPr id="6" name=""/>
                      <wp:cNvGraphicFramePr/>
                      <a:graphic xmlns:a="http://schemas.openxmlformats.org/drawingml/2006/main">
                        <a:graphicData uri="http://schemas.openxmlformats.org/drawingml/2006/picture">
                          <pic:pic xmlns:pic="http://schemas.openxmlformats.org/drawingml/2006/picture">
                            <pic:nvPicPr>
                              <pic:cNvPr id="226387102" name="" descr=""/>
                              <pic:cNvPicPr/>
                              <pic:nvPr/>
                            </pic:nvPicPr>
                            <pic:blipFill rotWithShape="1">
                              <a:blip r:embed="rId20"/>
                            </pic:blipFill>
                            <pic:spPr bwMode="auto">
                              <a:xfrm flipH="0" flipV="0">
                                <a:off x="0" y="0"/>
                                <a:ext cx="1434352" cy="22326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75.8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97176" cy="2320795"/>
                      <wp:effectExtent l="0" t="0" r="0" b="0"/>
                      <wp:docPr id="7" name=""/>
                      <wp:cNvGraphicFramePr/>
                      <a:graphic xmlns:a="http://schemas.openxmlformats.org/drawingml/2006/main">
                        <a:graphicData uri="http://schemas.openxmlformats.org/drawingml/2006/picture">
                          <pic:pic xmlns:pic="http://schemas.openxmlformats.org/drawingml/2006/picture">
                            <pic:nvPicPr>
                              <pic:cNvPr id="1814257649" name="" descr=""/>
                              <pic:cNvPicPr/>
                              <pic:nvPr/>
                            </pic:nvPicPr>
                            <pic:blipFill rotWithShape="1">
                              <a:blip r:embed="rId21"/>
                            </pic:blipFill>
                            <pic:spPr bwMode="auto">
                              <a:xfrm flipH="0" flipV="0">
                                <a:off x="0" y="0"/>
                                <a:ext cx="2897175" cy="23207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12pt;height:182.7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46930" cy="2177420"/>
                      <wp:effectExtent l="0" t="0" r="0" b="0"/>
                      <wp:docPr id="8" name=""/>
                      <wp:cNvGraphicFramePr/>
                      <a:graphic xmlns:a="http://schemas.openxmlformats.org/drawingml/2006/main">
                        <a:graphicData uri="http://schemas.openxmlformats.org/drawingml/2006/picture">
                          <pic:pic xmlns:pic="http://schemas.openxmlformats.org/drawingml/2006/picture">
                            <pic:nvPicPr>
                              <pic:cNvPr id="353255800" name="" descr=""/>
                              <pic:cNvPicPr/>
                              <pic:nvPr/>
                            </pic:nvPicPr>
                            <pic:blipFill rotWithShape="1">
                              <a:blip r:embed="rId22"/>
                              <a:stretch/>
                            </pic:blipFill>
                            <pic:spPr bwMode="auto">
                              <a:xfrm flipH="0" flipV="0">
                                <a:off x="0" y="0"/>
                                <a:ext cx="2746930" cy="21774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29pt;height:171.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63609" cy="204979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46965" name=""/>
                              <pic:cNvPicPr>
                                <a:picLocks noChangeAspect="1"/>
                              </pic:cNvPicPr>
                              <pic:nvPr/>
                            </pic:nvPicPr>
                            <pic:blipFill rotWithShape="1">
                              <a:blip r:embed="rId23"/>
                              <a:srcRect l="0" t="0" r="4906" b="0"/>
                              <a:stretch/>
                            </pic:blipFill>
                            <pic:spPr bwMode="auto">
                              <a:xfrm flipH="0" flipV="0">
                                <a:off x="0" y="0"/>
                                <a:ext cx="3063609" cy="2049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23pt;height:161.40pt;mso-wrap-distance-left:0.00pt;mso-wrap-distance-top:0.00pt;mso-wrap-distance-right:0.00pt;mso-wrap-distance-bottom:0.00pt;z-index:1;" stroked="false">
                      <v:imagedata r:id="rId23" o:title="" croptop="0f" cropleft="0f" cropbottom="0f" cropright="3215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w:t>
            </w:r>
            <w:r>
              <w:rPr>
                <w:b/>
                <w:bCs/>
                <w:i/>
                <w:lang w:val="pt-BR"/>
              </w:rPr>
              <w:t xml:space="preserve"> </w:t>
            </w:r>
            <w:r>
              <w:rPr>
                <w:b/>
                <w:bCs/>
                <w:i/>
                <w:lang w:val="pt-BR"/>
              </w:rPr>
              <w:t xml:space="preserve">sau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57421" cy="2091547"/>
                      <wp:effectExtent l="0" t="0" r="0" b="0"/>
                      <wp:docPr id="10" name=""/>
                      <wp:cNvGraphicFramePr/>
                      <a:graphic xmlns:a="http://schemas.openxmlformats.org/drawingml/2006/main">
                        <a:graphicData uri="http://schemas.openxmlformats.org/drawingml/2006/picture">
                          <pic:pic xmlns:pic="http://schemas.openxmlformats.org/drawingml/2006/picture">
                            <pic:nvPicPr>
                              <pic:cNvPr id="344052951" name="" descr=""/>
                              <pic:cNvPicPr/>
                              <pic:nvPr/>
                            </pic:nvPicPr>
                            <pic:blipFill rotWithShape="1">
                              <a:blip r:embed="rId24"/>
                            </pic:blipFill>
                            <pic:spPr bwMode="auto">
                              <a:xfrm flipH="0" flipV="0">
                                <a:off x="0" y="0"/>
                                <a:ext cx="2757421" cy="20915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12pt;height:164.69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44960" cy="21337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04522" name=""/>
                              <pic:cNvPicPr>
                                <a:picLocks noChangeAspect="1"/>
                              </pic:cNvPicPr>
                              <pic:nvPr/>
                            </pic:nvPicPr>
                            <pic:blipFill rotWithShape="1">
                              <a:blip r:embed="rId25"/>
                              <a:stretch/>
                            </pic:blipFill>
                            <pic:spPr bwMode="auto">
                              <a:xfrm flipH="0" flipV="0">
                                <a:off x="0" y="0"/>
                                <a:ext cx="2844960" cy="2133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01pt;height:168.0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275/2026/0270/VFI-BC.48.A</w:t>
      </w:r>
      <w:r>
        <w:rPr>
          <w:i/>
          <w:lang w:val="pt-BR"/>
        </w:rPr>
        <w:t xml:space="preserve"> </w:t>
      </w:r>
      <w:r>
        <w:rPr>
          <w:i/>
          <w:lang w:val="pt-BR"/>
        </w:rPr>
        <w:t xml:space="preserve">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575554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29442" name=""/>
                        <pic:cNvPicPr>
                          <a:picLocks noChangeAspect="1"/>
                        </pic:cNvPicPr>
                        <pic:nvPr/>
                      </pic:nvPicPr>
                      <pic:blipFill rotWithShape="1">
                        <a:blip r:embed="rId26"/>
                        <a:stretch/>
                      </pic:blipFill>
                      <pic:spPr bwMode="auto">
                        <a:xfrm flipH="0" flipV="0">
                          <a:off x="0" y="0"/>
                          <a:ext cx="6048374" cy="5755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53.19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56690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03341" name=""/>
                        <pic:cNvPicPr>
                          <a:picLocks noChangeAspect="1"/>
                        </pic:cNvPicPr>
                        <pic:nvPr/>
                      </pic:nvPicPr>
                      <pic:blipFill rotWithShape="1">
                        <a:blip r:embed="rId27"/>
                        <a:stretch/>
                      </pic:blipFill>
                      <pic:spPr bwMode="auto">
                        <a:xfrm flipH="0" flipV="0">
                          <a:off x="0" y="0"/>
                          <a:ext cx="6048374" cy="5566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38.34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94790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60236" name=""/>
                        <pic:cNvPicPr>
                          <a:picLocks noChangeAspect="1"/>
                        </pic:cNvPicPr>
                        <pic:nvPr/>
                      </pic:nvPicPr>
                      <pic:blipFill rotWithShape="1">
                        <a:blip r:embed="rId28"/>
                        <a:stretch/>
                      </pic:blipFill>
                      <pic:spPr bwMode="auto">
                        <a:xfrm flipH="0" flipV="0">
                          <a:off x="0" y="0"/>
                          <a:ext cx="6048374" cy="59479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68.34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jc w:val="center"/>
        <w:rPr>
          <w:b/>
          <w:bCs/>
          <w:highlight w:val="none"/>
          <w:lang w:val="pt-BR"/>
        </w:rPr>
      </w:pPr>
      <w:r>
        <w:rPr>
          <w:b/>
          <w:bCs/>
          <w:iCs/>
          <w:lang w:val="pt-BR"/>
        </w:rPr>
        <w:br w:type="page" w:clear="all"/>
        <w:t xml:space="preserve">GIẤY CHỨNG NHẬN QSDĐ</w:t>
      </w:r>
      <w:r>
        <w:rPr>
          <w:b/>
          <w:bCs/>
          <w:highlight w:val="none"/>
          <w:lang w:val="pt-BR"/>
        </w:rPr>
      </w:r>
      <w:r>
        <w:rPr>
          <w:b/>
          <w:bCs/>
          <w:highlight w:val="none"/>
          <w:lang w:val="pt-BR"/>
        </w:rPr>
      </w:r>
    </w:p>
    <w:p>
      <w:pPr>
        <w:pBdr/>
        <w:shd w:val="nil" w:color="000000"/>
        <w:spacing/>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31021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52740" name=""/>
                        <pic:cNvPicPr>
                          <a:picLocks noChangeAspect="1"/>
                        </pic:cNvPicPr>
                        <pic:nvPr/>
                      </pic:nvPicPr>
                      <pic:blipFill rotWithShape="1">
                        <a:blip r:embed="rId29"/>
                        <a:stretch/>
                      </pic:blipFill>
                      <pic:spPr bwMode="auto">
                        <a:xfrm>
                          <a:off x="0" y="0"/>
                          <a:ext cx="6048374" cy="4310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39.39pt;mso-wrap-distance-left:0.00pt;mso-wrap-distance-top:0.00pt;mso-wrap-distance-right:0.00pt;mso-wrap-distance-bottom:0.00pt;z-index:1;" stroked="false">
                <v:imagedata r:id="rId29" o:title=""/>
                <o:lock v:ext="edit" rotation="t"/>
              </v:shape>
            </w:pict>
          </mc:Fallback>
        </mc:AlternateContent>
      </w:r>
      <w:r>
        <w:rPr>
          <w:b/>
          <w:bCs/>
          <w:highlight w:val="none"/>
          <w:lang w:val="pt-BR"/>
        </w:rPr>
      </w:r>
      <w:r>
        <w:rPr>
          <w:b/>
          <w:bCs/>
          <w:highlight w:val="none"/>
          <w:lang w:val="pt-BR"/>
        </w:rPr>
      </w:r>
    </w:p>
    <w:p>
      <w:pPr>
        <w:pBdr/>
        <w:shd w:val="nil" w:color="000000"/>
        <w:spacing/>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427460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42490" name=""/>
                        <pic:cNvPicPr>
                          <a:picLocks noChangeAspect="1"/>
                        </pic:cNvPicPr>
                        <pic:nvPr/>
                      </pic:nvPicPr>
                      <pic:blipFill rotWithShape="1">
                        <a:blip r:embed="rId30"/>
                        <a:stretch/>
                      </pic:blipFill>
                      <pic:spPr bwMode="auto">
                        <a:xfrm>
                          <a:off x="0" y="0"/>
                          <a:ext cx="6048374" cy="427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36.58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hd w:val="nil" w:color="000000"/>
        <w:spacing/>
        <w:ind/>
        <w:jc w:val="center"/>
        <w:rPr>
          <w:b/>
          <w:bCs/>
        </w:rPr>
      </w:pPr>
      <w:r>
        <w:rPr>
          <w:b/>
          <w:bCs/>
        </w:rPr>
      </w:r>
      <w:r>
        <w:rPr>
          <w:b/>
          <w:bCs/>
        </w:rPr>
      </w:r>
      <w:r>
        <w:rPr>
          <w:b/>
          <w:bCs/>
        </w:rPr>
      </w:r>
    </w:p>
    <w:p>
      <w:pPr>
        <w:pBdr/>
        <w:shd w:val="nil" w:color="000000"/>
        <w:spacing/>
        <w:ind/>
        <w:jc w:val="center"/>
        <w:rPr>
          <w:b/>
          <w:bCs/>
        </w:rPr>
      </w:pPr>
      <w:r>
        <w:rPr>
          <w:b/>
          <w:bCs/>
        </w:rPr>
      </w:r>
      <w:r>
        <w:rPr>
          <w:b/>
          <w:bCs/>
        </w:rPr>
      </w:r>
      <w:r>
        <w:rPr>
          <w:b/>
          <w:bCs/>
        </w:rPr>
      </w:r>
    </w:p>
    <w:p>
      <w:pPr>
        <w:pBdr/>
        <w:shd w:val="nil" w:color="000000"/>
        <w:spacing/>
        <w:ind/>
        <w:jc w:val="center"/>
        <w:rPr>
          <w:highlight w:val="none"/>
        </w:rPr>
      </w:pPr>
      <w:r>
        <w:rPr>
          <w:highlight w:val="none"/>
        </w:rPr>
      </w:r>
      <w:r>
        <mc:AlternateContent>
          <mc:Choice Requires="wpg">
            <w:drawing>
              <wp:inline xmlns:wp="http://schemas.openxmlformats.org/drawingml/2006/wordprocessingDrawing" distT="0" distB="0" distL="0" distR="0">
                <wp:extent cx="8371935" cy="611703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14214" name=""/>
                        <pic:cNvPicPr>
                          <a:picLocks noChangeAspect="1"/>
                        </pic:cNvPicPr>
                        <pic:nvPr/>
                      </pic:nvPicPr>
                      <pic:blipFill rotWithShape="1">
                        <a:blip r:embed="rId31"/>
                        <a:stretch/>
                      </pic:blipFill>
                      <pic:spPr bwMode="auto">
                        <a:xfrm rot="16199969" flipH="0" flipV="0">
                          <a:off x="0" y="0"/>
                          <a:ext cx="8371934" cy="6117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59.21pt;height:481.66pt;mso-wrap-distance-left:0.00pt;mso-wrap-distance-top:0.00pt;mso-wrap-distance-right:0.00pt;mso-wrap-distance-bottom:0.00pt;rotation:269;z-index:1;" stroked="false">
                <v:imagedata r:id="rId31"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hd w:val="nil" w:color="000000"/>
        <w:spacing/>
        <w:ind/>
        <w:jc w:val="center"/>
        <w:rPr>
          <w:highlight w:val="none"/>
        </w:rPr>
      </w:pPr>
      <w:r>
        <w:rPr>
          <w:highlight w:val="none"/>
        </w:rPr>
      </w:r>
      <w:r>
        <mc:AlternateContent>
          <mc:Choice Requires="wpg">
            <w:drawing>
              <wp:inline xmlns:wp="http://schemas.openxmlformats.org/drawingml/2006/wordprocessingDrawing" distT="0" distB="0" distL="0" distR="0">
                <wp:extent cx="8409947" cy="616301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15932" name=""/>
                        <pic:cNvPicPr>
                          <a:picLocks noChangeAspect="1"/>
                        </pic:cNvPicPr>
                        <pic:nvPr/>
                      </pic:nvPicPr>
                      <pic:blipFill rotWithShape="1">
                        <a:blip r:embed="rId32"/>
                        <a:stretch/>
                      </pic:blipFill>
                      <pic:spPr bwMode="auto">
                        <a:xfrm rot="16199969" flipH="0" flipV="0">
                          <a:off x="0" y="0"/>
                          <a:ext cx="8409947" cy="6163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62.20pt;height:485.28pt;mso-wrap-distance-left:0.00pt;mso-wrap-distance-top:0.00pt;mso-wrap-distance-right:0.00pt;mso-wrap-distance-bottom:0.00pt;rotation:269;z-index:1;" stroked="false">
                <v:imagedata r:id="rId32"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hd w:val="nil" w:color="000000"/>
        <w:spacing/>
        <w:ind/>
        <w:jc w:val="center"/>
        <w:rPr>
          <w:b/>
          <w:bCs/>
          <w:highlight w:val="none"/>
        </w:rPr>
      </w:pPr>
      <w:r>
        <w:rPr>
          <w:b/>
          <w:bCs/>
          <w:highlight w:val="none"/>
        </w:rPr>
        <w:t xml:space="preserve">BIÊN BẢN KHẢO SÁT</w:t>
      </w:r>
      <w:r>
        <w:rPr>
          <w:b/>
          <w:bCs/>
          <w:highlight w:val="none"/>
        </w:rPr>
      </w:r>
      <w:r>
        <w:rPr>
          <w:b/>
          <w:bCs/>
          <w:highlight w:val="none"/>
        </w:rPr>
      </w:r>
    </w:p>
    <w:p>
      <w:pPr>
        <w:pBdr/>
        <w:shd w:val="nil" w:color="000000"/>
        <w:spacing/>
        <w:ind/>
        <w:jc w:val="center"/>
        <w:rPr>
          <w:b/>
          <w:bCs/>
        </w:rPr>
      </w:pPr>
      <w:r>
        <w:rPr>
          <w:b/>
          <w:bCs/>
          <w:highlight w:val="none"/>
        </w:rPr>
      </w:r>
      <w:r>
        <mc:AlternateContent>
          <mc:Choice Requires="wpg">
            <w:drawing>
              <wp:inline xmlns:wp="http://schemas.openxmlformats.org/drawingml/2006/wordprocessingDrawing" distT="0" distB="0" distL="0" distR="0">
                <wp:extent cx="5878494" cy="848244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9925" name=""/>
                        <pic:cNvPicPr>
                          <a:picLocks noChangeAspect="1"/>
                        </pic:cNvPicPr>
                        <pic:nvPr/>
                      </pic:nvPicPr>
                      <pic:blipFill rotWithShape="1">
                        <a:blip r:embed="rId33"/>
                        <a:srcRect l="0" t="0" r="0" b="4912"/>
                        <a:stretch/>
                      </pic:blipFill>
                      <pic:spPr bwMode="auto">
                        <a:xfrm flipH="0" flipV="0">
                          <a:off x="0" y="0"/>
                          <a:ext cx="5878494" cy="8482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2.87pt;height:667.91pt;mso-wrap-distance-left:0.00pt;mso-wrap-distance-top:0.00pt;mso-wrap-distance-right:0.00pt;mso-wrap-distance-bottom:0.00pt;z-index:1;" stroked="false">
                <v:imagedata r:id="rId33" o:title="" croptop="0f" cropleft="0f" cropbottom="3219f" cropright="0f"/>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hyperlink" Target="https://thuvienphapluat.vn/chinh-sach-phap-luat-moi/vn/ho-tro-phap-luat/bat-dong-san/102188/bang-gia-dat-tphcm-nam-2026-chinh-thuc" TargetMode="External"/><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2026-02-07T01:50:43Z</dcterms:modified>
</cp:coreProperties>
</file>