
<file path=[Content_Types].xml><?xml version="1.0" encoding="utf-8"?>
<Types xmlns="http://schemas.openxmlformats.org/package/2006/content-types">
  <Default Extension="gif" ContentType="image/gif"/>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line="276" w:lineRule="auto"/>
        <w:ind w:right="-1"/>
        <w:jc w:val="center"/>
        <w:rPr>
          <w:b/>
          <w:sz w:val="28"/>
          <w:lang w:val="vi-VN"/>
        </w:rPr>
      </w:pPr>
      <w:r>
        <w:rPr>
          <w:b/>
          <w:sz w:val="28"/>
          <w:lang w:val="vi-VN"/>
        </w:rPr>
      </w:r>
      <w:r>
        <w:rPr>
          <w:b/>
          <w:sz w:val="28"/>
          <w:lang w:val="vi-VN"/>
        </w:rPr>
      </w:r>
      <w:r>
        <w:rPr>
          <w:b/>
          <w:sz w:val="28"/>
          <w:lang w:val="vi-VN"/>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0396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0396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275/2026/0274/VFI-CT.27.A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QUANG HÀ</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246, tờ bản đồ số: 97 có địa chỉ: Thôn Đồng Trạng, xã Đoài </w:t>
                            </w:r>
                            <w:r>
                              <w:rPr>
                                <w:color w:val="000000"/>
                              </w:rPr>
                              <w:t xml:space="preserve">Phương, thành phố Hà Nội theo Giấy chứng nhận quyền sử dụng đất quyền sở hữu tài sản gắn liền với đất số: AA 02940288, số vào sổ cấp GCN: CN 3368 do Chi nhánh văn phòng đăng ký đất đai Hà Nội cấp ngày 08/9/2025 cho ông Nguyễn Quang Hà và bà Nguyễn Thị Hòa.</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39.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275/2026/0274/VFI-CT.27.A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QUANG HÀ</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246, tờ bản đồ số: 97 có địa chỉ: Thôn Đồng Trạng, xã Đoài </w:t>
                      </w:r>
                      <w:r>
                        <w:rPr>
                          <w:color w:val="000000"/>
                        </w:rPr>
                        <w:t xml:space="preserve">Phương, thành phố Hà Nội theo Giấy chứng nhận quyền sử dụng đất quyền sở hữu tài sản gắn liền với đất số: AA 02940288, số vào sổ cấp GCN: CN 3368 do Chi nhánh văn phòng đăng ký đất đai Hà Nội cấp ngày 08/9/2025 cho ông Nguyễn Quang Hà và bà Nguyễn Thị Hòa.</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left"/>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line="276" w:lineRule="auto"/>
        <w:ind w:right="-1"/>
        <w:jc w:val="center"/>
        <w:rPr>
          <w:sz w:val="28"/>
        </w:rPr>
      </w:pPr>
      <w:r>
        <w:rPr>
          <w:b/>
          <w:sz w:val="28"/>
        </w:rPr>
        <w:t xml:space="preserve">MỤC LỤC</w:t>
      </w:r>
      <w:r>
        <w:rPr>
          <w:sz w:val="28"/>
        </w:rPr>
      </w:r>
      <w:r>
        <w:rPr>
          <w:sz w:val="28"/>
        </w:rPr>
      </w:r>
    </w:p>
    <w:p>
      <w:pPr>
        <w:pBdr/>
        <w:spacing w:line="276" w:lineRule="auto"/>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line="276" w:lineRule="auto"/>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line="276" w:lineRule="auto"/>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line="276" w:lineRule="auto"/>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line="276" w:lineRule="auto"/>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line="276" w:lineRule="auto"/>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76"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76"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bCs/>
              </w:rPr>
            </w:pPr>
            <w:r>
              <w:rPr>
                <w:b/>
                <w:bCs/>
              </w:rPr>
              <w:t xml:space="preserve">19-22</w:t>
            </w:r>
            <w:r>
              <w:rPr>
                <w:b/>
                <w:bCs/>
              </w:rPr>
            </w:r>
            <w:r>
              <w:rPr>
                <w:b/>
                <w:bCs/>
              </w:rPr>
            </w:r>
          </w:p>
        </w:tc>
      </w:tr>
    </w:tbl>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Style w:val="1035"/>
        <w:tblInd w:w="13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809"/>
        <w:gridCol w:w="2410"/>
        <w:gridCol w:w="5385"/>
      </w:tblGrid>
      <w:tr>
        <w:trPr>
          <w:trHeight w:val="20"/>
        </w:trPr>
        <w:tc>
          <w:tcPr>
            <w:tcBorders/>
            <w:tcMar>
              <w:left w:w="108" w:type="dxa"/>
              <w:top w:w="0" w:type="dxa"/>
              <w:right w:w="108" w:type="dxa"/>
              <w:bottom w:w="0" w:type="dxa"/>
            </w:tcMar>
            <w:tcW w:w="1809"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108" w:left="0"/>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mc:AlternateContent>
                <mc:Choice Requires="wpg">
                  <w:drawing>
                    <wp:inline xmlns:wp="http://schemas.openxmlformats.org/drawingml/2006/wordprocessingDrawing" distT="0" distB="0" distL="0" distR="0">
                      <wp:extent cx="1095375" cy="103822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412782" name=""/>
                              <pic:cNvPicPr>
                                <a:picLocks noChangeAspect="1"/>
                              </pic:cNvPicPr>
                              <pic:nvPr/>
                            </pic:nvPicPr>
                            <pic:blipFill rotWithShape="1">
                              <a:blip r:embed="rId14"/>
                              <a:stretch/>
                            </pic:blipFill>
                            <pic:spPr bwMode="auto">
                              <a:xfrm>
                                <a:off x="0" y="0"/>
                                <a:ext cx="1095374" cy="1038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6.25pt;height:81.75pt;mso-wrap-distance-left:0.00pt;mso-wrap-distance-top:0.00pt;mso-wrap-distance-right:0.00pt;mso-wrap-distance-bottom:0.00pt;z-index:1;" stroked="false">
                      <v:imagedata r:id="rId14" o:title=""/>
                      <o:lock v:ext="edit" rotation="t"/>
                    </v:shape>
                  </w:pict>
                </mc:Fallback>
              </mc:AlternateContent>
            </w:r>
            <w:r>
              <w:rPr>
                <w:rFonts w:ascii="Times New Roman" w:hAnsi="Times New Roman" w:cs="Times New Roman"/>
                <w:sz w:val="24"/>
                <w:szCs w:val="24"/>
              </w:rPr>
            </w:r>
            <w:r>
              <w:rPr>
                <w:rFonts w:ascii="Times New Roman" w:hAnsi="Times New Roman" w:cs="Times New Roman"/>
                <w:sz w:val="24"/>
                <w:szCs w:val="24"/>
              </w:rPr>
            </w:r>
          </w:p>
        </w:tc>
        <w:tc>
          <w:tcPr>
            <w:gridSpan w:val="2"/>
            <w:tcBorders/>
            <w:tcMar>
              <w:left w:w="108" w:type="dxa"/>
              <w:top w:w="0" w:type="dxa"/>
              <w:right w:w="108" w:type="dxa"/>
              <w:bottom w:w="0" w:type="dxa"/>
            </w:tcMar>
            <w:tcW w:w="779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CÔNG TY CỔ PHẦN THẨM ĐỊNH VÀ ĐẦU TƯ TÀI CHÍNH HOA SEN</w:t>
            </w:r>
            <w:r>
              <w:rPr>
                <w:rFonts w:ascii="Times New Roman" w:hAnsi="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Trụ sở: BT5-23 khu đô thị mới Văn Phú, P. Kiến Hưng, TP. Hà Nội</w:t>
            </w:r>
            <w:r>
              <w:rPr>
                <w:rFonts w:ascii="Times New Roman" w:hAnsi="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Điện thoại:  085 329 3333/ 024 2264 4333</w:t>
            </w:r>
            <w:r>
              <w:rPr>
                <w:rFonts w:ascii="Times New Roman" w:hAnsi="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Email: </w:t>
              <w:tab/>
            </w:r>
            <w:hyperlink r:id="rId15" w:tooltip="mailto:ilotus.contact@gmail.com" w:history="1">
              <w:r>
                <w:rPr>
                  <w:rStyle w:val="1021"/>
                  <w:rFonts w:ascii="Times New Roman" w:hAnsi="Times New Roman" w:eastAsia="Times New Roman" w:cs="Times New Roman"/>
                  <w:color w:val="0000ff"/>
                  <w:sz w:val="24"/>
                  <w:szCs w:val="24"/>
                  <w:u w:val="none"/>
                </w:rPr>
                <w:t xml:space="preserve">ilotus.contact@gmail.com</w:t>
              </w:r>
            </w:hyperlink>
            <w:r>
              <w:rPr>
                <w:rFonts w:ascii="Times New Roman" w:hAnsi="Times New Roman" w:eastAsia="Times New Roman" w:cs="Times New Roman"/>
                <w:color w:val="000000"/>
                <w:sz w:val="24"/>
                <w:szCs w:val="24"/>
              </w:rPr>
              <w:t xml:space="preserve">             Website: ilotus.com.vn</w:t>
            </w:r>
            <w:r>
              <w:rPr>
                <w:rFonts w:ascii="Times New Roman" w:hAnsi="Times New Roman" w:cs="Times New Roman"/>
                <w:sz w:val="24"/>
                <w:szCs w:val="24"/>
              </w:rPr>
            </w:r>
            <w:r>
              <w:rPr>
                <w:rFonts w:ascii="Times New Roman" w:hAnsi="Times New Roman" w:cs="Times New Roman"/>
                <w:sz w:val="24"/>
                <w:szCs w:val="24"/>
              </w:rPr>
            </w:r>
          </w:p>
        </w:tc>
      </w:tr>
      <w:tr>
        <w:trPr>
          <w:trHeight w:val="20"/>
        </w:trPr>
        <w:tc>
          <w:tcPr>
            <w:gridSpan w:val="2"/>
            <w:tcBorders/>
            <w:tcMar>
              <w:left w:w="108" w:type="dxa"/>
              <w:top w:w="0" w:type="dxa"/>
              <w:right w:w="108" w:type="dxa"/>
              <w:bottom w:w="0" w:type="dxa"/>
            </w:tcMar>
            <w:tcW w:w="42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108"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Số: 275/2026/0274/VFI-CT.27.A</w:t>
            </w:r>
            <w:r>
              <w:rPr>
                <w:rFonts w:ascii="Times New Roman" w:hAnsi="Times New Roman" w:cs="Times New Roman"/>
                <w:sz w:val="24"/>
                <w:szCs w:val="24"/>
              </w:rPr>
            </w:r>
            <w:r>
              <w:rPr>
                <w:rFonts w:ascii="Times New Roman" w:hAnsi="Times New Roman" w:cs="Times New Roman"/>
                <w:sz w:val="24"/>
                <w:szCs w:val="24"/>
              </w:rPr>
            </w:r>
          </w:p>
        </w:tc>
        <w:tc>
          <w:tcPr>
            <w:tcBorders/>
            <w:tcMar>
              <w:left w:w="108" w:type="dxa"/>
              <w:top w:w="0" w:type="dxa"/>
              <w:right w:w="108" w:type="dxa"/>
              <w:bottom w:w="0" w:type="dxa"/>
            </w:tcMar>
            <w:tcW w:w="53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firstLine="0" w:left="0"/>
              <w:jc w:val="right"/>
              <w:rPr>
                <w:rFonts w:ascii="Times New Roman" w:hAnsi="Times New Roman" w:cs="Times New Roman"/>
                <w:sz w:val="24"/>
                <w:szCs w:val="24"/>
              </w:rPr>
            </w:pPr>
            <w:r>
              <w:rPr>
                <w:rFonts w:ascii="Times New Roman" w:hAnsi="Times New Roman" w:eastAsia="Times New Roman" w:cs="Times New Roman"/>
                <w:i/>
                <w:color w:val="000000"/>
                <w:sz w:val="24"/>
                <w:szCs w:val="24"/>
              </w:rPr>
              <w:t xml:space="preserve">TP. Hà Nội, ngày 05 tháng 02 năm 2026</w:t>
            </w:r>
            <w:r>
              <w:rPr>
                <w:rFonts w:ascii="Times New Roman" w:hAnsi="Times New Roman" w:cs="Times New Roman"/>
                <w:sz w:val="24"/>
                <w:szCs w:val="24"/>
              </w:rPr>
            </w:r>
            <w:r>
              <w:rPr>
                <w:rFonts w:ascii="Times New Roman" w:hAnsi="Times New Roman" w:cs="Times New Roman"/>
                <w:sz w:val="24"/>
                <w:szCs w:val="24"/>
              </w:rPr>
            </w:r>
          </w:p>
        </w:tc>
      </w:tr>
      <w:tr>
        <w:trPr/>
        <w:tc>
          <w:tcPr>
            <w:tcBorders/>
            <w:tcMar>
              <w:left w:w="0" w:type="dxa"/>
              <w:top w:w="0" w:type="dxa"/>
              <w:right w:w="0" w:type="dxa"/>
              <w:bottom w:w="0" w:type="dxa"/>
            </w:tcMar>
            <w:tcW w:w="1809" w:type="dxa"/>
            <w:vAlign w:val="center"/>
            <w:textDirection w:val="lrTb"/>
            <w:noWrap w:val="false"/>
          </w:tcPr>
          <w:p>
            <w:pPr>
              <w:pBdr/>
              <w:spacing w:after="0" w:before="0" w:line="276" w:lineRule="auto"/>
              <w:ind/>
              <w:rPr/>
            </w:pPr>
            <w:r/>
            <w:r/>
          </w:p>
        </w:tc>
        <w:tc>
          <w:tcPr>
            <w:tcBorders/>
            <w:tcMar>
              <w:left w:w="0" w:type="dxa"/>
              <w:top w:w="0" w:type="dxa"/>
              <w:right w:w="0" w:type="dxa"/>
              <w:bottom w:w="0" w:type="dxa"/>
            </w:tcMar>
            <w:tcW w:w="2410" w:type="dxa"/>
            <w:vAlign w:val="center"/>
            <w:textDirection w:val="lrTb"/>
            <w:noWrap w:val="false"/>
          </w:tcPr>
          <w:p>
            <w:pPr>
              <w:pBdr/>
              <w:spacing w:after="0" w:before="0" w:line="276" w:lineRule="auto"/>
              <w:ind/>
              <w:rPr/>
            </w:pPr>
            <w:r/>
            <w:r/>
          </w:p>
        </w:tc>
        <w:tc>
          <w:tcPr>
            <w:tcBorders/>
            <w:tcMar>
              <w:left w:w="0" w:type="dxa"/>
              <w:top w:w="0" w:type="dxa"/>
              <w:right w:w="0" w:type="dxa"/>
              <w:bottom w:w="0" w:type="dxa"/>
            </w:tcMar>
            <w:tcW w:w="5385" w:type="dxa"/>
            <w:vAlign w:val="center"/>
            <w:textDirection w:val="lrTb"/>
            <w:noWrap w:val="false"/>
          </w:tcPr>
          <w:p>
            <w:pPr>
              <w:pBdr/>
              <w:spacing w:after="0" w:before="0" w:line="276" w:lineRule="auto"/>
              <w:ind/>
              <w:rPr/>
            </w:pPr>
            <w:r/>
            <w:r/>
          </w:p>
        </w:tc>
      </w:tr>
    </w:tbl>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30"/>
        </w:rPr>
        <w:t xml:space="preserve">CHỨNG THƯ THẨM ĐỊNH GIÁ</w:t>
      </w:r>
      <w:r/>
    </w:p>
    <w:p>
      <w:pPr>
        <w:pBdr>
          <w:top w:val="none" w:color="000000" w:sz="4" w:space="0"/>
          <w:left w:val="none" w:color="000000" w:sz="4" w:space="0"/>
          <w:bottom w:val="none" w:color="000000" w:sz="4" w:space="0"/>
          <w:right w:val="none" w:color="000000" w:sz="4" w:space="0"/>
        </w:pBdr>
        <w:spacing w:after="240"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ÔNG NGUYỄN QUANG HÀ</w:t>
      </w:r>
      <w:r/>
    </w:p>
    <w:p>
      <w:pPr>
        <w:pBdr>
          <w:top w:val="none" w:color="000000" w:sz="4" w:space="0"/>
          <w:left w:val="none" w:color="000000" w:sz="4" w:space="0"/>
          <w:bottom w:val="none" w:color="000000" w:sz="4" w:space="0"/>
          <w:right w:val="none" w:color="000000" w:sz="4" w:space="0"/>
        </w:pBdr>
        <w:spacing w:after="0" w:line="276" w:lineRule="auto"/>
        <w:ind w:right="0" w:firstLine="426" w:left="0"/>
        <w:jc w:val="both"/>
        <w:rPr/>
      </w:pPr>
      <w:r>
        <w:rPr>
          <w:rFonts w:ascii="Times New Roman" w:hAnsi="Times New Roman" w:eastAsia="Times New Roman" w:cs="Times New Roman"/>
          <w:color w:val="000000"/>
          <w:sz w:val="24"/>
        </w:rPr>
        <w:t xml:space="preserve">Căn cứ Hợp đồng thẩm định giá số 275/2026/0274/VFI-HĐTĐ.27.A ký ngày 03/02/2026 giữa ông Nguyễn Quang Hà với Công ty Cổ phần Thẩm định và Đầu tư Tài chính Hoa Sen; </w:t>
      </w: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Căn cứ Báo cáo thẩm định giá số 275/2026/0274/VFI-BC.27.A ngày 05/02/2026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51"/>
        <w:gridCol w:w="283"/>
        <w:gridCol w:w="7230"/>
      </w:tblGrid>
      <w:tr>
        <w:trPr>
          <w:trHeight w:val="284"/>
        </w:trPr>
        <w:tc>
          <w:tcPr>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51" w:beforeAutospacing="0" w:line="276" w:lineRule="auto"/>
              <w:ind w:right="0" w:firstLine="0" w:left="0"/>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51" w:beforeAutospacing="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2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51" w:beforeAutospacing="0" w:line="276" w:lineRule="auto"/>
              <w:ind w:right="0" w:firstLine="0" w:left="0"/>
              <w:rPr/>
            </w:pPr>
            <w:r>
              <w:rPr>
                <w:rFonts w:ascii="Times New Roman" w:hAnsi="Times New Roman" w:eastAsia="Times New Roman" w:cs="Times New Roman"/>
                <w:b/>
                <w:color w:val="000000"/>
                <w:sz w:val="24"/>
              </w:rPr>
              <w:t xml:space="preserve">ÔNG NGUYỄN QUANG HÀ</w:t>
            </w:r>
            <w:r/>
          </w:p>
        </w:tc>
      </w:tr>
      <w:tr>
        <w:trPr>
          <w:trHeight w:val="284"/>
        </w:trPr>
        <w:tc>
          <w:tcPr>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51" w:beforeAutospacing="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51" w:beforeAutospacing="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2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51" w:beforeAutospacing="0" w:line="276" w:lineRule="auto"/>
              <w:ind w:right="0" w:firstLine="0" w:left="0"/>
              <w:jc w:val="both"/>
              <w:rPr/>
            </w:pPr>
            <w:r>
              <w:rPr>
                <w:rFonts w:ascii="Times New Roman" w:hAnsi="Times New Roman" w:eastAsia="Times New Roman" w:cs="Times New Roman"/>
                <w:color w:val="000000"/>
                <w:sz w:val="24"/>
              </w:rPr>
              <w:t xml:space="preserve">1969</w:t>
            </w:r>
            <w:r/>
          </w:p>
        </w:tc>
      </w:tr>
      <w:tr>
        <w:trPr>
          <w:trHeight w:val="284"/>
        </w:trPr>
        <w:tc>
          <w:tcPr>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51" w:beforeAutospacing="0" w:line="276" w:lineRule="auto"/>
              <w:ind w:right="0" w:firstLine="0" w:left="0"/>
              <w:jc w:val="both"/>
              <w:rPr/>
            </w:pPr>
            <w:r>
              <w:rPr>
                <w:rFonts w:ascii="Times New Roman" w:hAnsi="Times New Roman" w:eastAsia="Times New Roman" w:cs="Times New Roman"/>
                <w:color w:val="000000"/>
                <w:sz w:val="24"/>
              </w:rPr>
              <w:t xml:space="preserve">CMND số</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51" w:beforeAutospacing="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2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51" w:beforeAutospacing="0" w:line="276" w:lineRule="auto"/>
              <w:ind w:right="0" w:firstLine="0" w:left="0"/>
              <w:jc w:val="both"/>
              <w:rPr/>
            </w:pPr>
            <w:r>
              <w:rPr>
                <w:rFonts w:ascii="Times New Roman" w:hAnsi="Times New Roman" w:eastAsia="Times New Roman" w:cs="Times New Roman"/>
                <w:color w:val="000000"/>
                <w:sz w:val="24"/>
              </w:rPr>
              <w:t xml:space="preserve">001069010076</w:t>
            </w:r>
            <w:r/>
          </w:p>
        </w:tc>
      </w:tr>
      <w:tr>
        <w:trPr>
          <w:trHeight w:val="284"/>
        </w:trPr>
        <w:tc>
          <w:tcPr>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51" w:beforeAutospacing="0" w:line="276" w:lineRule="auto"/>
              <w:ind w:right="0" w:firstLine="0" w:left="0"/>
              <w:jc w:val="both"/>
              <w:rPr/>
            </w:pPr>
            <w:r>
              <w:rPr>
                <w:rFonts w:ascii="Times New Roman" w:hAnsi="Times New Roman" w:eastAsia="Times New Roman" w:cs="Times New Roman"/>
                <w:color w:val="000000"/>
                <w:spacing w:val="-6"/>
                <w:sz w:val="24"/>
              </w:rPr>
              <w:t xml:space="preserve">Địa chỉ</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51" w:beforeAutospacing="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2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51" w:beforeAutospacing="0" w:line="276" w:lineRule="auto"/>
              <w:ind w:right="0" w:firstLine="0" w:left="0"/>
              <w:jc w:val="both"/>
              <w:rPr/>
            </w:pPr>
            <w:r>
              <w:rPr>
                <w:rFonts w:ascii="Times New Roman" w:hAnsi="Times New Roman" w:eastAsia="Times New Roman" w:cs="Times New Roman"/>
                <w:color w:val="000000"/>
                <w:sz w:val="24"/>
              </w:rPr>
              <w:t xml:space="preserve">Cổ Liễ</w:t>
            </w:r>
            <w:r>
              <w:rPr>
                <w:rFonts w:ascii="Times New Roman" w:hAnsi="Times New Roman" w:eastAsia="Times New Roman" w:cs="Times New Roman"/>
                <w:color w:val="auto"/>
                <w:sz w:val="24"/>
              </w:rPr>
              <w:t xml:space="preserve">n, Cổ Đông, thị xã Sơn Tây, Hà</w:t>
            </w:r>
            <w:r>
              <w:rPr>
                <w:rFonts w:ascii="Times New Roman" w:hAnsi="Times New Roman" w:eastAsia="Times New Roman" w:cs="Times New Roman"/>
                <w:color w:val="auto"/>
                <w:sz w:val="24"/>
              </w:rPr>
              <w:t xml:space="preserve"> Nội (nay là xã Đoài Phương, thành phố Hà Nội</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Thông tin về doanh nghiệp thẩm định giá:</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51"/>
        <w:gridCol w:w="313"/>
        <w:gridCol w:w="7342"/>
      </w:tblGrid>
      <w:tr>
        <w:trPr/>
        <w:tc>
          <w:tcPr>
            <w:tcBorders/>
            <w:tcMar>
              <w:left w:w="108" w:type="dxa"/>
              <w:top w:w="0" w:type="dxa"/>
              <w:right w:w="108" w:type="dxa"/>
              <w:bottom w:w="0" w:type="dxa"/>
            </w:tcMar>
            <w:tcW w:w="19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42"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12"/>
                <w:sz w:val="24"/>
              </w:rPr>
              <w:t xml:space="preserve">CÔNG TY CỔ PHẦN THẨM ĐỊNH VÀ ĐẦU TƯ TÀI CHÍNH HOA SEN</w:t>
            </w:r>
            <w:r/>
          </w:p>
        </w:tc>
      </w:tr>
      <w:tr>
        <w:trPr/>
        <w:tc>
          <w:tcPr>
            <w:tcBorders/>
            <w:tcMar>
              <w:left w:w="108" w:type="dxa"/>
              <w:top w:w="0" w:type="dxa"/>
              <w:right w:w="108" w:type="dxa"/>
              <w:bottom w:w="0" w:type="dxa"/>
            </w:tcMar>
            <w:tcW w:w="19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42"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BT5-23 khu đô thị mới Văn Phú, P. Kiến Hưng, TP. Hà Nội</w:t>
            </w:r>
            <w:r/>
          </w:p>
        </w:tc>
      </w:tr>
      <w:tr>
        <w:trPr/>
        <w:tc>
          <w:tcPr>
            <w:tcBorders/>
            <w:tcMar>
              <w:left w:w="108" w:type="dxa"/>
              <w:top w:w="0" w:type="dxa"/>
              <w:right w:w="108" w:type="dxa"/>
              <w:bottom w:w="0" w:type="dxa"/>
            </w:tcMar>
            <w:tcW w:w="19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42"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024.22644333</w:t>
            </w:r>
            <w:r/>
          </w:p>
        </w:tc>
      </w:tr>
      <w:tr>
        <w:trPr/>
        <w:tc>
          <w:tcPr>
            <w:tcBorders/>
            <w:tcMar>
              <w:left w:w="108" w:type="dxa"/>
              <w:top w:w="0" w:type="dxa"/>
              <w:right w:w="108" w:type="dxa"/>
              <w:bottom w:w="0" w:type="dxa"/>
            </w:tcMar>
            <w:tcW w:w="19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42"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0102708994</w:t>
            </w:r>
            <w:r/>
          </w:p>
        </w:tc>
      </w:tr>
      <w:tr>
        <w:trPr/>
        <w:tc>
          <w:tcPr>
            <w:tcBorders/>
            <w:tcMar>
              <w:left w:w="108" w:type="dxa"/>
              <w:top w:w="0" w:type="dxa"/>
              <w:right w:w="108" w:type="dxa"/>
              <w:bottom w:w="0" w:type="dxa"/>
            </w:tcMar>
            <w:tcW w:w="19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Mã số Giấy chứng nhận đủ điều kiện hành nghề</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7342"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275/TĐG của Bộ Tài chính,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i/>
                <w:color w:val="000000"/>
                <w:sz w:val="24"/>
              </w:rPr>
              <w:t xml:space="preserve">Đăng ký lần đầu ngày 22 tháng 1 năm 2018</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i/>
                <w:color w:val="000000"/>
                <w:sz w:val="24"/>
              </w:rPr>
              <w:t xml:space="preserve">Cấp lại lần thứ 6, ngày 27 tháng 5 năm 2025.</w:t>
            </w:r>
            <w:r/>
          </w:p>
        </w:tc>
      </w:tr>
      <w:tr>
        <w:trPr/>
        <w:tc>
          <w:tcPr>
            <w:tcBorders/>
            <w:tcMar>
              <w:left w:w="108" w:type="dxa"/>
              <w:top w:w="0" w:type="dxa"/>
              <w:right w:w="108" w:type="dxa"/>
              <w:bottom w:w="0" w:type="dxa"/>
            </w:tcMar>
            <w:tcW w:w="19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42"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1505112366666 tại Ngân hàng Agribank - Chi nhánh Hà Nội II</w:t>
            </w:r>
            <w:r>
              <w:rPr>
                <w:rFonts w:ascii="Times New Roman" w:hAnsi="Times New Roman" w:eastAsia="Times New Roman" w:cs="Times New Roman"/>
                <w:color w:val="000000"/>
                <w:spacing w:val="-4"/>
                <w:sz w:val="24"/>
              </w:rPr>
              <w:t xml:space="preserve"> </w:t>
            </w:r>
            <w:r/>
          </w:p>
        </w:tc>
      </w:tr>
      <w:tr>
        <w:trPr/>
        <w:tc>
          <w:tcPr>
            <w:tcBorders/>
            <w:tcMar>
              <w:left w:w="108" w:type="dxa"/>
              <w:top w:w="0" w:type="dxa"/>
              <w:right w:w="108" w:type="dxa"/>
              <w:bottom w:w="0" w:type="dxa"/>
            </w:tcMar>
            <w:tcW w:w="19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42"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Ông Vũ Văn Quân</w:t>
              <w:tab/>
              <w:tab/>
              <w:t xml:space="preserve"> Chức vụ:</w:t>
            </w: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Chủ tịch HĐQT kiêm Tổng Giám đốc</w:t>
            </w: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3. Tài sản thẩm định: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Quyền sử dụng đất tại thửa đất số: 246, tờ bản đồ số: 97 có địa chỉ: Thôn Đồng Trạng, xã Đoài Phương, thành phố Hà Nội theo Giấy chứng nhận quyền sử dụng đất quyền sở hữu tài sản gắn liền với đất số: AA 02940288, số vào sổ cấp GCN: CN 3368 do Chi nhánh văn</w:t>
      </w:r>
      <w:r>
        <w:rPr>
          <w:rFonts w:ascii="Times New Roman" w:hAnsi="Times New Roman" w:eastAsia="Times New Roman" w:cs="Times New Roman"/>
          <w:color w:val="000000"/>
          <w:sz w:val="24"/>
        </w:rPr>
        <w:t xml:space="preserve"> phòng đăng ký đất đai Hà Nội cấp ngày 08/9/2025 cho ông Nguyễn Quang Hà và bà Nguyễn Thị Hòa.</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4. Thời điểm thẩm định giá:</w:t>
      </w:r>
      <w:r>
        <w:rPr>
          <w:rFonts w:ascii="Times New Roman" w:hAnsi="Times New Roman" w:eastAsia="Times New Roman" w:cs="Times New Roman"/>
          <w:color w:val="000000"/>
          <w:sz w:val="24"/>
        </w:rPr>
        <w:t xml:space="preserve"> tháng 02/2026.</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5. Mục đích thẩm định giá</w:t>
      </w:r>
      <w:r>
        <w:rPr>
          <w:rFonts w:ascii="Times New Roman" w:hAnsi="Times New Roman" w:eastAsia="Times New Roman" w:cs="Times New Roman"/>
          <w:color w:val="000000"/>
          <w:sz w:val="24"/>
        </w:rPr>
        <w:t xml:space="preserve">: Kết quả thẩm định giá để khách hàng tham khảo giá trị tài sản phục vụ công tác vay vốn tại tổ chức tín dụng.</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6. Cơ sở giá trị của tài sản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7. Giả thiết và giả thiết đặc biệt:</w:t>
      </w: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i/>
          <w:color w:val="000000"/>
          <w:sz w:val="24"/>
        </w:rPr>
        <w:t xml:space="preserve">Chi tiết như Báo cáo kèm theo</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8. Cách tiếp cận, phương pháp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9. Kết quả thẩm định giá:</w:t>
      </w:r>
      <w:r/>
    </w:p>
    <w:p>
      <w:pPr>
        <w:pBdr>
          <w:top w:val="none" w:color="000000" w:sz="4" w:space="0"/>
          <w:left w:val="none" w:color="000000" w:sz="4" w:space="0"/>
          <w:bottom w:val="none" w:color="000000" w:sz="4" w:space="0"/>
          <w:right w:val="none" w:color="000000" w:sz="4" w:space="0"/>
        </w:pBdr>
        <w:spacing w:after="240" w:before="120" w:line="276" w:lineRule="auto"/>
        <w:ind w:right="0" w:firstLine="0" w:left="0"/>
        <w:jc w:val="both"/>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02/2026 được ước tính như sau: </w:t>
      </w:r>
      <w:r/>
    </w:p>
    <w:tbl>
      <w:tblPr>
        <w:tblStyle w:val="1035"/>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40"/>
        <w:gridCol w:w="4040"/>
        <w:gridCol w:w="1220"/>
        <w:gridCol w:w="1680"/>
        <w:gridCol w:w="2020"/>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0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246, tờ bản đồ số: 97 có địa chỉ: Thôn Đồng Trạng, xã Đoài Phương, thành phố Hà Nội theo Giấy chứng nhận quyền sử dụng đất quyền sở hữu tài sản gắn liền với đất số: AA 02940288, số vào sổ cấp GCN: CN 3368 do Chi nhánh văn</w:t>
            </w:r>
            <w:r>
              <w:rPr>
                <w:rFonts w:ascii="Times New Roman" w:hAnsi="Times New Roman" w:eastAsia="Times New Roman" w:cs="Times New Roman"/>
                <w:b/>
                <w:color w:val="000000"/>
                <w:sz w:val="24"/>
              </w:rPr>
              <w:t xml:space="preserve"> phòng đăng ký đất đai Hà Nội cấp ngày 08/9/2025 cho ông Nguyễn Quang Hà và bà Nguyễn Thị Hòa</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0" w:type="dxa"/>
            <w:vAlign w:val="center"/>
            <w:textDirection w:val="lrTb"/>
            <w:noWrap w:val="false"/>
          </w:tcPr>
          <w:p>
            <w:pPr>
              <w:pBdr/>
              <w:spacing w:after="0" w:before="0" w:line="276" w:lineRule="auto"/>
              <w:ind/>
              <w:rPr/>
            </w:pPr>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0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4"/>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155,4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31.000.000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4.817.400.000</w:t>
            </w:r>
            <w:r/>
          </w:p>
        </w:tc>
      </w:tr>
      <w:tr>
        <w:trPr>
          <w:trHeight w:val="20"/>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48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b/>
                <w:color w:val="000000"/>
                <w:sz w:val="24"/>
              </w:rPr>
              <w:t xml:space="preserve">4.817.400.000</w:t>
            </w:r>
            <w:r/>
          </w:p>
        </w:tc>
      </w:tr>
      <w:tr>
        <w:trPr>
          <w:trHeight w:val="20"/>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48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b/>
                <w:color w:val="000000"/>
                <w:sz w:val="24"/>
              </w:rPr>
              <w:t xml:space="preserve">4.817.000.000</w:t>
            </w:r>
            <w:r/>
          </w:p>
        </w:tc>
      </w:tr>
      <w:tr>
        <w:trPr>
          <w:trHeight w:val="20"/>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5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4"/>
              </w:rPr>
              <w:t xml:space="preserve">(Bằng chữ: Bốn tỷ tám trăm mười bảy triệu đồng chẵn ./.)</w:t>
            </w:r>
            <w:r/>
          </w:p>
        </w:tc>
      </w:tr>
    </w:tbl>
    <w:p>
      <w:pPr>
        <w:pBdr>
          <w:top w:val="none" w:color="000000" w:sz="4" w:space="0"/>
          <w:left w:val="none" w:color="000000" w:sz="4" w:space="0"/>
          <w:bottom w:val="none" w:color="000000" w:sz="4" w:space="0"/>
          <w:right w:val="none" w:color="000000" w:sz="4" w:space="0"/>
        </w:pBdr>
        <w:spacing w:after="240" w:before="120" w:line="276" w:lineRule="auto"/>
        <w:ind w:right="0" w:firstLine="0" w:left="0"/>
        <w:jc w:val="both"/>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10. Thời hạn hiệu lực của kết quả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426"/>
        <w:jc w:val="both"/>
        <w:rPr/>
      </w:pPr>
      <w:r>
        <w:rPr>
          <w:rFonts w:ascii="Times New Roman" w:hAnsi="Times New Roman" w:eastAsia="Times New Roman" w:cs="Times New Roman"/>
          <w:color w:val="000000"/>
          <w:sz w:val="24"/>
        </w:rPr>
        <w:t xml:space="preserve">- Tối đa 03 (ba) tháng tính từ ngày ký đối với tài sản là Động sản.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426"/>
        <w:jc w:val="both"/>
        <w:rPr/>
      </w:pPr>
      <w:r>
        <w:rPr>
          <w:rFonts w:ascii="Times New Roman" w:hAnsi="Times New Roman" w:eastAsia="Times New Roman" w:cs="Times New Roman"/>
          <w:color w:val="000000"/>
          <w:sz w:val="24"/>
        </w:rPr>
        <w:t xml:space="preserve">- 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11. Những điều khoản loại trừ và hạn chế của kết quả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426"/>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12. Các tài liệu kèm theo:</w:t>
      </w:r>
      <w:r/>
    </w:p>
    <w:p>
      <w:pPr>
        <w:pBdr>
          <w:top w:val="none" w:color="000000" w:sz="4" w:space="0"/>
          <w:left w:val="none" w:color="000000" w:sz="4" w:space="0"/>
          <w:bottom w:val="none" w:color="000000" w:sz="4" w:space="0"/>
          <w:right w:val="none" w:color="000000" w:sz="4" w:space="0"/>
        </w:pBdr>
        <w:spacing w:after="0" w:before="120" w:line="276" w:lineRule="auto"/>
        <w:ind w:right="0" w:firstLine="284" w:left="142"/>
        <w:jc w:val="both"/>
        <w:rPr/>
      </w:pPr>
      <w:r>
        <w:rPr>
          <w:rFonts w:ascii="Times New Roman" w:hAnsi="Times New Roman" w:eastAsia="Times New Roman" w:cs="Times New Roman"/>
          <w:color w:val="000000"/>
          <w:sz w:val="24"/>
        </w:rPr>
        <w:t xml:space="preserve">- Báo cáo kết quả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284" w:left="142"/>
        <w:jc w:val="both"/>
        <w:rPr/>
      </w:pPr>
      <w:r>
        <w:rPr>
          <w:rFonts w:ascii="Times New Roman" w:hAnsi="Times New Roman" w:eastAsia="Times New Roman" w:cs="Times New Roman"/>
          <w:color w:val="000000"/>
          <w:sz w:val="24"/>
        </w:rPr>
        <w:t xml:space="preserve">- Các phụ lục chi tiết kèm theo.</w:t>
      </w:r>
      <w:r/>
    </w:p>
    <w:p>
      <w:pPr>
        <w:pBdr>
          <w:top w:val="none" w:color="000000" w:sz="4" w:space="0"/>
          <w:left w:val="none" w:color="000000" w:sz="4" w:space="0"/>
          <w:bottom w:val="none" w:color="000000" w:sz="4" w:space="0"/>
          <w:right w:val="none" w:color="000000" w:sz="4" w:space="0"/>
        </w:pBdr>
        <w:spacing w:after="0" w:before="120" w:line="276" w:lineRule="auto"/>
        <w:ind w:right="0" w:firstLine="284" w:left="142"/>
        <w:jc w:val="both"/>
        <w:rPr/>
      </w:pPr>
      <w:r>
        <w:rPr>
          <w:rFonts w:ascii="Times New Roman" w:hAnsi="Times New Roman" w:eastAsia="Times New Roman" w:cs="Times New Roman"/>
          <w:color w:val="000000"/>
          <w:sz w:val="24"/>
        </w:rPr>
        <w:t xml:space="preserve">- Chứng thư và báo cáo thẩm định giá được phát hành 03 (ba) bản chính bằng tiếng Việt, cấp cho quý khách hàng 02 (hai) bản, lưu lại Công ty Cổ phần Thẩm định và Đầu tư Tài chính Hoa Sen 01 (một) bản có giá trị pháp lý như nhau.</w:t>
      </w:r>
      <w:r/>
    </w:p>
    <w:p>
      <w:pPr>
        <w:pBdr>
          <w:top w:val="none" w:color="000000" w:sz="4" w:space="0"/>
          <w:left w:val="none" w:color="000000" w:sz="4" w:space="0"/>
          <w:bottom w:val="none" w:color="000000" w:sz="4" w:space="0"/>
          <w:right w:val="none" w:color="000000" w:sz="4" w:space="0"/>
        </w:pBdr>
        <w:spacing w:after="0" w:before="120" w:line="276" w:lineRule="auto"/>
        <w:ind w:right="0" w:firstLine="284" w:left="142"/>
        <w:jc w:val="both"/>
        <w:rPr/>
      </w:pPr>
      <w:r>
        <w:rPr>
          <w:rFonts w:ascii="Times New Roman" w:hAnsi="Times New Roman" w:eastAsia="Times New Roman" w:cs="Times New Roman"/>
          <w:color w:val="000000"/>
          <w:sz w:val="24"/>
        </w:rPr>
        <w:t xml:space="preserve">- Mọi hình thức sao chép báo cáo và chứng thư thẩm định giá không có sự đồng ý bằng văn bản của Công ty Cổ phần Thẩm định và Đầu tư Tài chính Hoa Sen đều là hành vi vi phạm pháp luật.</w:t>
      </w:r>
      <w:r/>
    </w:p>
    <w:tbl>
      <w:tblPr>
        <w:tblStyle w:val="1035"/>
        <w:tblInd w:w="-176"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32"/>
        <w:gridCol w:w="5157"/>
      </w:tblGrid>
      <w:tr>
        <w:trPr/>
        <w:tc>
          <w:tcPr>
            <w:tcBorders/>
            <w:tcMar>
              <w:left w:w="108" w:type="dxa"/>
              <w:top w:w="0" w:type="dxa"/>
              <w:right w:w="108" w:type="dxa"/>
              <w:bottom w:w="0" w:type="dxa"/>
            </w:tcMar>
            <w:tcW w:w="4732" w:type="dxa"/>
            <w:vAlign w:val="bottom"/>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THẨM ĐỊNH VIÊN VỀ GIÁ</w:t>
            </w:r>
            <w:r/>
          </w:p>
        </w:tc>
        <w:tc>
          <w:tcPr>
            <w:tcBorders/>
            <w:tcMar>
              <w:left w:w="108" w:type="dxa"/>
              <w:top w:w="0" w:type="dxa"/>
              <w:right w:w="108" w:type="dxa"/>
              <w:bottom w:w="0" w:type="dxa"/>
            </w:tcMar>
            <w:tcW w:w="5157"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pacing w:val="3"/>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338" w:left="-338"/>
              <w:jc w:val="center"/>
              <w:rPr/>
            </w:pPr>
            <w:r>
              <w:rPr>
                <w:rFonts w:ascii="Times New Roman" w:hAnsi="Times New Roman" w:eastAsia="Times New Roman" w:cs="Times New Roman"/>
                <w:b/>
                <w:color w:val="000000"/>
                <w:sz w:val="24"/>
              </w:rPr>
              <w:t xml:space="preserve">Chủ tịch HĐQT kiêm Tổng Giám đốc</w:t>
            </w:r>
            <w:r/>
          </w:p>
        </w:tc>
      </w:tr>
      <w:tr>
        <w:trPr/>
        <w:tc>
          <w:tcPr>
            <w:tcBorders/>
            <w:tcMar>
              <w:left w:w="108" w:type="dxa"/>
              <w:top w:w="0" w:type="dxa"/>
              <w:right w:w="108" w:type="dxa"/>
              <w:bottom w:w="0" w:type="dxa"/>
            </w:tcMar>
            <w:tcW w:w="4732"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 </w:t>
            </w:r>
            <w:r/>
          </w:p>
        </w:tc>
        <w:tc>
          <w:tcPr>
            <w:tcBorders/>
            <w:tcMar>
              <w:left w:w="108" w:type="dxa"/>
              <w:top w:w="0" w:type="dxa"/>
              <w:right w:w="108" w:type="dxa"/>
              <w:bottom w:w="0" w:type="dxa"/>
            </w:tcMar>
            <w:tcW w:w="5157"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pacing w:val="3"/>
                <w:sz w:val="24"/>
              </w:rPr>
              <w:t xml:space="preserve"> </w:t>
            </w:r>
            <w:r/>
          </w:p>
        </w:tc>
      </w:tr>
      <w:tr>
        <w:trPr/>
        <w:tc>
          <w:tcPr>
            <w:tcBorders/>
            <w:tcMar>
              <w:left w:w="108" w:type="dxa"/>
              <w:top w:w="0" w:type="dxa"/>
              <w:right w:w="108" w:type="dxa"/>
              <w:bottom w:w="0" w:type="dxa"/>
            </w:tcMar>
            <w:tcW w:w="4732"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Nguyễn Thị Thùy Dương</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pacing w:val="3"/>
                <w:sz w:val="24"/>
                <w:highlight w:val="white"/>
              </w:rPr>
              <w:t xml:space="preserve">Số thẻ thẩm định viên về giá: </w:t>
            </w:r>
            <w:r>
              <w:rPr>
                <w:rFonts w:ascii="Times New Roman" w:hAnsi="Times New Roman" w:eastAsia="Times New Roman" w:cs="Times New Roman"/>
                <w:color w:val="000000"/>
                <w:sz w:val="24"/>
              </w:rPr>
              <w:t xml:space="preserve">XVI25TS.2576</w:t>
            </w:r>
            <w:r/>
          </w:p>
        </w:tc>
        <w:tc>
          <w:tcPr>
            <w:tcBorders/>
            <w:tcMar>
              <w:left w:w="108" w:type="dxa"/>
              <w:top w:w="0" w:type="dxa"/>
              <w:right w:w="108" w:type="dxa"/>
              <w:bottom w:w="0" w:type="dxa"/>
            </w:tcMar>
            <w:tcW w:w="5157"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pacing w:val="3"/>
                <w:sz w:val="24"/>
              </w:rPr>
              <w:t xml:space="preserve">Số thẻ thẩm định viên về giá: </w:t>
            </w:r>
            <w:r>
              <w:rPr>
                <w:rFonts w:ascii="Times New Roman" w:hAnsi="Times New Roman" w:eastAsia="Times New Roman" w:cs="Times New Roman"/>
                <w:color w:val="000000"/>
                <w:sz w:val="24"/>
              </w:rPr>
              <w:t xml:space="preserve"> XII17.1825 </w:t>
            </w: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tbl>
      <w:tblPr>
        <w:tblStyle w:val="1035"/>
        <w:tblInd w:w="13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917"/>
        <w:gridCol w:w="2410"/>
        <w:gridCol w:w="5527"/>
      </w:tblGrid>
      <w:tr>
        <w:trPr>
          <w:trHeight w:val="20"/>
        </w:trPr>
        <w:tc>
          <w:tcPr>
            <w:tcBorders/>
            <w:tcMar>
              <w:left w:w="108" w:type="dxa"/>
              <w:top w:w="0" w:type="dxa"/>
              <w:right w:w="108" w:type="dxa"/>
              <w:bottom w:w="0" w:type="dxa"/>
            </w:tcMar>
            <w:tcW w:w="191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108"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1095375" cy="1038225"/>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565213" name=""/>
                              <pic:cNvPicPr>
                                <a:picLocks noChangeAspect="1"/>
                              </pic:cNvPicPr>
                              <pic:nvPr/>
                            </pic:nvPicPr>
                            <pic:blipFill rotWithShape="1">
                              <a:blip r:embed="rId14"/>
                              <a:stretch/>
                            </pic:blipFill>
                            <pic:spPr bwMode="auto">
                              <a:xfrm>
                                <a:off x="0" y="0"/>
                                <a:ext cx="1095374" cy="1038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6.25pt;height:81.75pt;mso-wrap-distance-left:0.00pt;mso-wrap-distance-top:0.00pt;mso-wrap-distance-right:0.00pt;mso-wrap-distance-bottom:0.00pt;z-index:1;" stroked="false">
                      <v:imagedata r:id="rId14" o:title=""/>
                      <o:lock v:ext="edit" rotation="t"/>
                    </v:shape>
                  </w:pict>
                </mc:Fallback>
              </mc:AlternateContent>
            </w:r>
            <w:r/>
          </w:p>
        </w:tc>
        <w:tc>
          <w:tcPr>
            <w:gridSpan w:val="2"/>
            <w:tcBorders/>
            <w:tcMar>
              <w:left w:w="108" w:type="dxa"/>
              <w:top w:w="0" w:type="dxa"/>
              <w:right w:w="108" w:type="dxa"/>
              <w:bottom w:w="0" w:type="dxa"/>
            </w:tcMar>
            <w:tcW w:w="79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Trụ sở: BT5-23 khu đô thị mới Văn Phú, P. Kiến Hưng, TP. Hà Nội</w:t>
            </w: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Email: </w:t>
              <w:tab/>
            </w:r>
            <w:hyperlink r:id="rId16" w:tooltip="mailto:ilotus.contact@gmail.com" w:history="1">
              <w:r>
                <w:rPr>
                  <w:rStyle w:val="1021"/>
                  <w:rFonts w:ascii="Arial" w:hAnsi="Arial" w:eastAsia="Arial" w:cs="Arial"/>
                  <w:color w:val="0000ff"/>
                  <w:sz w:val="22"/>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trHeight w:val="20"/>
        </w:trPr>
        <w:tc>
          <w:tcPr>
            <w:gridSpan w:val="2"/>
            <w:tcBorders/>
            <w:tcMar>
              <w:left w:w="108" w:type="dxa"/>
              <w:top w:w="0" w:type="dxa"/>
              <w:right w:w="108" w:type="dxa"/>
              <w:bottom w:w="0" w:type="dxa"/>
            </w:tcMar>
            <w:tcW w:w="43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108" w:left="0"/>
              <w:rPr/>
            </w:pPr>
            <w:r>
              <w:rPr>
                <w:rFonts w:ascii="Times New Roman" w:hAnsi="Times New Roman" w:eastAsia="Times New Roman" w:cs="Times New Roman"/>
                <w:color w:val="000000"/>
                <w:spacing w:val="3"/>
                <w:sz w:val="24"/>
                <w:highlight w:val="white"/>
              </w:rPr>
              <w:t xml:space="preserve">Số: </w:t>
            </w:r>
            <w:r>
              <w:rPr>
                <w:rFonts w:ascii="Times New Roman" w:hAnsi="Times New Roman" w:eastAsia="Times New Roman" w:cs="Times New Roman"/>
                <w:color w:val="000000"/>
                <w:sz w:val="24"/>
              </w:rPr>
              <w:t xml:space="preserve">275/2026/0274/VFI-BC.27.A</w:t>
            </w:r>
            <w:r/>
          </w:p>
        </w:tc>
        <w:tc>
          <w:tcPr>
            <w:tcBorders/>
            <w:tcMar>
              <w:left w:w="108" w:type="dxa"/>
              <w:top w:w="0" w:type="dxa"/>
              <w:right w:w="108" w:type="dxa"/>
              <w:bottom w:w="0" w:type="dxa"/>
            </w:tcMar>
            <w:tcW w:w="552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firstLine="0" w:left="0"/>
              <w:jc w:val="right"/>
              <w:rPr/>
            </w:pPr>
            <w:r>
              <w:rPr>
                <w:rFonts w:ascii="Times New Roman" w:hAnsi="Times New Roman" w:eastAsia="Times New Roman" w:cs="Times New Roman"/>
                <w:i/>
                <w:color w:val="000000"/>
                <w:sz w:val="24"/>
              </w:rPr>
              <w:t xml:space="preserve">TP. Hà Nội, ngày 05 tháng 02 năm 2026</w:t>
            </w:r>
            <w:r/>
          </w:p>
        </w:tc>
      </w:tr>
      <w:tr>
        <w:trPr/>
        <w:tc>
          <w:tcPr>
            <w:tcBorders/>
            <w:tcMar>
              <w:left w:w="0" w:type="dxa"/>
              <w:top w:w="0" w:type="dxa"/>
              <w:right w:w="0" w:type="dxa"/>
              <w:bottom w:w="0" w:type="dxa"/>
            </w:tcMar>
            <w:tcW w:w="1917" w:type="dxa"/>
            <w:vAlign w:val="center"/>
            <w:textDirection w:val="lrTb"/>
            <w:noWrap w:val="false"/>
          </w:tcPr>
          <w:p>
            <w:pPr>
              <w:pBdr/>
              <w:spacing w:after="0" w:before="0" w:line="276" w:lineRule="auto"/>
              <w:ind/>
              <w:rPr/>
            </w:pPr>
            <w:r/>
            <w:r/>
          </w:p>
        </w:tc>
        <w:tc>
          <w:tcPr>
            <w:tcBorders/>
            <w:tcMar>
              <w:left w:w="0" w:type="dxa"/>
              <w:top w:w="0" w:type="dxa"/>
              <w:right w:w="0" w:type="dxa"/>
              <w:bottom w:w="0" w:type="dxa"/>
            </w:tcMar>
            <w:tcW w:w="2410" w:type="dxa"/>
            <w:vAlign w:val="center"/>
            <w:textDirection w:val="lrTb"/>
            <w:noWrap w:val="false"/>
          </w:tcPr>
          <w:p>
            <w:pPr>
              <w:pBdr/>
              <w:spacing w:after="0" w:before="0" w:line="276" w:lineRule="auto"/>
              <w:ind/>
              <w:rPr/>
            </w:pPr>
            <w:r/>
            <w:r/>
          </w:p>
        </w:tc>
        <w:tc>
          <w:tcPr>
            <w:tcBorders/>
            <w:tcMar>
              <w:left w:w="0" w:type="dxa"/>
              <w:top w:w="0" w:type="dxa"/>
              <w:right w:w="0" w:type="dxa"/>
              <w:bottom w:w="0" w:type="dxa"/>
            </w:tcMar>
            <w:tcW w:w="5527" w:type="dxa"/>
            <w:vAlign w:val="center"/>
            <w:textDirection w:val="lrTb"/>
            <w:noWrap w:val="false"/>
          </w:tcPr>
          <w:p>
            <w:pPr>
              <w:pBdr/>
              <w:spacing w:after="0" w:before="0" w:line="276" w:lineRule="auto"/>
              <w:ind/>
              <w:rPr/>
            </w:pPr>
            <w:r/>
            <w:r/>
          </w:p>
        </w:tc>
      </w:tr>
    </w:tbl>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30"/>
        </w:rPr>
        <w:t xml:space="preserve">BÁO CÁO KẾT QUẢ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250" w:firstLine="0" w:left="0"/>
        <w:jc w:val="both"/>
        <w:rPr/>
      </w:pPr>
      <w:r>
        <w:rPr>
          <w:rFonts w:ascii="Times New Roman" w:hAnsi="Times New Roman" w:eastAsia="Times New Roman" w:cs="Times New Roman"/>
          <w:i/>
          <w:color w:val="000000"/>
          <w:sz w:val="24"/>
        </w:rPr>
        <w:t xml:space="preserve">(Kèm theo Chứng thư thẩm định giá số: 275/2026/0274/VFI-CT.27.A ngày 05 tháng 02 năm 2026)</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I. THÔNG TIN VỀ DOANH NGHIỆP THẨM ĐỊNH GIÁ </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638"/>
        <w:gridCol w:w="313"/>
        <w:gridCol w:w="7655"/>
      </w:tblGrid>
      <w:tr>
        <w:trPr/>
        <w:tc>
          <w:tcPr>
            <w:tcBorders/>
            <w:tcMar>
              <w:left w:w="108" w:type="dxa"/>
              <w:top w:w="0" w:type="dxa"/>
              <w:right w:w="108" w:type="dxa"/>
              <w:bottom w:w="0" w:type="dxa"/>
            </w:tcMar>
            <w:tcW w:w="163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65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b/>
                <w:color w:val="000000"/>
                <w:spacing w:val="-6"/>
                <w:sz w:val="24"/>
              </w:rPr>
              <w:t xml:space="preserve">CÔNG TY CỔ PHẦN THẨM ĐỊNH VÀ ĐẦU TƯ TÀI CHÍNH HOA SEN</w:t>
            </w:r>
            <w:r/>
          </w:p>
        </w:tc>
      </w:tr>
      <w:tr>
        <w:trPr/>
        <w:tc>
          <w:tcPr>
            <w:tcBorders/>
            <w:tcMar>
              <w:left w:w="108" w:type="dxa"/>
              <w:top w:w="0" w:type="dxa"/>
              <w:right w:w="108" w:type="dxa"/>
              <w:bottom w:w="0" w:type="dxa"/>
            </w:tcMar>
            <w:tcW w:w="163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655"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both"/>
              <w:rPr/>
            </w:pPr>
            <w:r>
              <w:rPr>
                <w:rFonts w:ascii="Times New Roman" w:hAnsi="Times New Roman" w:eastAsia="Times New Roman" w:cs="Times New Roman"/>
                <w:color w:val="000000"/>
                <w:sz w:val="24"/>
              </w:rPr>
              <w:t xml:space="preserve">BT5-23 khu đô thị mới Văn Phú, P. Kiến Hưng, TP. Hà Nội</w:t>
            </w:r>
            <w:r/>
          </w:p>
        </w:tc>
      </w:tr>
      <w:tr>
        <w:trPr/>
        <w:tc>
          <w:tcPr>
            <w:tcBorders/>
            <w:tcMar>
              <w:left w:w="108" w:type="dxa"/>
              <w:top w:w="0" w:type="dxa"/>
              <w:right w:w="108" w:type="dxa"/>
              <w:bottom w:w="0" w:type="dxa"/>
            </w:tcMar>
            <w:tcW w:w="163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65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024.22644333</w:t>
            </w:r>
            <w:r/>
          </w:p>
        </w:tc>
      </w:tr>
      <w:tr>
        <w:trPr/>
        <w:tc>
          <w:tcPr>
            <w:tcBorders/>
            <w:tcMar>
              <w:left w:w="108" w:type="dxa"/>
              <w:top w:w="0" w:type="dxa"/>
              <w:right w:w="108" w:type="dxa"/>
              <w:bottom w:w="0" w:type="dxa"/>
            </w:tcMar>
            <w:tcW w:w="163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65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0102708994</w:t>
            </w:r>
            <w:r/>
          </w:p>
        </w:tc>
      </w:tr>
      <w:tr>
        <w:trPr/>
        <w:tc>
          <w:tcPr>
            <w:tcBorders/>
            <w:tcMar>
              <w:left w:w="108" w:type="dxa"/>
              <w:top w:w="0" w:type="dxa"/>
              <w:right w:w="108" w:type="dxa"/>
              <w:bottom w:w="0" w:type="dxa"/>
            </w:tcMar>
            <w:tcW w:w="1638" w:type="dxa"/>
            <w:vAlign w:val="top"/>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Mar>
              <w:left w:w="108" w:type="dxa"/>
              <w:top w:w="0" w:type="dxa"/>
              <w:right w:w="108" w:type="dxa"/>
              <w:bottom w:w="0" w:type="dxa"/>
            </w:tcMar>
            <w:tcW w:w="313" w:type="dxa"/>
            <w:vAlign w:val="top"/>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Mar>
              <w:left w:w="108" w:type="dxa"/>
              <w:top w:w="0" w:type="dxa"/>
              <w:right w:w="108" w:type="dxa"/>
              <w:bottom w:w="0" w:type="dxa"/>
            </w:tcMar>
            <w:tcW w:w="7655" w:type="dxa"/>
            <w:vAlign w:val="top"/>
            <w:textDirection w:val="lrTb"/>
            <w:noWrap w:val="false"/>
          </w:tcPr>
          <w:p>
            <w:pPr>
              <w:pBdr/>
              <w:spacing w:after="60" w:before="60" w:line="276" w:lineRule="auto"/>
              <w:ind/>
              <w:rPr>
                <w:bCs/>
              </w:rPr>
            </w:pPr>
            <w:r>
              <w:rPr>
                <w:bCs/>
              </w:rPr>
              <w:t xml:space="preserve">275/TĐG</w:t>
            </w:r>
            <w:r>
              <w:rPr>
                <w:bCs/>
              </w:rPr>
            </w:r>
            <w:r>
              <w:rPr>
                <w:bCs/>
              </w:rPr>
            </w:r>
          </w:p>
        </w:tc>
      </w:tr>
      <w:tr>
        <w:trPr/>
        <w:tc>
          <w:tcPr>
            <w:tcBorders/>
            <w:tcMar>
              <w:left w:w="108" w:type="dxa"/>
              <w:top w:w="0" w:type="dxa"/>
              <w:right w:w="108" w:type="dxa"/>
              <w:bottom w:w="0" w:type="dxa"/>
            </w:tcMar>
            <w:tcW w:w="163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65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1505112366666 tại Ngân hàng Agribank - Chi nhánh Hà Nội II</w:t>
            </w:r>
            <w:r/>
          </w:p>
        </w:tc>
      </w:tr>
      <w:tr>
        <w:trPr/>
        <w:tc>
          <w:tcPr>
            <w:tcBorders/>
            <w:tcMar>
              <w:left w:w="108" w:type="dxa"/>
              <w:top w:w="0" w:type="dxa"/>
              <w:right w:w="108" w:type="dxa"/>
              <w:bottom w:w="0" w:type="dxa"/>
            </w:tcMar>
            <w:tcW w:w="163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65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b/>
                <w:color w:val="000000"/>
                <w:sz w:val="24"/>
              </w:rPr>
              <w:t xml:space="preserve">Ông Vũ Văn Quân</w:t>
              <w:tab/>
              <w:tab/>
              <w:t xml:space="preserve"> Chức vụ:</w:t>
            </w: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Chủ tịch HĐQT</w:t>
            </w:r>
            <w:r>
              <w:rPr>
                <w:rFonts w:ascii="Times New Roman" w:hAnsi="Times New Roman" w:eastAsia="Times New Roman" w:cs="Times New Roman"/>
                <w:color w:val="000000"/>
                <w:sz w:val="24"/>
              </w:rPr>
              <w:t xml:space="preserve"> </w:t>
            </w:r>
            <w:r>
              <w:rPr>
                <w:rFonts w:ascii="Times New Roman" w:hAnsi="Times New Roman" w:eastAsia="Times New Roman" w:cs="Times New Roman"/>
                <w:b/>
                <w:bCs/>
                <w:color w:val="000000"/>
                <w:sz w:val="24"/>
              </w:rPr>
              <w:t xml:space="preserve">kiêm Tổng Giám đốc</w:t>
            </w:r>
            <w:r/>
          </w:p>
        </w:tc>
      </w:tr>
    </w:tbl>
    <w:p>
      <w:pPr>
        <w:pBdr>
          <w:top w:val="none" w:color="000000" w:sz="4" w:space="0"/>
          <w:left w:val="none" w:color="000000" w:sz="4" w:space="0"/>
          <w:bottom w:val="none" w:color="000000" w:sz="4" w:space="0"/>
          <w:right w:val="none" w:color="000000" w:sz="4" w:space="0"/>
        </w:pBdr>
        <w:tabs>
          <w:tab w:val="left" w:leader="none" w:pos="426"/>
        </w:tabs>
        <w:spacing w:after="0" w:before="240" w:line="276" w:lineRule="auto"/>
        <w:ind w:right="0" w:firstLine="0" w:left="0"/>
        <w:jc w:val="both"/>
        <w:rPr/>
      </w:pPr>
      <w:r>
        <w:rPr>
          <w:rFonts w:ascii="Times New Roman" w:hAnsi="Times New Roman" w:eastAsia="Times New Roman" w:cs="Times New Roman"/>
          <w:b/>
          <w:color w:val="000000"/>
          <w:sz w:val="24"/>
        </w:rPr>
        <w:t xml:space="preserve">II. THÔNG TIN CƠ BẢN VỀ CUỘC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1. Thông tin cơ bản về cuộc thẩm định giá:</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660"/>
        <w:gridCol w:w="283"/>
        <w:gridCol w:w="6521"/>
      </w:tblGrid>
      <w:tr>
        <w:trPr>
          <w:trHeight w:val="625"/>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z w:val="24"/>
              </w:rPr>
              <w:t xml:space="preserve">ÔNG NGUYỄN QUANG HÀ</w:t>
            </w: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1969</w:t>
            </w: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CMND số</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color w:val="auto"/>
              </w:rPr>
            </w:pPr>
            <w:r>
              <w:rPr>
                <w:rFonts w:ascii="Times New Roman" w:hAnsi="Times New Roman" w:eastAsia="Times New Roman" w:cs="Times New Roman"/>
                <w:color w:val="auto"/>
                <w:sz w:val="24"/>
              </w:rPr>
              <w:t xml:space="preserve">001069010076</w:t>
            </w:r>
            <w:r>
              <w:rPr>
                <w:color w:val="auto"/>
              </w:rPr>
            </w:r>
            <w:r>
              <w:rPr>
                <w:color w:val="auto"/>
              </w:rP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color w:val="auto"/>
              </w:rPr>
            </w:pPr>
            <w:r>
              <w:rPr>
                <w:rFonts w:ascii="Times New Roman" w:hAnsi="Times New Roman" w:eastAsia="Times New Roman" w:cs="Times New Roman"/>
                <w:color w:val="auto"/>
                <w:sz w:val="24"/>
              </w:rPr>
              <w:t xml:space="preserve">Cổ Liễn, Cổ Đông, thị xã Sơn Tây, Hà</w:t>
            </w:r>
            <w:r>
              <w:rPr>
                <w:rFonts w:ascii="Times New Roman" w:hAnsi="Times New Roman" w:eastAsia="Times New Roman" w:cs="Times New Roman"/>
                <w:color w:val="auto"/>
                <w:sz w:val="24"/>
              </w:rPr>
              <w:t xml:space="preserve"> Nội (nay là xã Đoài Phương, thành phố Hà Nội</w:t>
            </w:r>
            <w:r>
              <w:rPr>
                <w:color w:val="auto"/>
              </w:rPr>
            </w:r>
            <w:r>
              <w:rPr>
                <w:color w:val="auto"/>
              </w:rP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Hợp đồng số</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color w:val="auto"/>
              </w:rPr>
            </w:pPr>
            <w:r>
              <w:rPr>
                <w:rFonts w:ascii="Times New Roman" w:hAnsi="Times New Roman" w:eastAsia="Times New Roman" w:cs="Times New Roman"/>
                <w:color w:val="auto"/>
                <w:sz w:val="24"/>
              </w:rPr>
              <w:t xml:space="preserve">275/2026/0274/VFI-HĐTĐ.27.A</w:t>
            </w:r>
            <w:r>
              <w:rPr>
                <w:color w:val="auto"/>
              </w:rPr>
            </w:r>
            <w:r>
              <w:rPr>
                <w:color w:val="auto"/>
              </w:rP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Tài sản thẩm định giá</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color w:val="auto"/>
              </w:rPr>
            </w:pPr>
            <w:r>
              <w:rPr>
                <w:rFonts w:ascii="Times New Roman" w:hAnsi="Times New Roman" w:eastAsia="Times New Roman" w:cs="Times New Roman"/>
                <w:color w:val="auto"/>
                <w:sz w:val="24"/>
              </w:rPr>
              <w:t xml:space="preserve">Quyền sử dụng đất tại thửa đất số: 246, tờ bản đồ số: 97 có địa chỉ: Thôn Đồng Trạng, xã Đoài Phương, thành phố Hà Nội theo Giấy chứng nhận quyền sử dụng đất quyền sở hữu tài sản gắn liền với đất số: AA 02940288, số vào sổ cấp GCN: CN 3368 do Chi nhánh văn</w:t>
            </w:r>
            <w:r>
              <w:rPr>
                <w:rFonts w:ascii="Times New Roman" w:hAnsi="Times New Roman" w:eastAsia="Times New Roman" w:cs="Times New Roman"/>
                <w:color w:val="auto"/>
                <w:sz w:val="24"/>
              </w:rPr>
              <w:t xml:space="preserve"> phòng đăng ký đất đai Hà Nội cấp ngày 08/9/2025 cho ông Nguyễn Quang Hà và bà Nguyễn Thị Hòa.</w:t>
            </w:r>
            <w:r>
              <w:rPr>
                <w:color w:val="auto"/>
              </w:rPr>
            </w:r>
            <w:r>
              <w:rPr>
                <w:color w:val="auto"/>
              </w:rP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Mục đích thẩm định giá</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Kết quả thẩm định giá để khách hàng tham khảo giá trị tài sản phục vụ công tác vay vốn tại tổ chức tín dụng.</w:t>
            </w:r>
            <w:r/>
          </w:p>
        </w:tc>
      </w:tr>
      <w:tr>
        <w:trPr/>
        <w:tc>
          <w:tcPr>
            <w:tcBorders/>
            <w:tcMar>
              <w:left w:w="108" w:type="dxa"/>
              <w:top w:w="0" w:type="dxa"/>
              <w:right w:w="108" w:type="dxa"/>
              <w:bottom w:w="0" w:type="dxa"/>
            </w:tcMar>
            <w:tcW w:w="2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pacing w:val="-12"/>
                <w:sz w:val="24"/>
              </w:rPr>
              <w:t xml:space="preserve">Cơ sở giá trị thẩm định giá</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pacing w:val="-4"/>
                <w:sz w:val="24"/>
              </w:rPr>
              <w:t xml:space="preserve">Giá trị thị trường</w:t>
            </w:r>
            <w:r/>
          </w:p>
        </w:tc>
      </w:tr>
      <w:tr>
        <w:trPr/>
        <w:tc>
          <w:tcPr>
            <w:tcBorders/>
            <w:tcMar>
              <w:left w:w="108" w:type="dxa"/>
              <w:top w:w="0" w:type="dxa"/>
              <w:right w:w="108" w:type="dxa"/>
              <w:bottom w:w="0" w:type="dxa"/>
            </w:tcMar>
            <w:tcW w:w="2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Thời điểm thẩm định giá</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tháng 02/2026.</w:t>
            </w:r>
            <w:r/>
          </w:p>
        </w:tc>
      </w:tr>
      <w:tr>
        <w:trPr/>
        <w:tc>
          <w:tcPr>
            <w:tcBorders/>
            <w:tcMar>
              <w:left w:w="108" w:type="dxa"/>
              <w:top w:w="0" w:type="dxa"/>
              <w:right w:w="108" w:type="dxa"/>
              <w:bottom w:w="0" w:type="dxa"/>
            </w:tcMar>
            <w:tcW w:w="266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Địa điểm thẩm định giá</w:t>
            </w:r>
            <w:r/>
          </w:p>
        </w:tc>
        <w:tc>
          <w:tcPr>
            <w:tcBorders/>
            <w:tcMar>
              <w:left w:w="108" w:type="dxa"/>
              <w:top w:w="0" w:type="dxa"/>
              <w:right w:w="108" w:type="dxa"/>
              <w:bottom w:w="0" w:type="dxa"/>
            </w:tcMar>
            <w:tcW w:w="28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Thành phố Hà Nội</w:t>
            </w:r>
            <w:r/>
          </w:p>
        </w:tc>
      </w:tr>
      <w:tr>
        <w:trPr/>
        <w:tc>
          <w:tcPr>
            <w:tcBorders/>
            <w:tcMar>
              <w:left w:w="108" w:type="dxa"/>
              <w:top w:w="0" w:type="dxa"/>
              <w:right w:w="108" w:type="dxa"/>
              <w:bottom w:w="0" w:type="dxa"/>
            </w:tcMar>
            <w:tcW w:w="2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Định vị tài sản thẩm đinh</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(21.046051, 105.515719)</w:t>
            </w:r>
            <w:r/>
          </w:p>
        </w:tc>
      </w:tr>
      <w:tr>
        <w:trPr/>
        <w:tc>
          <w:tcPr>
            <w:tcBorders/>
            <w:tcMar>
              <w:left w:w="108" w:type="dxa"/>
              <w:top w:w="0" w:type="dxa"/>
              <w:right w:w="108" w:type="dxa"/>
              <w:bottom w:w="0" w:type="dxa"/>
            </w:tcMar>
            <w:tcW w:w="2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pacing w:val="-6"/>
                <w:sz w:val="24"/>
              </w:rPr>
              <w:t xml:space="preserve">Thời điểm khảo sát</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Tháng 02/2026</w:t>
            </w: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2. Các nguồn thông tin được sử dụng trong quá trình thẩm định giá</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Tham khảo nguồn thông tin từ các trang giao bán bất động sản qua mạng Internet, gọi điện trực tiếp.</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Tham khảo nguồn thông tin trực tiếp từ người dân sống xung quanh trên địa bàn.</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Đánh giá nguồn thông tin thu thập: Nguồn thông tin thu thập khách quan và phổ biến trên thị trường.</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3. Căn cứ pháp lý</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3.1. Văn bản pháp quy về thẩm định giá:</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Luật giá số 16/2023/QH15 ngày 19/6/2023;</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Luật đất đai số 31/2024/QH15 đã được Quốc hội nước Cộng hòa xã hội chủ nghĩa Việt Nam khóa XV, kỳ họp bất thường lần thứ năm thông qua ngày 18 tháng 01 năm 2024;</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Luật xây dựng số 50/2014/QH13 được Quốc hội nước Cộng hòa xã hội chủ nghĩa Việt Nam khóa XIII, kỳ họp thứ 7 thông qua ngày 18 tháng 6 năm 2014.</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Luật số 35/2018/QH14 sửa đổi, bổ sung một số điều của 37 luật có liên quan đến quy hoạch đã được Quốc hội nước Cộng hòa xã hội chủ nghĩa Việt Nam khóa XIV, kỳ họp thứ 6 thông qua ngày 20 tháng 11 năm 2018;</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Luật kiến trúc số 40/2019/QH14 đã được Quốc hội nước Cộng hòa xã hội chủ nghĩa Việt Nam khóa XIV, kỳ họp thứ 7 thông qua ngày 13 tháng 6 năm 2019.</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Luật số 62/2020/QH14  về việc sửa đổi, bổ sung một số điều của luật xây dựng đã được Quốc hội nước Cộng hòa xã hội chủ nghĩa Việt Nam khóa XIV, kỳ họp thứ 9 thông qua ngày 17 tháng 6 năm 2020.</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Luật nhà ở số 27/2023/QH15 đã được Quốc hội nước Cộng hòa xã hội chủ nghĩa Việt Nam khóa XV, kỳ họp thứ 6  thông qua ngày 27 tháng 11 năm 2023;</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Nghị định số 78/2024/NĐ-CP ngày 01/7/2024 của Chính Phủ về việc quy định chi tiết một số điều của Luật Giá về thẩm định giá;</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Nghị định số 85/2024/NĐ-CP ngày 10/7/2024 của Chính Phủ về việc quy định chi tiết một số điều của Luật Giá;</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Thông tư số 28/2024/TT-BTC ngày 16/5/2024 của Bộ Tài Chính Quy định về trình tự, thủ tục kiểm tra việc chấp hành pháp luật về giá, thẩm định giá do Bộ trưởng Bộ Tài chính ban hành;</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Thông tư số 30/2024/TT-BTC ngày 16/5/2024 ban hành các chuẩn mực thẩm định giá Việt Nam về quy tắc đạo đức nghề nghiệp thẩm định giá, phạm vi công việc thẩm định giá, cơ sở giá trị thẩm định giá, hồ sơ thẩm định giá;</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Thông tư số 31/2024/TT-BTC ngày 16/5/2024 ban hành chuẩn mực thẩm định giá Việt Nam về thu thập và phân tích thông tin về tài sản thẩm định giá;</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Thông tư số 32/2024/TT-BTC ngày 16/5/2024 ban hành các chuẩn mực thẩm định giá Việt Nam về cách tiếp cận từ thị trường, cách tiếp cận từ chi phí, cách tiếp cận từ thu nhập;</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Thông tư số 37/2024/TT-BTC ngày 16/5/2024 ban hành chuẩn mực thẩm định giá Việt Nam về thẩm định giá tài sản vô hình;</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Thông tư số 42/2024/TT-BTC ngày 20/6/2024 ban hành chuẩn mực thẩm định giá Việt Nam về thẩm định giá bất động sản.</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Thông tư số 45/2013/TT-BTC ngày 24/5/2013 của Bộ Tài chính về việc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Thông tư 147/2016/TT-BTC ngày 13/10/2016 sửa đổi bổ sung một số điều của Thông tư số 45/2013/TT-BTC ngày 25/4/2013 của Bộ Tài chính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sz w:val="24"/>
        </w:rPr>
        <w:t xml:space="preserve">ài sản cố định;</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Công văn số 1326/BXD-QLN do Bộ Xây dựng ban hành ngày 08/8/2011 về việc hướng dẫn kiểm kê, đánh giá lại giá trị tài sản cố định là nhà, vật kiến trúc</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Quyết định </w:t>
      </w:r>
      <w:r>
        <w:rPr>
          <w:rFonts w:ascii="Times New Roman" w:hAnsi="Times New Roman" w:eastAsia="Times New Roman" w:cs="Times New Roman"/>
          <w:color w:val="000000"/>
          <w:sz w:val="24"/>
          <w:highlight w:val="white"/>
        </w:rPr>
        <w:t xml:space="preserve">số 409/QĐ-BXD ngày11 tháng 4năm 2025 của Bộ xây dựng công bố suất vốn đầu tư xây dựng và giá xây dựng tổng hợp bộ phận kết cấu công trình năm 2024</w:t>
      </w:r>
      <w:r>
        <w:rPr>
          <w:rFonts w:ascii="Times New Roman" w:hAnsi="Times New Roman" w:eastAsia="Times New Roman" w:cs="Times New Roman"/>
          <w:color w:val="000000"/>
          <w:sz w:val="24"/>
        </w:rPr>
        <w:t xml:space="preserve">;</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Và các văn bản pháp luật có liên quan khác</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3.2. Các văn bản liên quan khác:</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a. Hồ sơ pháp lý của tài sản:</w:t>
        <w:tab/>
        <w:tab/>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tài sản gắn liền với đất số: AA 02940288, số vào sổ cấp GCN: CN 3368 do Chi nhánh văn phòng đăng ký đất đai Hà Nội cấp ngày 08/9/2025 cho ông Nguyễn Quang Hà và bà Nguyễn Thị Hòa</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b. Hồ sơ khác:</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Hợp đồng dịch vụ thẩm định giá số 275/2026/0274/VFI-HĐTĐ.27.A ký ngày 03/02/2026 giữa ông Nguyễn Quang Hà và Công ty Cổ phần Thẩm định và Đầu tư Tài chính Hoa Sen;</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III. TỔNG QUAN VỀ THỊ TRƯỜNG CỦA TÀI SẢN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 </w:t>
      </w:r>
      <w:r>
        <w:rPr>
          <w:rFonts w:ascii="Times New Roman" w:hAnsi="Times New Roman" w:eastAsia="Times New Roman" w:cs="Times New Roman"/>
          <w:color w:val="000000"/>
          <w:sz w:val="24"/>
        </w:rPr>
        <w:t xml:space="preserve">ở thực, chất lượng dự án và năng lực doanh nghiệp làm trụ cột phát triển bền vững.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vì</w:t>
      </w:r>
      <w:r>
        <w:rPr>
          <w:rFonts w:ascii="Times New Roman" w:hAnsi="Times New Roman" w:eastAsia="Times New Roman" w:cs="Times New Roman"/>
          <w:color w:val="000000"/>
          <w:sz w:val="24"/>
        </w:rPr>
        <w:t xml:space="preserve"> những cơn "sốt nóng" ngắn hạn, thị trường năm 2026 được kỳ vọng tăng trưởng trên nền tảng bền vững, gắn chặt với quy hoạch đô thị, nhu cầu ở thực và năng lực triển khai của doanh nghiệp.</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Hạ tầng – "xương sống" mở không gian phát triển mới</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độn</w:t>
      </w:r>
      <w:r>
        <w:rPr>
          <w:rFonts w:ascii="Times New Roman" w:hAnsi="Times New Roman" w:eastAsia="Times New Roman" w:cs="Times New Roman"/>
          <w:color w:val="000000"/>
          <w:sz w:val="24"/>
        </w:rPr>
        <w:t xml:space="preserve">g sản.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 </w:t>
      </w:r>
      <w:r>
        <w:rPr>
          <w:rFonts w:ascii="Times New Roman" w:hAnsi="Times New Roman" w:eastAsia="Times New Roman" w:cs="Times New Roman"/>
          <w:color w:val="000000"/>
          <w:sz w:val="24"/>
        </w:rPr>
        <w:t xml:space="preserve">có điều kiện kết nối thuận lợi hơn, qua đó gia tăng sức hấp dẫn với các dự án đô thị, khu nhà ở và dịch vụ.</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w:t>
      </w:r>
      <w:r>
        <w:rPr>
          <w:rFonts w:ascii="Times New Roman" w:hAnsi="Times New Roman" w:eastAsia="Times New Roman" w:cs="Times New Roman"/>
          <w:color w:val="000000"/>
          <w:sz w:val="24"/>
        </w:rPr>
        <w:t xml:space="preserve">,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w:t>
      </w:r>
      <w:r>
        <w:rPr>
          <w:rFonts w:ascii="Times New Roman" w:hAnsi="Times New Roman" w:eastAsia="Times New Roman" w:cs="Times New Roman"/>
          <w:color w:val="000000"/>
          <w:sz w:val="24"/>
        </w:rPr>
        <w:t xml:space="preserve"> trưởng bất động sản dài hạn.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n</w:t>
      </w:r>
      <w:r>
        <w:rPr>
          <w:rFonts w:ascii="Times New Roman" w:hAnsi="Times New Roman" w:eastAsia="Times New Roman" w:cs="Times New Roman"/>
          <w:color w:val="000000"/>
          <w:sz w:val="24"/>
        </w:rPr>
        <w:t xml:space="preserve">ổi lên như một cực phát triển mới. Ở phía Đông, hệ thống cầu vượt sông Hồng, cùng quy hoạch chỉnh trang đô thị ven sông, tiếp tục mở ra dư địa cho các dự án nhà ở và đô thị sinh thái.</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Thị trường chuyển từ "tăng nóng" sang tăng trưởng chọn lọc</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 </w:t>
      </w:r>
      <w:r>
        <w:rPr>
          <w:rFonts w:ascii="Times New Roman" w:hAnsi="Times New Roman" w:eastAsia="Times New Roman" w:cs="Times New Roman"/>
          <w:color w:val="000000"/>
          <w:sz w:val="24"/>
        </w:rPr>
        <w:t xml:space="preserve">quy hoạch rõ ràng, hạ tầng đồng bộ và nhu cầu ở thực ổn định.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v</w:t>
      </w:r>
      <w:r>
        <w:rPr>
          <w:rFonts w:ascii="Times New Roman" w:hAnsi="Times New Roman" w:eastAsia="Times New Roman" w:cs="Times New Roman"/>
          <w:color w:val="000000"/>
          <w:sz w:val="24"/>
        </w:rPr>
        <w:t xml:space="preserve">à được triển khai bài bản sẽ trở thành động lực chính của thị trường trong năm 2026.</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cá</w:t>
      </w:r>
      <w:r>
        <w:rPr>
          <w:rFonts w:ascii="Times New Roman" w:hAnsi="Times New Roman" w:eastAsia="Times New Roman" w:cs="Times New Roman"/>
          <w:color w:val="000000"/>
          <w:sz w:val="24"/>
        </w:rPr>
        <w:t xml:space="preserve">c phân khúc an toàn hơn, hạn chế rủi ro và có tiềm năng tăng trưởng dài hạn.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Nguồn cung lớn, thị trường phân hóa rõ nét</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tạo</w:t>
      </w:r>
      <w:r>
        <w:rPr>
          <w:rFonts w:ascii="Times New Roman" w:hAnsi="Times New Roman" w:eastAsia="Times New Roman" w:cs="Times New Roman"/>
          <w:color w:val="000000"/>
          <w:sz w:val="24"/>
        </w:rPr>
        <w:t xml:space="preserve"> cơ hội cho người mua, vừa đặt ra thách thức cho doanh nghiệp phát triển dự án.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k</w:t>
      </w:r>
      <w:r>
        <w:rPr>
          <w:rFonts w:ascii="Times New Roman" w:hAnsi="Times New Roman" w:eastAsia="Times New Roman" w:cs="Times New Roman"/>
          <w:color w:val="000000"/>
          <w:sz w:val="24"/>
        </w:rPr>
        <w:t xml:space="preserve">ết nối hạ tầng tốt, pháp lý hoàn chỉnh và chủ đầu tư uy tín sẽ duy trì thanh khoản, trong khi những dự án xa trung tâm, thiếu tiện ích hoặc định giá vượt khả năng chi trả của số đông sẽ gặp khó.</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đó</w:t>
      </w:r>
      <w:r>
        <w:rPr>
          <w:rFonts w:ascii="Times New Roman" w:hAnsi="Times New Roman" w:eastAsia="Times New Roman" w:cs="Times New Roman"/>
          <w:color w:val="000000"/>
          <w:sz w:val="24"/>
        </w:rPr>
        <w:t xml:space="preserve">, phân khúc nhà ở vừa túi tiền và nhà ở xã hội được kỳ vọng sẽ dần cải thiện nguồn cung khi các chính sách mới được triển khai đồng bộ.</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Chính sách và pháp lý – điểm tựa cho chu kỳ mới</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w:t>
      </w:r>
      <w:r>
        <w:rPr>
          <w:rFonts w:ascii="Times New Roman" w:hAnsi="Times New Roman" w:eastAsia="Times New Roman" w:cs="Times New Roman"/>
          <w:color w:val="000000"/>
          <w:sz w:val="24"/>
        </w:rPr>
        <w:t xml:space="preserve">guồn cung đáng kể cho thị trường.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w:t>
      </w:r>
      <w:r>
        <w:rPr>
          <w:rFonts w:ascii="Times New Roman" w:hAnsi="Times New Roman" w:eastAsia="Times New Roman" w:cs="Times New Roman"/>
          <w:color w:val="000000"/>
          <w:sz w:val="24"/>
        </w:rPr>
        <w:t xml:space="preserve">ự án kéo dài, đồng thời tạo niềm tin cho nhà đầu tư và người mua nhà.</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v</w:t>
      </w:r>
      <w:r>
        <w:rPr>
          <w:rFonts w:ascii="Times New Roman" w:hAnsi="Times New Roman" w:eastAsia="Times New Roman" w:cs="Times New Roman"/>
          <w:color w:val="000000"/>
          <w:sz w:val="24"/>
        </w:rPr>
        <w:t xml:space="preserve">ùng hỗ trợ giao dịch, khác xa giai đoạn "cú sốc kép" năm 2022.</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trư</w:t>
      </w:r>
      <w:r>
        <w:rPr>
          <w:rFonts w:ascii="Times New Roman" w:hAnsi="Times New Roman" w:eastAsia="Times New Roman" w:cs="Times New Roman"/>
          <w:color w:val="000000"/>
          <w:sz w:val="24"/>
        </w:rPr>
        <w:t xml:space="preserve">ờng phát triển ổn định hơn. Người mua ngày càng thận trọng, ưu tiên pháp lý rõ ràng, chất lượng sản phẩm và uy tín chủ đầu tư – những yếu tố then chốt để hình thành chu kỳ tăng trưởng bền vững.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Triển vọng 2026: tăng trưởng bền vững trên nền tảng mới</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cơ</w:t>
      </w:r>
      <w:r>
        <w:rPr>
          <w:rFonts w:ascii="Times New Roman" w:hAnsi="Times New Roman" w:eastAsia="Times New Roman" w:cs="Times New Roman"/>
          <w:color w:val="000000"/>
          <w:sz w:val="24"/>
        </w:rPr>
        <w:t xml:space="preserve"> hội bứt phá. Ngược lại, các doanh nghiệp yếu về pháp lý, phụ thuộc nhiều vào đòn bẩy tài chính hoặc chạy theo đầu cơ ngắn hạn có thể tiếp tục bị đào thải.</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kh</w:t>
      </w:r>
      <w:r>
        <w:rPr>
          <w:rFonts w:ascii="Times New Roman" w:hAnsi="Times New Roman" w:eastAsia="Times New Roman" w:cs="Times New Roman"/>
          <w:color w:val="000000"/>
          <w:sz w:val="24"/>
        </w:rPr>
        <w:t xml:space="preserve">ông còn chỗ cho những cơn sốt ảo, mà hướng tới tăng trưởng ổn định, gắn với chất lượng đô thị và chất lượng sống.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(Nguồn: https://thanglong.chinhphu.vn/buc-tranh-thi-truong-bat-dong-san-ha-noi-nam-2026-ha-tang-dan-dat-thi-truong-buoc-vao-chu-ky-tang-truong-moi-103260101181315972.htm)</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IV. THÔNG TIN VỀ TÀI SẢN THẨM ĐỊNH GIÁ</w:t>
      </w:r>
      <w:r/>
    </w:p>
    <w:tbl>
      <w:tblPr>
        <w:tblStyle w:val="1035"/>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60"/>
        <w:gridCol w:w="2160"/>
        <w:gridCol w:w="2100"/>
        <w:gridCol w:w="2220"/>
        <w:gridCol w:w="2100"/>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5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Quyền sử dụng đất tại thửa đất số: 246, tờ bản đồ số: 97 có địa chỉ: Thôn Đồng Trạng, xã Đoài Phương, thành phố Hà Nội theo Giấy chứng nhận quyền sử dụng đất quyền sở hữu tài sản gắn liền với đất số: AA 02940288, số vào sổ cấp GCN: CN 3368 do Chi nhánh văn</w:t>
            </w:r>
            <w:r>
              <w:rPr>
                <w:rFonts w:ascii="Times New Roman" w:hAnsi="Times New Roman" w:eastAsia="Times New Roman" w:cs="Times New Roman"/>
                <w:b/>
                <w:color w:val="000000"/>
                <w:sz w:val="24"/>
              </w:rPr>
              <w:t xml:space="preserve"> phòng đăng ký đất đai Hà Nội cấp ngày 08/9/2025 cho ông Nguyễn Quang Hà và bà Nguyễn Thị Hòa</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5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5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246</w:t>
            </w:r>
            <w:r/>
          </w:p>
        </w:tc>
        <w:tc>
          <w:tcPr>
            <w:tcBorders>
              <w:bottom w:val="single" w:color="000000" w:sz="8" w:space="0"/>
              <w:right w:val="single" w:color="000000" w:sz="8"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97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4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Thôn Đồng Trạng, xã Đoài Phương,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                     155,40 </w:t>
            </w:r>
            <w:r/>
          </w:p>
        </w:tc>
        <w:tc>
          <w:tcPr>
            <w:tcBorders>
              <w:bottom w:val="single" w:color="000000" w:sz="8" w:space="0"/>
              <w:right w:val="single" w:color="000000" w:sz="8"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Sử dụng chung của vợ chồng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Loại đất: </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Đất ở tại nông thôn: 130,9m2</w:t>
              <w:br/>
              <w:t xml:space="preserve"> Đất trồng cây lâu năm: 25m2</w:t>
            </w:r>
            <w:r/>
          </w:p>
        </w:tc>
        <w:tc>
          <w:tcPr>
            <w:tcBorders>
              <w:bottom w:val="single" w:color="000000" w:sz="8" w:space="0"/>
              <w:right w:val="single" w:color="000000" w:sz="8"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Đất ở tại nông thôn: Lâu dài;</w:t>
              <w:br/>
              <w:t xml:space="preserve"> Đất trồng cây lâu năm: Đến 15/10/2043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64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 Số tờ, số thửa được xác định theo bản đồ dự án tổng thể thuộc xã Cổ Đông, thị xã Sơn Tây trước khi sáp nhập.</w:t>
              <w:br/>
              <w:t xml:space="preserve"> - Giấy chứng nhận này được cấp đổi từ GCN số BO 838721 đã được UBND thị xã Sơn Tây cấp ngày 14/02/2014.</w:t>
              <w:br/>
              <w:t xml:space="preserve"> - Theo bản đồ 2002-2003 là thửa 81, tờ </w:t>
            </w:r>
            <w:r>
              <w:rPr>
                <w:rFonts w:ascii="Times New Roman" w:hAnsi="Times New Roman" w:eastAsia="Times New Roman" w:cs="Times New Roman"/>
                <w:color w:val="000000"/>
                <w:sz w:val="24"/>
              </w:rPr>
              <w:t xml:space="preserve">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Những thay đổi sau khi cấp Giấy chứng  nhận:</w:t>
            </w:r>
            <w:r/>
          </w:p>
        </w:tc>
        <w:tc>
          <w:tcPr>
            <w:gridSpan w:val="3"/>
            <w:tcBorders>
              <w:bottom w:val="single" w:color="000000" w:sz="8" w:space="0"/>
              <w:right w:val="single" w:color="000000" w:sz="8" w:space="0"/>
            </w:tcBorders>
            <w:tcMar>
              <w:left w:w="108" w:type="dxa"/>
              <w:top w:w="0" w:type="dxa"/>
              <w:right w:w="108" w:type="dxa"/>
              <w:bottom w:w="0" w:type="dxa"/>
            </w:tcMar>
            <w:tcW w:w="64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Ngày 08/12/2025</w:t>
              <w:br/>
            </w:r>
            <w:r>
              <w:rPr>
                <w:rFonts w:ascii="Times New Roman" w:hAnsi="Times New Roman" w:eastAsia="Times New Roman" w:cs="Times New Roman"/>
                <w:color w:val="000000"/>
                <w:sz w:val="24"/>
              </w:rPr>
              <w:t xml:space="preserve"> - Chuyển mục đích sử dụng 95,0m2 từ đất trồng cây lâu năm thành Đất ở tại nông thôn, nguồn gốc sử dụng đất chuyển thành: Nhà nước giao đất có thu tiền sử dụng đất, thời hạn sử dụng: Lâu dài, theo Quyết định số 695/QĐ-UBND ngày 12/11/2025 của UBND xã Đoài </w:t>
            </w:r>
            <w:r>
              <w:rPr>
                <w:rFonts w:ascii="Times New Roman" w:hAnsi="Times New Roman" w:eastAsia="Times New Roman" w:cs="Times New Roman"/>
                <w:color w:val="000000"/>
                <w:sz w:val="24"/>
              </w:rPr>
              <w:t xml:space="preserve">Phương.</w:t>
              <w:br/>
              <w:t xml:space="preserve"> Theo hồ sơ số: H26/193-250922-0052.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4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Tại thời điểm thẩm định giá, tổ thẩm định chưa thu thập được các thông tin quy hoạch liên quan đến thửa đất thẩm định giá.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5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5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4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Thôn Đồng Trạng, xã Đoài Phương,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Đường Đồng Trạng</w:t>
            </w:r>
            <w:r/>
          </w:p>
        </w:tc>
        <w:tc>
          <w:tcPr>
            <w:tcBorders>
              <w:bottom w:val="single" w:color="000000" w:sz="8" w:space="0"/>
              <w:right w:val="single" w:color="000000" w:sz="8"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2 mặt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Mặt cắt đường/ngõ nhỏ nhất từ đường chính dẫn đến tài sản thẩm định giá:</w:t>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color w:val="000000" w:themeColor="text1"/>
              </w:rPr>
            </w:pPr>
            <w:r>
              <w:rPr>
                <w:rFonts w:ascii="Times New Roman" w:hAnsi="Times New Roman" w:eastAsia="Times New Roman" w:cs="Times New Roman"/>
                <w:color w:val="000000" w:themeColor="text1"/>
                <w:sz w:val="24"/>
              </w:rPr>
              <w:t xml:space="preserve">7</w:t>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Mặt cắt đường/ngõ trước mặt tài sản thẩm định giá:</w:t>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color w:val="000000" w:themeColor="text1"/>
              </w:rPr>
            </w:pPr>
            <w:r>
              <w:rPr>
                <w:rFonts w:ascii="Times New Roman" w:hAnsi="Times New Roman" w:eastAsia="Times New Roman" w:cs="Times New Roman"/>
                <w:color w:val="000000" w:themeColor="text1"/>
                <w:sz w:val="24"/>
              </w:rPr>
              <w:t xml:space="preserve">7</w:t>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4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Tài sản tiếp giáp đường Cổ Đông, cách đường QL21 khoảng 870m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58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trên bản đồ vệ tinh: (21.046051, 105.515719)</w:t>
            </w:r>
            <w:r/>
          </w:p>
        </w:tc>
      </w:tr>
      <w:tr>
        <w:trPr>
          <w:trHeight w:val="4924"/>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5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 </w:t>
              <mc:AlternateContent>
                <mc:Choice Requires="wpg">
                  <w:drawing>
                    <wp:inline xmlns:wp="http://schemas.openxmlformats.org/drawingml/2006/wordprocessingDrawing" distT="0" distB="0" distL="0" distR="0">
                      <wp:extent cx="5524500" cy="280987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919753" name=""/>
                              <pic:cNvPicPr>
                                <a:picLocks noChangeAspect="1"/>
                              </pic:cNvPicPr>
                              <pic:nvPr/>
                            </pic:nvPicPr>
                            <pic:blipFill rotWithShape="1">
                              <a:blip r:embed="rId17"/>
                              <a:stretch/>
                            </pic:blipFill>
                            <pic:spPr bwMode="auto">
                              <a:xfrm>
                                <a:off x="0" y="0"/>
                                <a:ext cx="5524499" cy="2809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5.00pt;height:221.25pt;mso-wrap-distance-left:0.00pt;mso-wrap-distance-top:0.00pt;mso-wrap-distance-right:0.00pt;mso-wrap-distance-bottom:0.00pt;z-index:1;" stroked="false">
                      <v:imagedata r:id="rId17"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5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155,4</w:t>
            </w:r>
            <w:r/>
          </w:p>
        </w:tc>
        <w:tc>
          <w:tcPr>
            <w:tcBorders>
              <w:bottom w:val="single" w:color="000000" w:sz="8" w:space="0"/>
              <w:right w:val="single" w:color="000000" w:sz="8"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                       25,61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Hướng mặt tiền:</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Đông Bắc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5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4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Hạ tầng cấp nước: Nước máy, Hạ tầng thoát nước: Tự nhiên, Hạ tầng cấp điện: Điện lưới, Hạ tầng thông tin liên lạc: Điện thoại, Mạng internet, Truyền hình cáp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4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5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5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01 nhà cấp 4, kết cấu tường gạch, mái tôn. Hiện trạng công trình xây dựng trên đã cũ.</w:t>
              <w:br/>
              <w:t xml:space="preserve"> Hiện công trình xây dựng trên chưa được chứng nhận trên Giấy chứng nhận quyền sử dụng đất quyền sở hữu tài sản gắn liền với đất số AA 02940288.</w:t>
            </w:r>
            <w:r/>
          </w:p>
        </w:tc>
      </w:tr>
    </w:tbl>
    <w:p>
      <w:pPr>
        <w:pBdr/>
        <w:spacing w:line="276" w:lineRule="auto"/>
        <w:ind w:left="284"/>
        <w:jc w:val="both"/>
        <w:rPr>
          <w:b/>
          <w:bCs/>
          <w:u w:val="single"/>
        </w:rPr>
      </w:pPr>
      <w:r>
        <w:rPr>
          <w:b/>
          <w:bCs/>
          <w:highlight w:val="none"/>
          <w:u w:val="single"/>
        </w:rPr>
      </w:r>
      <w:r>
        <w:rPr>
          <w:b/>
          <w:bCs/>
          <w:u w:val="single"/>
        </w:rPr>
      </w:r>
      <w:r>
        <w:rPr>
          <w:b/>
          <w:bCs/>
          <w:u w:val="single"/>
        </w:rPr>
      </w:r>
    </w:p>
    <w:p>
      <w:pPr>
        <w:pBdr/>
        <w:spacing w:line="276" w:lineRule="auto"/>
        <w:ind w:left="284"/>
        <w:jc w:val="both"/>
        <w:rPr>
          <w:b/>
          <w:bCs/>
          <w:highlight w:val="none"/>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highlight w:val="none"/>
          <w:u w:val="single"/>
        </w:rPr>
      </w:r>
      <w:r>
        <w:rPr>
          <w:b/>
          <w:bCs/>
          <w:highlight w:val="none"/>
          <w:u w:val="single"/>
        </w:rPr>
      </w:r>
    </w:p>
    <w:p>
      <w:pPr>
        <w:pBdr/>
        <w:spacing w:line="276" w:lineRule="auto"/>
        <w:ind w:left="284"/>
        <w:jc w:val="both"/>
        <w:rPr>
          <w:b/>
          <w:bCs/>
          <w:u w:val="single"/>
        </w:rPr>
      </w:pPr>
      <w:r>
        <w:rPr>
          <w:b/>
          <w:bCs/>
          <w:u w:val="single"/>
        </w:rPr>
      </w:r>
      <w:r>
        <w:rPr>
          <w:b/>
          <w:bCs/>
          <w:u w:val="single"/>
        </w:rPr>
      </w:r>
      <w:r>
        <w:rPr>
          <w:b/>
          <w:bCs/>
          <w:u w:val="single"/>
        </w:rPr>
      </w:r>
    </w:p>
    <w:tbl>
      <w:tblPr>
        <w:tblW w:w="5008"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754"/>
        <w:gridCol w:w="3828"/>
        <w:gridCol w:w="1560"/>
        <w:gridCol w:w="3399"/>
      </w:tblGrid>
      <w:tr>
        <w:trPr>
          <w:cantSplit/>
          <w:tblCellSpacing w:w="0" w:type="dxa"/>
          <w:trHeight w:val="300"/>
          <w:tblHeader/>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3399" w:type="dxa"/>
            <w:vAlign w:val="center"/>
            <w:textDirection w:val="lrTb"/>
            <w:noWrap w:val="false"/>
          </w:tcPr>
          <w:p>
            <w:pPr>
              <w:widowControl w:val="false"/>
              <w:pBdr/>
              <w:spacing w:line="276"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bl>
    <w:p>
      <w:pPr>
        <w:pBdr/>
        <w:spacing w:line="276" w:lineRule="auto"/>
        <w:ind w:left="646"/>
        <w:jc w:val="both"/>
        <w:rPr>
          <w:u w:val="single"/>
        </w:rPr>
      </w:pPr>
      <w:r>
        <w:rPr>
          <w:u w:val="single"/>
        </w:rPr>
      </w:r>
      <w:r>
        <w:rPr>
          <w:u w:val="single"/>
        </w:rPr>
      </w:r>
      <w:r>
        <w:rPr>
          <w:u w:val="single"/>
        </w:rPr>
      </w:r>
    </w:p>
    <w:p>
      <w:pPr>
        <w:pBdr/>
        <w:spacing w:line="276"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76" w:lineRule="auto"/>
        <w:ind w:left="284"/>
        <w:jc w:val="both"/>
        <w:rPr>
          <w:b/>
          <w:bCs/>
          <w:u w:val="single"/>
        </w:rPr>
      </w:pPr>
      <w:r>
        <w:rPr>
          <w:b/>
          <w:bCs/>
          <w:u w:val="single"/>
        </w:rPr>
      </w:r>
      <w:r>
        <w:rPr>
          <w:b/>
          <w:bCs/>
          <w:u w:val="single"/>
        </w:rPr>
      </w:r>
      <w:r>
        <w:rPr>
          <w:b/>
          <w:bCs/>
          <w:u w:val="single"/>
        </w:rPr>
      </w:r>
    </w:p>
    <w:tbl>
      <w:tblPr>
        <w:tblW w:w="501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754"/>
        <w:gridCol w:w="3828"/>
        <w:gridCol w:w="1560"/>
        <w:gridCol w:w="3402"/>
      </w:tblGrid>
      <w:tr>
        <w:trPr>
          <w:cantSplit/>
          <w:tblCellSpacing w:w="0" w:type="dxa"/>
          <w:trHeight w:val="300"/>
          <w:tblHeader/>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3402" w:type="dxa"/>
            <w:vAlign w:val="center"/>
            <w:textDirection w:val="lrTb"/>
            <w:noWrap w:val="false"/>
          </w:tcPr>
          <w:p>
            <w:pPr>
              <w:widowControl w:val="false"/>
              <w:pBdr/>
              <w:spacing w:line="276"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402"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402"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402"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402"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402"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402"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402"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402"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402"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402"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402"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402"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3402"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3402"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402"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3402"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3402"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3402"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3402"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3402"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3402"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3402"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3402"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3402"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3402"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3402"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V. CÁC GIẢ THIẾT VÀ GIẢ THIẾT ĐẶC BIỆT</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Chúng tôi giả định rằng tài sản thẩm định giá không xảy ra tranh chấp với bất kỳ bên nào. Trường hợp sau ngày phát hành Chứng thư thẩm định giá, tài sản nêu trên xảy ra tranh chấp với một bên nào khác thì sẽ được tiến hành thẩm định ở một cuộc thẩm định gi</w:t>
      </w:r>
      <w:r>
        <w:rPr>
          <w:rFonts w:ascii="Times New Roman" w:hAnsi="Times New Roman" w:eastAsia="Times New Roman" w:cs="Times New Roman"/>
          <w:color w:val="000000"/>
          <w:sz w:val="24"/>
        </w:rPr>
        <w:t xml:space="preserve">á khác.</w:t>
      </w:r>
      <w:r/>
    </w:p>
    <w:p>
      <w:pPr>
        <w:pBdr>
          <w:top w:val="none" w:color="000000" w:sz="4" w:space="0"/>
          <w:left w:val="none" w:color="000000" w:sz="4" w:space="0"/>
          <w:bottom w:val="none" w:color="000000" w:sz="4" w:space="0"/>
          <w:right w:val="none" w:color="000000" w:sz="4" w:space="0"/>
        </w:pBdr>
        <w:spacing w:after="120" w:before="240" w:line="276" w:lineRule="auto"/>
        <w:ind w:right="0" w:firstLine="0" w:left="0"/>
        <w:rPr/>
      </w:pPr>
      <w:r>
        <w:rPr>
          <w:rFonts w:ascii="Times New Roman" w:hAnsi="Times New Roman" w:eastAsia="Times New Roman" w:cs="Times New Roman"/>
          <w:b/>
          <w:color w:val="000000"/>
          <w:sz w:val="24"/>
        </w:rPr>
        <w:t xml:space="preserve">VI. CƠ SỞ GIÁ TRỊ THẨM ĐỊNH GIÁ </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Giá trị thị trường:</w:t>
      </w:r>
      <w:r>
        <w:rPr>
          <w:rFonts w:ascii="Times New Roman" w:hAnsi="Times New Roman" w:eastAsia="Times New Roman" w:cs="Times New Roman"/>
          <w:color w:val="000000"/>
          <w:sz w:val="24"/>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rFonts w:ascii="Times New Roman" w:hAnsi="Times New Roman" w:eastAsia="Times New Roman" w:cs="Times New Roman"/>
          <w:i/>
          <w:color w:val="000000"/>
          <w:sz w:val="24"/>
        </w:rPr>
        <w:t xml:space="preserve">“Giá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w:t>
      </w:r>
      <w:r>
        <w:rPr>
          <w:rFonts w:ascii="Times New Roman" w:hAnsi="Times New Roman" w:eastAsia="Times New Roman" w:cs="Times New Roman"/>
          <w:i/>
          <w:color w:val="000000"/>
          <w:sz w:val="24"/>
        </w:rPr>
        <w:t xml:space="preserve">u biết, thận trọng và không bị ép buộc”</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VII. CÁCH TIẾP CẬN, PHƯƠNG PHÁP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1. Cách tiếp cận và phương pháp thẩm định:</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i/>
          <w:color w:val="000000"/>
          <w:sz w:val="24"/>
        </w:rPr>
        <w:t xml:space="preserve">Cách tiếp cận từ thị trường</w:t>
      </w:r>
      <w:r>
        <w:rPr>
          <w:rFonts w:ascii="Times New Roman" w:hAnsi="Times New Roman" w:eastAsia="Times New Roman" w:cs="Times New Roman"/>
          <w:color w:val="000000"/>
          <w:sz w:val="24"/>
        </w:rPr>
        <w:t xml:space="preserve">: xác định giá trị của tài sản thẩm định giá thông qua việc so sánh tài sản thẩm định giá với các tài sản so sánh đã có các thông tin về giá trên thị trường.</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i/>
          <w:color w:val="000000"/>
          <w:sz w:val="24"/>
        </w:rPr>
        <w:t xml:space="preserve">Phương pháp so sánh</w:t>
      </w:r>
      <w:r>
        <w:rPr>
          <w:rFonts w:ascii="Times New Roman" w:hAnsi="Times New Roman" w:eastAsia="Times New Roman" w:cs="Times New Roman"/>
          <w:color w:val="000000"/>
          <w:sz w:val="24"/>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w:t>
      </w:r>
      <w:r>
        <w:rPr>
          <w:rFonts w:ascii="Times New Roman" w:hAnsi="Times New Roman" w:eastAsia="Times New Roman" w:cs="Times New Roman"/>
          <w:color w:val="000000"/>
          <w:sz w:val="24"/>
        </w:rPr>
        <w:t xml:space="preserve">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2. Xác định cách tiếp cận và phương pháp đối với tài sản thẩm định giá:</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2"/>
          <w:sz w:val="24"/>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Pr>
          <w:rFonts w:ascii="Times New Roman" w:hAnsi="Times New Roman" w:eastAsia="Times New Roman" w:cs="Times New Roman"/>
          <w:color w:val="000000"/>
          <w:spacing w:val="-2"/>
          <w:sz w:val="24"/>
        </w:rPr>
        <w:t xml:space="preserve"> quyền sử dụng đất của tài sản thẩm định giá</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VIII. XÁC ĐỊNH GIÁ TRỊ CỦA TÀI SẢN CẦN THẨM ĐỊNH GIÁ:</w:t>
      </w:r>
      <w:r/>
    </w:p>
    <w:p>
      <w:pPr>
        <w:numPr>
          <w:ilvl w:val="0"/>
          <w:numId w:val="41"/>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đơn giá quyền sử dụng đất: </w:t>
      </w:r>
      <w:r/>
    </w:p>
    <w:p>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rPr>
          <w:rFonts w:ascii="Times New Roman" w:hAnsi="Times New Roman" w:eastAsia="Times New Roman" w:cs="Times New Roman"/>
          <w:color w:val="000000"/>
          <w:sz w:val="24"/>
        </w:rPr>
        <w:t xml:space="preserve">: </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1984"/>
        <w:gridCol w:w="1736"/>
        <w:gridCol w:w="1736"/>
        <w:gridCol w:w="1736"/>
        <w:gridCol w:w="1736"/>
      </w:tblGrid>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spacing w:after="0" w:before="51" w:beforeAutospacing="0" w:line="276"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Địa chỉ</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Thôn Đồng Trạng, xã Đoài Phương, thành phố Hà Nội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Xã Đoài Phương, thành phố Hà Nội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Xã Đoài Phương, thành phố Hà Nội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Thôn Trại Láng, xã Đoài Phương, Thành phố Hà</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Liên hệ trực tiếp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https://www.facebook.com/photo?fbid=4320135964974022&amp;set=gm.2126751168061822&amp;idorvanity=977996839603933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Thông tin liên lạc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SDT: 0982824256</w:t>
              <w:br/>
              <w:t xml:space="preserve"> (Sale Lịch)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SDT: 0966.060.395</w:t>
              <w:br/>
              <w:t xml:space="preserve"> (Sale Hằng)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SDT: 098.600.4693</w:t>
              <w:br/>
              <w:t xml:space="preserve"> (Sale Chị Nghiêm)</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Đang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Đang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Tháng 02/2026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Tháng 02/2026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Tháng 02/2026</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Tính chất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b w:val="0"/>
                <w:bCs w:val="0"/>
              </w:rPr>
            </w:pPr>
            <w:r>
              <w:rPr>
                <w:rFonts w:ascii="Times New Roman" w:hAnsi="Times New Roman" w:eastAsia="Times New Roman" w:cs="Times New Roman"/>
                <w:b w:val="0"/>
                <w:bCs w:val="0"/>
                <w:color w:val="000000"/>
                <w:sz w:val="22"/>
              </w:rPr>
              <w:t xml:space="preserve">M</w:t>
            </w:r>
            <w:r>
              <w:rPr>
                <w:rFonts w:ascii="Times New Roman" w:hAnsi="Times New Roman" w:eastAsia="Times New Roman" w:cs="Times New Roman"/>
                <w:b w:val="0"/>
                <w:bCs w:val="0"/>
                <w:color w:val="000000"/>
                <w:sz w:val="22"/>
              </w:rPr>
              <w:t xml:space="preserve">ục đích sử dụn</w:t>
            </w:r>
            <w:r>
              <w:rPr>
                <w:rFonts w:ascii="Times New Roman" w:hAnsi="Times New Roman" w:eastAsia="Times New Roman" w:cs="Times New Roman"/>
                <w:b w:val="0"/>
                <w:bCs w:val="0"/>
                <w:color w:val="000000"/>
                <w:sz w:val="22"/>
              </w:rPr>
              <w:t xml:space="preserve">g (Tỷ lệ đất ở/tổng diện tích)</w:t>
            </w:r>
            <w:r>
              <w:rPr>
                <w:b w:val="0"/>
                <w:bCs w:val="0"/>
              </w:rPr>
            </w:r>
            <w:r>
              <w:rPr>
                <w:b w:val="0"/>
                <w:bCs w:val="0"/>
              </w:rPr>
            </w:r>
            <w:r>
              <w:rPr>
                <w:rFonts w:ascii="Times New Roman" w:hAnsi="Times New Roman" w:eastAsia="Times New Roman" w:cs="Times New Roman"/>
                <w:b w:val="0"/>
                <w:bCs w:val="0"/>
                <w:color w:val="000000"/>
                <w:sz w:val="22"/>
              </w:rPr>
            </w:r>
            <w:r>
              <w:rPr>
                <w:b w:val="0"/>
                <w:bCs w:val="0"/>
              </w:rPr>
            </w:r>
            <w:r>
              <w:rPr>
                <w:b w:val="0"/>
                <w:bCs w:val="0"/>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rFonts w:ascii="Times New Roman" w:hAnsi="Times New Roman" w:eastAsia="Times New Roman" w:cs="Times New Roman"/>
                <w:b w:val="0"/>
                <w:bCs w:val="0"/>
                <w:color w:val="000000"/>
                <w:sz w:val="22"/>
                <w:szCs w:val="22"/>
                <w:highlight w:val="none"/>
              </w:rPr>
            </w:pPr>
            <w:r>
              <w:rPr>
                <w:rFonts w:ascii="Times New Roman" w:hAnsi="Times New Roman" w:eastAsia="Times New Roman" w:cs="Times New Roman"/>
                <w:b w:val="0"/>
                <w:bCs w:val="0"/>
                <w:color w:val="000000"/>
                <w:sz w:val="22"/>
              </w:rPr>
              <w:t xml:space="preserve">Đất ở nông thôn (130,4 m²), Đất trồng cây lâu năm (25 m²)</w:t>
            </w:r>
            <w:r>
              <w:rPr>
                <w:rFonts w:ascii="Times New Roman" w:hAnsi="Times New Roman" w:eastAsia="Times New Roman" w:cs="Times New Roman"/>
                <w:b w:val="0"/>
                <w:bCs w:val="0"/>
                <w:color w:val="000000"/>
                <w:sz w:val="22"/>
                <w:szCs w:val="22"/>
                <w:highlight w:val="none"/>
              </w:rPr>
            </w:r>
            <w:r>
              <w:rPr>
                <w:rFonts w:ascii="Times New Roman" w:hAnsi="Times New Roman" w:eastAsia="Times New Roman" w:cs="Times New Roman"/>
                <w:b w:val="0"/>
                <w:bCs w:val="0"/>
                <w:color w:val="000000"/>
                <w:sz w:val="22"/>
                <w:szCs w:val="22"/>
                <w:highlight w:val="none"/>
              </w:rPr>
            </w:r>
          </w:p>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b w:val="0"/>
                <w:bCs w:val="0"/>
              </w:rPr>
            </w:pPr>
            <w:r>
              <w:rPr>
                <w:rFonts w:ascii="Times New Roman" w:hAnsi="Times New Roman" w:eastAsia="Times New Roman" w:cs="Times New Roman"/>
                <w:b w:val="0"/>
                <w:bCs w:val="0"/>
                <w:color w:val="000000"/>
                <w:sz w:val="22"/>
                <w:highlight w:val="none"/>
              </w:rPr>
              <w:t xml:space="preserve">(84%)</w:t>
            </w:r>
            <w:r>
              <w:rPr>
                <w:b w:val="0"/>
                <w:bCs w:val="0"/>
              </w:rPr>
            </w:r>
            <w:r>
              <w:rPr>
                <w:b w:val="0"/>
                <w:bCs w:val="0"/>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rFonts w:ascii="Times New Roman" w:hAnsi="Times New Roman" w:eastAsia="Times New Roman" w:cs="Times New Roman"/>
                <w:b w:val="0"/>
                <w:bCs w:val="0"/>
                <w:color w:val="000000"/>
                <w:sz w:val="22"/>
                <w:szCs w:val="22"/>
                <w:highlight w:val="none"/>
              </w:rPr>
            </w:pPr>
            <w:r>
              <w:rPr>
                <w:rFonts w:ascii="Times New Roman" w:hAnsi="Times New Roman" w:eastAsia="Times New Roman" w:cs="Times New Roman"/>
                <w:b w:val="0"/>
                <w:bCs w:val="0"/>
                <w:color w:val="000000"/>
                <w:sz w:val="22"/>
              </w:rPr>
              <w:t xml:space="preserve">Đất trồng cây lâu năm (65 m²), Đất ở nông thôn (60 m²)</w:t>
            </w:r>
            <w:r>
              <w:rPr>
                <w:rFonts w:ascii="Times New Roman" w:hAnsi="Times New Roman" w:eastAsia="Times New Roman" w:cs="Times New Roman"/>
                <w:b w:val="0"/>
                <w:bCs w:val="0"/>
                <w:color w:val="000000"/>
                <w:sz w:val="22"/>
                <w:szCs w:val="22"/>
                <w:highlight w:val="none"/>
              </w:rPr>
            </w:r>
            <w:r>
              <w:rPr>
                <w:rFonts w:ascii="Times New Roman" w:hAnsi="Times New Roman" w:eastAsia="Times New Roman" w:cs="Times New Roman"/>
                <w:b w:val="0"/>
                <w:bCs w:val="0"/>
                <w:color w:val="000000"/>
                <w:sz w:val="22"/>
                <w:szCs w:val="22"/>
                <w:highlight w:val="none"/>
              </w:rPr>
            </w:r>
          </w:p>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b w:val="0"/>
                <w:bCs w:val="0"/>
              </w:rPr>
            </w:pPr>
            <w:r>
              <w:rPr>
                <w:rFonts w:ascii="Times New Roman" w:hAnsi="Times New Roman" w:eastAsia="Times New Roman" w:cs="Times New Roman"/>
                <w:b w:val="0"/>
                <w:bCs w:val="0"/>
                <w:color w:val="000000"/>
                <w:sz w:val="22"/>
                <w:highlight w:val="none"/>
              </w:rPr>
              <w:t xml:space="preserve">(52%)</w:t>
            </w:r>
            <w:r>
              <w:rPr>
                <w:b w:val="0"/>
                <w:bCs w:val="0"/>
              </w:rPr>
            </w:r>
            <w:r>
              <w:rPr>
                <w:b w:val="0"/>
                <w:bCs w:val="0"/>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rFonts w:ascii="Times New Roman" w:hAnsi="Times New Roman" w:eastAsia="Times New Roman" w:cs="Times New Roman"/>
                <w:b w:val="0"/>
                <w:bCs w:val="0"/>
                <w:color w:val="000000"/>
                <w:sz w:val="22"/>
                <w:szCs w:val="22"/>
                <w:highlight w:val="none"/>
              </w:rPr>
            </w:pPr>
            <w:r>
              <w:rPr>
                <w:rFonts w:ascii="Times New Roman" w:hAnsi="Times New Roman" w:eastAsia="Times New Roman" w:cs="Times New Roman"/>
                <w:b w:val="0"/>
                <w:bCs w:val="0"/>
                <w:color w:val="000000"/>
                <w:sz w:val="22"/>
              </w:rPr>
              <w:t xml:space="preserve">Đất trồng cây lâu năm (71,9 m²), Đất ở nông thôn (90 m²)</w:t>
            </w:r>
            <w:r>
              <w:rPr>
                <w:rFonts w:ascii="Times New Roman" w:hAnsi="Times New Roman" w:eastAsia="Times New Roman" w:cs="Times New Roman"/>
                <w:b w:val="0"/>
                <w:bCs w:val="0"/>
                <w:color w:val="000000"/>
                <w:sz w:val="22"/>
                <w:szCs w:val="22"/>
                <w:highlight w:val="none"/>
              </w:rPr>
            </w:r>
            <w:r>
              <w:rPr>
                <w:rFonts w:ascii="Times New Roman" w:hAnsi="Times New Roman" w:eastAsia="Times New Roman" w:cs="Times New Roman"/>
                <w:b w:val="0"/>
                <w:bCs w:val="0"/>
                <w:color w:val="000000"/>
                <w:sz w:val="22"/>
                <w:szCs w:val="22"/>
                <w:highlight w:val="none"/>
              </w:rPr>
            </w:r>
          </w:p>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b w:val="0"/>
                <w:bCs w:val="0"/>
              </w:rPr>
            </w:pPr>
            <w:r>
              <w:rPr>
                <w:rFonts w:ascii="Times New Roman" w:hAnsi="Times New Roman" w:eastAsia="Times New Roman" w:cs="Times New Roman"/>
                <w:b w:val="0"/>
                <w:bCs w:val="0"/>
                <w:color w:val="000000"/>
                <w:sz w:val="22"/>
                <w:highlight w:val="none"/>
              </w:rPr>
              <w:t xml:space="preserve">(44%)</w:t>
            </w:r>
            <w:r>
              <w:rPr>
                <w:b w:val="0"/>
                <w:bCs w:val="0"/>
              </w:rPr>
            </w:r>
            <w:r>
              <w:rPr>
                <w:b w:val="0"/>
                <w:bCs w:val="0"/>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rFonts w:ascii="Times New Roman" w:hAnsi="Times New Roman" w:eastAsia="Times New Roman" w:cs="Times New Roman"/>
                <w:b w:val="0"/>
                <w:bCs w:val="0"/>
                <w:color w:val="000000"/>
                <w:sz w:val="22"/>
                <w:szCs w:val="22"/>
                <w:highlight w:val="none"/>
              </w:rPr>
            </w:pPr>
            <w:r>
              <w:rPr>
                <w:rFonts w:ascii="Times New Roman" w:hAnsi="Times New Roman" w:eastAsia="Times New Roman" w:cs="Times New Roman"/>
                <w:b w:val="0"/>
                <w:bCs w:val="0"/>
                <w:color w:val="000000"/>
                <w:sz w:val="22"/>
              </w:rPr>
              <w:t xml:space="preserve">Đất ở nông thôn (60 m²), Đất trồng cây lâu năm (63,9 m²)</w:t>
            </w:r>
            <w:r>
              <w:rPr>
                <w:rFonts w:ascii="Times New Roman" w:hAnsi="Times New Roman" w:eastAsia="Times New Roman" w:cs="Times New Roman"/>
                <w:b w:val="0"/>
                <w:bCs w:val="0"/>
                <w:color w:val="000000"/>
                <w:sz w:val="22"/>
                <w:szCs w:val="22"/>
                <w:highlight w:val="none"/>
              </w:rPr>
            </w:r>
            <w:r>
              <w:rPr>
                <w:rFonts w:ascii="Times New Roman" w:hAnsi="Times New Roman" w:eastAsia="Times New Roman" w:cs="Times New Roman"/>
                <w:b w:val="0"/>
                <w:bCs w:val="0"/>
                <w:color w:val="000000"/>
                <w:sz w:val="22"/>
                <w:szCs w:val="22"/>
                <w:highlight w:val="none"/>
              </w:rPr>
            </w:r>
          </w:p>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b w:val="0"/>
                <w:bCs w:val="0"/>
              </w:rPr>
            </w:pPr>
            <w:r>
              <w:rPr>
                <w:rFonts w:ascii="Times New Roman" w:hAnsi="Times New Roman" w:eastAsia="Times New Roman" w:cs="Times New Roman"/>
                <w:b w:val="0"/>
                <w:bCs w:val="0"/>
                <w:color w:val="000000"/>
                <w:sz w:val="22"/>
                <w:highlight w:val="none"/>
              </w:rPr>
              <w:t xml:space="preserve">(48%)</w:t>
            </w:r>
            <w:r>
              <w:rPr>
                <w:b w:val="0"/>
                <w:bCs w:val="0"/>
              </w:rPr>
            </w:r>
            <w:r>
              <w:rPr>
                <w:b w:val="0"/>
                <w:bCs w:val="0"/>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Đất ở nông thôn – Lâu dài, Đất trồng cây lâu năm – Có thời hạn (đến 15/10/2043, 17 năm)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Đất trồng cây lâu năm – Có thời hạn (đến 14/10/2043, 17 năm), Đất ở nông thôn – Lâu dài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Đất trồng cây lâu năm – Có thời hạn (đến 14/10/2043, 17 năm), Đất ở nông thôn – Lâu dài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Đất ở nông thôn – Lâu dài, Đất trồng cây lâu năm – Có thời hạn (đến 14/10/2043, 17 năm)</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Tài sản tại: Xã Đoài Phương, Thành phố Hà Nội, Tài sản tiếp giáp đường Cổ Đông, cách đường QL21 khoảng 870m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Tài sản tại: Xã Đoài Phương, Thành phố Hà Nội, tài sản tiếp giáp đường Cổ Đông, cách đường QL21 khoảng 600m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Tài sản tại: Xã Đoài Phương, Thành phố Hà Nội, tiếp giáp đường Cổ Đông, cách  đường chính cách đường QL21 khoảng 1,5km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Tài sản tại: Thôn Trại Láng, xã Đoài Phương, Thành phố Hà Nội, đường Tài sản tiếp giáp với đường Cổ Đông, cách đường QL21A khoảng 2,45km</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Giao thông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Đường nhựa không có vỉa hè</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Đường nhựa không có vỉa hè</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Đường nhựa không có vỉa hè</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Đường nhựa không có vỉa hè</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11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7</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12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Cơ sở hạ tầng kỹ thuật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Hạ tầng khu dân cư thông thường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13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155,4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125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161,9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123,9</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14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15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Tiếp giáp 1 mặt đường, phố + 1 mặt ngõ</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16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Hình chữ nhật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Hình chữ nhật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Tương đối vuông vức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17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18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Tài sản trên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Đất trống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Đất trống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19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Giá rao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3.750.000.000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5.022.000.000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4.336.500.000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3.375.000.000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4.519.800.000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3.686.025.000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b/>
                <w:color w:val="000000"/>
                <w:sz w:val="22"/>
              </w:rPr>
              <w:t xml:space="preserve">Chi tiết tính toán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spacing w:after="0" w:before="51" w:beforeAutospacing="0" w:line="276"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b/>
                <w:color w:val="000000"/>
                <w:sz w:val="22"/>
              </w:rPr>
              <w:t xml:space="preserve">Giá trị đất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3.375.000.000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4.519.800.000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3.686.025.000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b/>
                <w:color w:val="000000"/>
                <w:sz w:val="22"/>
              </w:rPr>
              <w:t xml:space="preserve">Đơn giá QSDĐ (đồng/m²)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27.000.000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27.917.233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29.750.000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b/>
                <w:color w:val="000000"/>
                <w:sz w:val="22"/>
              </w:rPr>
              <w:t xml:space="preserve">NHẬN XÉT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spacing w:after="0" w:before="51" w:beforeAutospacing="0" w:line="276"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Tính chất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Giao thông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Cơ sở hạ tầng kỹ thuật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Lợi thế hơn</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11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12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13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spacing w:after="0" w:before="51" w:beforeAutospacing="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hướng nhìn, hình dáng, nội thất, hạ tầng kỹ thuật và hạ tầng xã hội… làm ảnh hưởng đến giá trị của thửa đất. Mỗi yếu tố đóng góp một tỷ lệ nhất định vào giá trị của thửa đất. Vì vậy, dựa trên ba tài sản so sánh</w:t>
      </w:r>
      <w:r>
        <w:rPr>
          <w:rFonts w:ascii="Times New Roman" w:hAnsi="Times New Roman" w:eastAsia="Times New Roman" w:cs="Times New Roman"/>
          <w:color w:val="000000"/>
          <w:sz w:val="24"/>
        </w:rPr>
        <w:t xml:space="preserve">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1035"/>
        <w:tblInd w:w="108" w:type="dxa"/>
        <w:tblW w:w="0" w:type="auto"/>
        <w:tblCellMar>
          <w:left w:w="57" w:type="dxa"/>
          <w:top w:w="0" w:type="dxa"/>
          <w:right w:w="57"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2062"/>
        <w:gridCol w:w="1041"/>
        <w:gridCol w:w="1404"/>
        <w:gridCol w:w="1481"/>
        <w:gridCol w:w="1481"/>
        <w:gridCol w:w="1481"/>
      </w:tblGrid>
      <w:tr>
        <w:trPr>
          <w:trHeight w:val="63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108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3.375.000.000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4.519.800.000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3.686.025.000</w:t>
            </w:r>
            <w:r/>
          </w:p>
        </w:tc>
      </w:tr>
      <w:tr>
        <w:trPr>
          <w:trHeight w:val="39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27.000.000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27.917.233</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29.750.000</w:t>
            </w:r>
            <w:r/>
          </w:p>
        </w:tc>
      </w:tr>
      <w:tr>
        <w:trPr>
          <w:trHeight w:val="525"/>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spacing w:after="0" w:before="57"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spacing w:after="0" w:before="57"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spacing w:after="0" w:before="57" w:beforeAutospacing="0" w:line="276" w:lineRule="auto"/>
              <w:ind/>
              <w:rPr/>
            </w:pPr>
            <w: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Tính chất giao dịch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27.000.000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27.917.233</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29.750.000</w:t>
            </w: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27.000.000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27.917.233</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29.750.000</w:t>
            </w:r>
            <w:r/>
          </w:p>
        </w:tc>
      </w:tr>
      <w:tr>
        <w:trPr>
          <w:trHeight w:val="135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2"/>
              </w:rPr>
              <w:t xml:space="preserve">ục đích sử dụn</w:t>
            </w:r>
            <w:r>
              <w:rPr>
                <w:rFonts w:ascii="Times New Roman" w:hAnsi="Times New Roman" w:eastAsia="Times New Roman" w:cs="Times New Roman"/>
                <w:b/>
                <w:color w:val="000000"/>
                <w:sz w:val="22"/>
              </w:rPr>
              <w:t xml:space="preserve">g (Tỷ lệ đất ở/tổng diện tích)</w:t>
            </w:r>
            <w:r/>
          </w:p>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rFonts w:ascii="Times New Roman" w:hAnsi="Times New Roman" w:eastAsia="Times New Roman" w:cs="Times New Roman"/>
                <w:b/>
                <w:bCs/>
                <w:color w:val="000000"/>
                <w:sz w:val="22"/>
                <w:szCs w:val="22"/>
                <w:highlight w:val="none"/>
              </w:rPr>
            </w:pPr>
            <w:r>
              <w:rPr>
                <w:rFonts w:ascii="Times New Roman" w:hAnsi="Times New Roman" w:eastAsia="Times New Roman" w:cs="Times New Roman"/>
                <w:b/>
                <w:color w:val="000000"/>
                <w:sz w:val="22"/>
              </w:rPr>
              <w:t xml:space="preserve">Đất ở nông thôn (130,4 m²), Đất trồng cây lâu năm (25 m²)</w:t>
            </w:r>
            <w:r/>
          </w:p>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highlight w:val="none"/>
              </w:rPr>
              <w:t xml:space="preserve">(84%)</w:t>
            </w:r>
            <w:r>
              <w:rPr>
                <w:rFonts w:ascii="Times New Roman" w:hAnsi="Times New Roman" w:eastAsia="Times New Roman" w:cs="Times New Roman"/>
                <w:b/>
                <w:color w:val="000000"/>
                <w:sz w:val="22"/>
                <w:highlight w:val="none"/>
              </w:rPr>
            </w:r>
            <w:r>
              <w:rPr>
                <w:rFonts w:ascii="Times New Roman" w:hAnsi="Times New Roman" w:eastAsia="Times New Roman" w:cs="Times New Roman"/>
                <w:b/>
                <w:color w:val="000000"/>
                <w:sz w:val="22"/>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rFonts w:ascii="Times New Roman" w:hAnsi="Times New Roman" w:eastAsia="Times New Roman" w:cs="Times New Roman"/>
                <w:b/>
                <w:bCs/>
                <w:color w:val="000000"/>
                <w:sz w:val="22"/>
                <w:szCs w:val="22"/>
                <w:highlight w:val="none"/>
              </w:rPr>
            </w:pPr>
            <w:r>
              <w:rPr>
                <w:rFonts w:ascii="Times New Roman" w:hAnsi="Times New Roman" w:eastAsia="Times New Roman" w:cs="Times New Roman"/>
                <w:b/>
                <w:color w:val="000000"/>
                <w:sz w:val="22"/>
              </w:rPr>
              <w:t xml:space="preserve">Đất trồng cây lâu năm (65 m²), Đất ở nông thôn (60 m²)</w:t>
            </w:r>
            <w:r/>
          </w:p>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highlight w:val="none"/>
              </w:rPr>
              <w:t xml:space="preserve">(52%)</w:t>
            </w:r>
            <w:r>
              <w:rPr>
                <w:rFonts w:ascii="Times New Roman" w:hAnsi="Times New Roman" w:eastAsia="Times New Roman" w:cs="Times New Roman"/>
                <w:b/>
                <w:color w:val="000000"/>
                <w:sz w:val="22"/>
                <w:highlight w:val="none"/>
              </w:rPr>
            </w:r>
            <w:r>
              <w:rPr>
                <w:rFonts w:ascii="Times New Roman" w:hAnsi="Times New Roman" w:eastAsia="Times New Roman" w:cs="Times New Roman"/>
                <w:b/>
                <w:color w:val="000000"/>
                <w:sz w:val="22"/>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rFonts w:ascii="Times New Roman" w:hAnsi="Times New Roman" w:eastAsia="Times New Roman" w:cs="Times New Roman"/>
                <w:b/>
                <w:bCs/>
                <w:color w:val="000000"/>
                <w:sz w:val="22"/>
                <w:szCs w:val="22"/>
                <w:highlight w:val="none"/>
              </w:rPr>
            </w:pPr>
            <w:r>
              <w:rPr>
                <w:rFonts w:ascii="Times New Roman" w:hAnsi="Times New Roman" w:eastAsia="Times New Roman" w:cs="Times New Roman"/>
                <w:b/>
                <w:color w:val="000000"/>
                <w:sz w:val="22"/>
              </w:rPr>
              <w:t xml:space="preserve">Đất trồng cây lâu năm (71,9 m²), Đất ở nông thôn (90 m²)</w:t>
            </w:r>
            <w:r/>
          </w:p>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highlight w:val="none"/>
              </w:rPr>
              <w:t xml:space="preserve">(44%)</w:t>
            </w:r>
            <w:r>
              <w:rPr>
                <w:rFonts w:ascii="Times New Roman" w:hAnsi="Times New Roman" w:eastAsia="Times New Roman" w:cs="Times New Roman"/>
                <w:b/>
                <w:color w:val="000000"/>
                <w:sz w:val="22"/>
                <w:highlight w:val="none"/>
              </w:rPr>
            </w:r>
            <w:r>
              <w:rPr>
                <w:rFonts w:ascii="Times New Roman" w:hAnsi="Times New Roman" w:eastAsia="Times New Roman" w:cs="Times New Roman"/>
                <w:b/>
                <w:color w:val="000000"/>
                <w:sz w:val="22"/>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rFonts w:ascii="Times New Roman" w:hAnsi="Times New Roman" w:eastAsia="Times New Roman" w:cs="Times New Roman"/>
                <w:b/>
                <w:bCs/>
                <w:color w:val="000000"/>
                <w:sz w:val="22"/>
                <w:szCs w:val="22"/>
                <w:highlight w:val="none"/>
              </w:rPr>
            </w:pPr>
            <w:r>
              <w:rPr>
                <w:rFonts w:ascii="Times New Roman" w:hAnsi="Times New Roman" w:eastAsia="Times New Roman" w:cs="Times New Roman"/>
                <w:b/>
                <w:color w:val="000000"/>
                <w:sz w:val="22"/>
              </w:rPr>
              <w:t xml:space="preserve">Đất ở nông thôn (60 m²), Đất trồng cây lâu năm (63,9 m²)</w:t>
            </w:r>
            <w:r/>
          </w:p>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highlight w:val="none"/>
              </w:rPr>
              <w:t xml:space="preserve">(48%)</w:t>
            </w:r>
            <w:r>
              <w:rPr>
                <w:rFonts w:ascii="Times New Roman" w:hAnsi="Times New Roman" w:eastAsia="Times New Roman" w:cs="Times New Roman"/>
                <w:b/>
                <w:color w:val="000000"/>
                <w:sz w:val="22"/>
                <w:highlight w:val="none"/>
              </w:rPr>
            </w:r>
            <w:r>
              <w:rPr>
                <w:rFonts w:ascii="Times New Roman" w:hAnsi="Times New Roman" w:eastAsia="Times New Roman" w:cs="Times New Roman"/>
                <w:b/>
                <w:color w:val="000000"/>
                <w:sz w:val="22"/>
                <w:highlight w:val="none"/>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5,00%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1.350.000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1.395.862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1.487.500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28.350.000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29.313.095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31.237.500</w:t>
            </w:r>
            <w:r/>
          </w:p>
        </w:tc>
      </w:tr>
      <w:tr>
        <w:trPr>
          <w:trHeight w:val="189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Đất ở nông thôn – Lâu dài, Đất trồng cây lâu năm – Có thời hạn (đến 15/10/2043, 17 năm)</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Đất trồng cây lâu năm – Có thời hạn (đến 14/10/2043, 17 năm), Đất ở nông thôn – Lâu dài</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Đất trồng cây lâu năm – Có thời hạn (đến 14/10/2043, 17 năm), Đất ở nông thôn – Lâu dài</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Đất ở nông thôn – Lâu dài, Đất trồng cây lâu năm – Có thời hạn (đến 14/10/2043, 17 năm)</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28.350.000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29.313.095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31.237.500</w:t>
            </w:r>
            <w:r/>
          </w:p>
        </w:tc>
      </w:tr>
      <w:tr>
        <w:trPr>
          <w:trHeight w:val="425"/>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Tài sản tại: Xã Đoài Phương, Thành phố Hà Nội, Tài sản tiếp giáp đường Cổ Đông, cách đường QL21 khoảng 870m</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Tài sản tại: Xã Đoài Phương, Thành phố Hà Nội, tài sản tiếp giáp đường Cổ Đông, cách đường QL21 khoảng 600m</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Tài sản tại: Xã Đoài Phương, Thành phố Hà Nội, tiếp giáp đường Cổ Đông, cách  đường chính cách đường QL21 khoảng 1,5km</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Tài sản tại: Thôn Trại Láng, xã Đoài Phương, Thành phố Hà Nội, đường Tài sản tiếp giáp với đường Cổ Đông, cách đường QL21A khoảng 2,45km</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28.350.000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29.313.095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31.237.500</w:t>
            </w: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Đường nhựa không có vỉa hè</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Đường nhựa không có vỉa hè</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Đường nhựa không có vỉa hè</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Đường nhựa không có vỉa hè</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28.350.000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29.313.095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31.237.500</w:t>
            </w:r>
            <w:r/>
          </w:p>
        </w:tc>
      </w:tr>
      <w:tr>
        <w:trPr>
          <w:trHeight w:val="823"/>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7</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7</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7</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7</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28.350.000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29.313.095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31.237.500</w:t>
            </w: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Cơ sở hạ tầng kỹ thuật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Hạ tầng khu dân cư thông thường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Hạ tầng khu dân cư thông thường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Hạ tầng khu dân cư thông thường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Hạ tầng khu dân cư thông thường</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28.350.000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29.313.095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31.237.500</w:t>
            </w: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155,4</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125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161,9</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123,9</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-5,00%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-1.350.000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-1.487.500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27.000.000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29.313.095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29.750.000</w:t>
            </w: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6</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4</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3,00%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540.000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558.345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892.500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27.540.000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29.871.439</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30.642.500</w:t>
            </w: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57" w:beforeAutospacing="0" w:line="276" w:lineRule="auto"/>
              <w:ind w:right="0" w:firstLine="0" w:left="0"/>
              <w:jc w:val="center"/>
              <w:rPr>
                <w:highlight w:val="none"/>
              </w:rPr>
            </w:pPr>
            <w:r>
              <w:rPr>
                <w:rFonts w:ascii="Times New Roman" w:hAnsi="Times New Roman" w:eastAsia="Times New Roman" w:cs="Times New Roman"/>
                <w:color w:val="000000"/>
                <w:sz w:val="22"/>
                <w:highlight w:val="none"/>
              </w:rPr>
              <w:t xml:space="preserve">C11</w:t>
            </w:r>
            <w:r>
              <w:rPr>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57" w:beforeAutospacing="0" w:line="276" w:lineRule="auto"/>
              <w:ind w:right="0" w:firstLine="0" w:left="0"/>
              <w:rPr>
                <w:highlight w:val="none"/>
              </w:rPr>
            </w:pPr>
            <w:r>
              <w:rPr>
                <w:rFonts w:ascii="Times New Roman" w:hAnsi="Times New Roman" w:eastAsia="Times New Roman" w:cs="Times New Roman"/>
                <w:b/>
                <w:color w:val="000000"/>
                <w:sz w:val="22"/>
                <w:highlight w:val="none"/>
              </w:rPr>
              <w:t xml:space="preserve">Số lượng mặt tiếp giáp</w:t>
            </w:r>
            <w:r>
              <w:rPr>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Tiếp giáp 1 mặt đường, phố + 1 mặt ngõ</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Tiếp giáp 1 mặt tiền</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57" w:beforeAutospacing="0" w:line="276" w:lineRule="auto"/>
              <w:ind w:right="0" w:firstLine="0" w:left="0"/>
              <w:rPr>
                <w:highlight w:val="none"/>
              </w:rPr>
            </w:pPr>
            <w:r>
              <w:rPr>
                <w:rFonts w:ascii="Times New Roman" w:hAnsi="Times New Roman" w:eastAsia="Times New Roman" w:cs="Times New Roman"/>
                <w:color w:val="000000"/>
                <w:sz w:val="22"/>
                <w:highlight w:val="none"/>
              </w:rPr>
              <w:t xml:space="preserve">Tỷ lệ điều chỉnh</w:t>
            </w:r>
            <w:r>
              <w:rPr>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5,00%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57" w:beforeAutospacing="0" w:line="276" w:lineRule="auto"/>
              <w:ind w:right="0" w:firstLine="0" w:left="0"/>
              <w:rPr>
                <w:highlight w:val="none"/>
              </w:rPr>
            </w:pPr>
            <w:r>
              <w:rPr>
                <w:rFonts w:ascii="Times New Roman" w:hAnsi="Times New Roman" w:eastAsia="Times New Roman" w:cs="Times New Roman"/>
                <w:color w:val="000000"/>
                <w:sz w:val="22"/>
                <w:highlight w:val="none"/>
              </w:rPr>
              <w:t xml:space="preserve">Mức điều chỉnh</w:t>
            </w:r>
            <w:r>
              <w:rPr>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1.350.000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1.395.862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1.487.500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57" w:beforeAutospacing="0" w:line="276" w:lineRule="auto"/>
              <w:ind w:right="0" w:firstLine="0" w:left="0"/>
              <w:rPr>
                <w:highlight w:val="none"/>
              </w:rPr>
            </w:pPr>
            <w:r>
              <w:rPr>
                <w:rFonts w:ascii="Times New Roman" w:hAnsi="Times New Roman" w:eastAsia="Times New Roman" w:cs="Times New Roman"/>
                <w:color w:val="000000"/>
                <w:sz w:val="22"/>
                <w:highlight w:val="none"/>
              </w:rPr>
              <w:t xml:space="preserve">Giá sau điều chỉnh</w:t>
            </w:r>
            <w:r>
              <w:rPr>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28.890.000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31.267.301</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32.130.000</w:t>
            </w: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57" w:beforeAutospacing="0" w:line="276" w:lineRule="auto"/>
              <w:ind w:right="0" w:firstLine="0" w:left="0"/>
              <w:jc w:val="center"/>
              <w:rPr>
                <w:highlight w:val="none"/>
              </w:rPr>
            </w:pPr>
            <w:r>
              <w:rPr>
                <w:rFonts w:ascii="Times New Roman" w:hAnsi="Times New Roman" w:eastAsia="Times New Roman" w:cs="Times New Roman"/>
                <w:color w:val="000000"/>
                <w:sz w:val="22"/>
                <w:highlight w:val="none"/>
              </w:rPr>
              <w:t xml:space="preserve">C12</w:t>
            </w:r>
            <w:r>
              <w:rPr>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57" w:beforeAutospacing="0" w:line="276" w:lineRule="auto"/>
              <w:ind w:right="0" w:firstLine="0" w:left="0"/>
              <w:rPr>
                <w:highlight w:val="none"/>
              </w:rPr>
            </w:pPr>
            <w:r>
              <w:rPr>
                <w:rFonts w:ascii="Times New Roman" w:hAnsi="Times New Roman" w:eastAsia="Times New Roman" w:cs="Times New Roman"/>
                <w:b/>
                <w:color w:val="000000"/>
                <w:sz w:val="22"/>
                <w:highlight w:val="none"/>
              </w:rPr>
              <w:t xml:space="preserve">Hình dáng thửa đất</w:t>
            </w:r>
            <w:r>
              <w:rPr>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Hình chữ nhật</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57" w:beforeAutospacing="0" w:line="276" w:lineRule="auto"/>
              <w:ind w:right="0" w:firstLine="0" w:left="0"/>
              <w:rPr>
                <w:highlight w:val="none"/>
              </w:rPr>
            </w:pPr>
            <w:r>
              <w:rPr>
                <w:rFonts w:ascii="Times New Roman" w:hAnsi="Times New Roman" w:eastAsia="Times New Roman" w:cs="Times New Roman"/>
                <w:color w:val="000000"/>
                <w:sz w:val="22"/>
                <w:highlight w:val="none"/>
              </w:rPr>
              <w:t xml:space="preserve">Tỷ lệ điều chỉnh</w:t>
            </w:r>
            <w:r>
              <w:rPr>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57" w:beforeAutospacing="0" w:line="276" w:lineRule="auto"/>
              <w:ind w:right="0" w:firstLine="0" w:left="0"/>
              <w:rPr>
                <w:highlight w:val="none"/>
              </w:rPr>
            </w:pPr>
            <w:r>
              <w:rPr>
                <w:rFonts w:ascii="Times New Roman" w:hAnsi="Times New Roman" w:eastAsia="Times New Roman" w:cs="Times New Roman"/>
                <w:color w:val="000000"/>
                <w:sz w:val="22"/>
                <w:highlight w:val="none"/>
              </w:rPr>
              <w:t xml:space="preserve">Mức điều chỉnh</w:t>
            </w:r>
            <w:r>
              <w:rPr>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837.517</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57" w:beforeAutospacing="0" w:line="276" w:lineRule="auto"/>
              <w:ind w:right="0" w:firstLine="0" w:left="0"/>
              <w:rPr>
                <w:highlight w:val="none"/>
              </w:rPr>
            </w:pPr>
            <w:r>
              <w:rPr>
                <w:rFonts w:ascii="Times New Roman" w:hAnsi="Times New Roman" w:eastAsia="Times New Roman" w:cs="Times New Roman"/>
                <w:color w:val="000000"/>
                <w:sz w:val="22"/>
                <w:highlight w:val="none"/>
              </w:rPr>
              <w:t xml:space="preserve">Giá sau điều chỉnh</w:t>
            </w:r>
            <w:r>
              <w:rPr>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28.890.000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32.104.818</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32.130.000</w:t>
            </w: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57" w:beforeAutospacing="0" w:line="276" w:lineRule="auto"/>
              <w:ind w:right="0" w:firstLine="0" w:left="0"/>
              <w:jc w:val="center"/>
              <w:rPr>
                <w:highlight w:val="none"/>
              </w:rPr>
            </w:pPr>
            <w:r>
              <w:rPr>
                <w:rFonts w:ascii="Times New Roman" w:hAnsi="Times New Roman" w:eastAsia="Times New Roman" w:cs="Times New Roman"/>
                <w:color w:val="000000"/>
                <w:sz w:val="22"/>
                <w:highlight w:val="none"/>
              </w:rPr>
              <w:t xml:space="preserve">C1</w:t>
            </w:r>
            <w:r>
              <w:rPr>
                <w:rFonts w:ascii="Times New Roman" w:hAnsi="Times New Roman" w:eastAsia="Times New Roman" w:cs="Times New Roman"/>
                <w:color w:val="000000"/>
                <w:sz w:val="22"/>
                <w:highlight w:val="none"/>
              </w:rPr>
              <w:t xml:space="preserve">3</w:t>
            </w:r>
            <w:r>
              <w:rPr>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57" w:beforeAutospacing="0" w:line="276" w:lineRule="auto"/>
              <w:ind w:right="0" w:firstLine="0" w:left="0"/>
              <w:rPr>
                <w:highlight w:val="none"/>
              </w:rPr>
            </w:pPr>
            <w:r>
              <w:rPr>
                <w:rFonts w:ascii="Times New Roman" w:hAnsi="Times New Roman" w:eastAsia="Times New Roman" w:cs="Times New Roman"/>
                <w:b/>
                <w:color w:val="000000"/>
                <w:sz w:val="22"/>
                <w:highlight w:val="none"/>
              </w:rPr>
              <w:t xml:space="preserve">Lợi thế kinh doanh</w:t>
            </w:r>
            <w:r>
              <w:rPr>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Tốt</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57" w:beforeAutospacing="0" w:line="276" w:lineRule="auto"/>
              <w:ind w:right="0" w:firstLine="0" w:left="0"/>
              <w:rPr>
                <w:highlight w:val="none"/>
              </w:rPr>
            </w:pPr>
            <w:r>
              <w:rPr>
                <w:rFonts w:ascii="Times New Roman" w:hAnsi="Times New Roman" w:eastAsia="Times New Roman" w:cs="Times New Roman"/>
                <w:color w:val="000000"/>
                <w:sz w:val="22"/>
                <w:highlight w:val="none"/>
              </w:rPr>
              <w:t xml:space="preserve">Tỷ lệ điều chỉnh</w:t>
            </w:r>
            <w:r>
              <w:rPr>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57" w:beforeAutospacing="0" w:line="276" w:lineRule="auto"/>
              <w:ind w:right="0" w:firstLine="0" w:left="0"/>
              <w:rPr>
                <w:highlight w:val="none"/>
              </w:rPr>
            </w:pPr>
            <w:r>
              <w:rPr>
                <w:rFonts w:ascii="Times New Roman" w:hAnsi="Times New Roman" w:eastAsia="Times New Roman" w:cs="Times New Roman"/>
                <w:color w:val="000000"/>
                <w:sz w:val="22"/>
                <w:highlight w:val="none"/>
              </w:rPr>
              <w:t xml:space="preserve">Mức điều chỉnh</w:t>
            </w:r>
            <w:r>
              <w:rPr>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28.890.000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32.104.818</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32.130.000</w:t>
            </w:r>
            <w:r/>
          </w:p>
        </w:tc>
      </w:tr>
      <w:tr>
        <w:trPr>
          <w:trHeight w:val="27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28.890.000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32.104.818</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32.130.000</w:t>
            </w: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44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31.041.606</w:t>
            </w:r>
            <w:r/>
          </w:p>
        </w:tc>
      </w:tr>
      <w:tr>
        <w:trPr>
          <w:trHeight w:val="30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-6,93%</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3,43%</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3,51%</w:t>
            </w: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color w:val="auto"/>
              </w:rPr>
            </w:pPr>
            <w:r>
              <w:rPr>
                <w:rFonts w:ascii="Times New Roman" w:hAnsi="Times New Roman" w:eastAsia="Times New Roman" w:cs="Times New Roman"/>
                <w:b/>
                <w:color w:val="auto"/>
                <w:sz w:val="22"/>
              </w:rPr>
              <w:t xml:space="preserve">E</w:t>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color w:val="auto"/>
              </w:rPr>
            </w:pPr>
            <w:r>
              <w:rPr>
                <w:rFonts w:ascii="Times New Roman" w:hAnsi="Times New Roman" w:eastAsia="Times New Roman" w:cs="Times New Roman"/>
                <w:b/>
                <w:color w:val="auto"/>
                <w:sz w:val="22"/>
              </w:rPr>
              <w:t xml:space="preserve">Tổng hợp các số liệu điều chỉnh tại mục C</w:t>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color w:val="auto"/>
              </w:rPr>
            </w:pPr>
            <w:r>
              <w:rPr>
                <w:rFonts w:ascii="Times New Roman" w:hAnsi="Times New Roman" w:eastAsia="Times New Roman" w:cs="Times New Roman"/>
                <w:b/>
                <w:color w:val="auto"/>
                <w:sz w:val="22"/>
              </w:rPr>
              <w:t xml:space="preserve"> </w:t>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color w:val="auto"/>
              </w:rPr>
            </w:pPr>
            <w:r>
              <w:rPr>
                <w:rFonts w:ascii="Times New Roman" w:hAnsi="Times New Roman" w:eastAsia="Times New Roman" w:cs="Times New Roman"/>
                <w:b/>
                <w:color w:val="auto"/>
                <w:sz w:val="22"/>
              </w:rPr>
              <w:t xml:space="preserve"> </w:t>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spacing w:after="0" w:before="57" w:beforeAutospacing="0" w:line="276" w:lineRule="auto"/>
              <w:ind/>
              <w:rPr>
                <w:color w:val="auto"/>
              </w:rPr>
            </w:pPr>
            <w:r>
              <w:rPr>
                <w:color w:val="auto"/>
              </w:rPr>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spacing w:after="0" w:before="57" w:beforeAutospacing="0" w:line="276" w:lineRule="auto"/>
              <w:ind/>
              <w:rPr>
                <w:color w:val="auto"/>
              </w:rPr>
            </w:pPr>
            <w:r>
              <w:rPr>
                <w:color w:val="auto"/>
              </w:rPr>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spacing w:after="0" w:before="57" w:beforeAutospacing="0" w:line="276" w:lineRule="auto"/>
              <w:ind/>
              <w:rPr>
                <w:color w:val="auto"/>
              </w:rPr>
            </w:pPr>
            <w:r>
              <w:rPr>
                <w:color w:val="auto"/>
              </w:rPr>
            </w:r>
            <w:r>
              <w:rPr>
                <w:color w:val="auto"/>
              </w:rPr>
            </w:r>
            <w:r>
              <w:rPr>
                <w:color w:val="auto"/>
              </w:rPr>
            </w:r>
          </w:p>
        </w:tc>
      </w:tr>
      <w:tr>
        <w:trPr>
          <w:trHeight w:val="555"/>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color w:val="auto"/>
              </w:rPr>
            </w:pPr>
            <w:r>
              <w:rPr>
                <w:rFonts w:ascii="Times New Roman" w:hAnsi="Times New Roman" w:eastAsia="Times New Roman" w:cs="Times New Roman"/>
                <w:color w:val="auto"/>
                <w:sz w:val="22"/>
              </w:rPr>
              <w:t xml:space="preserve">E1</w:t>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color w:val="auto"/>
              </w:rPr>
            </w:pPr>
            <w:r>
              <w:rPr>
                <w:rFonts w:ascii="Times New Roman" w:hAnsi="Times New Roman" w:eastAsia="Times New Roman" w:cs="Times New Roman"/>
                <w:color w:val="auto"/>
                <w:sz w:val="22"/>
              </w:rPr>
              <w:t xml:space="preserve">Tổng giá trị điều chỉnh gộp</w:t>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color w:val="auto"/>
              </w:rPr>
            </w:pPr>
            <w:r>
              <w:rPr>
                <w:rFonts w:ascii="Times New Roman" w:hAnsi="Times New Roman" w:eastAsia="Times New Roman" w:cs="Times New Roman"/>
                <w:color w:val="auto"/>
                <w:sz w:val="22"/>
              </w:rPr>
              <w:t xml:space="preserve">Đồng </w:t>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color w:val="auto"/>
              </w:rPr>
            </w:pPr>
            <w:r>
              <w:rPr>
                <w:rFonts w:ascii="Times New Roman" w:hAnsi="Times New Roman" w:eastAsia="Times New Roman" w:cs="Times New Roman"/>
                <w:b/>
                <w:color w:val="auto"/>
                <w:sz w:val="22"/>
              </w:rPr>
              <w:t xml:space="preserve">4.590.000</w:t>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color w:val="auto"/>
              </w:rPr>
            </w:pPr>
            <w:r>
              <w:rPr>
                <w:rFonts w:ascii="Times New Roman" w:hAnsi="Times New Roman" w:eastAsia="Times New Roman" w:cs="Times New Roman"/>
                <w:b/>
                <w:color w:val="auto"/>
                <w:sz w:val="22"/>
              </w:rPr>
              <w:t xml:space="preserve">4.187.585</w:t>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color w:val="auto"/>
              </w:rPr>
            </w:pPr>
            <w:r>
              <w:rPr>
                <w:rFonts w:ascii="Times New Roman" w:hAnsi="Times New Roman" w:eastAsia="Times New Roman" w:cs="Times New Roman"/>
                <w:b/>
                <w:color w:val="auto"/>
                <w:sz w:val="22"/>
              </w:rPr>
              <w:t xml:space="preserve">5.355.000</w:t>
            </w:r>
            <w:r>
              <w:rPr>
                <w:color w:val="auto"/>
              </w:rPr>
            </w:r>
            <w:r>
              <w:rPr>
                <w:color w:val="auto"/>
              </w:rPr>
            </w:r>
          </w:p>
        </w:tc>
      </w:tr>
      <w:tr>
        <w:trPr>
          <w:trHeight w:val="555"/>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color w:val="auto"/>
              </w:rPr>
            </w:pPr>
            <w:r>
              <w:rPr>
                <w:rFonts w:ascii="Times New Roman" w:hAnsi="Times New Roman" w:eastAsia="Times New Roman" w:cs="Times New Roman"/>
                <w:color w:val="auto"/>
                <w:sz w:val="22"/>
              </w:rPr>
              <w:t xml:space="preserve">E2</w:t>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color w:val="auto"/>
              </w:rPr>
            </w:pPr>
            <w:r>
              <w:rPr>
                <w:rFonts w:ascii="Times New Roman" w:hAnsi="Times New Roman" w:eastAsia="Times New Roman" w:cs="Times New Roman"/>
                <w:color w:val="auto"/>
                <w:sz w:val="22"/>
              </w:rPr>
              <w:t xml:space="preserve">Tổng số lần điều chỉnh</w:t>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color w:val="auto"/>
              </w:rPr>
            </w:pPr>
            <w:r>
              <w:rPr>
                <w:rFonts w:ascii="Times New Roman" w:hAnsi="Times New Roman" w:eastAsia="Times New Roman" w:cs="Times New Roman"/>
                <w:color w:val="auto"/>
                <w:sz w:val="22"/>
              </w:rPr>
              <w:t xml:space="preserve">Lần</w:t>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color w:val="auto"/>
              </w:rPr>
            </w:pPr>
            <w:r>
              <w:rPr>
                <w:rFonts w:ascii="Times New Roman" w:hAnsi="Times New Roman" w:eastAsia="Times New Roman" w:cs="Times New Roman"/>
                <w:color w:val="auto"/>
                <w:sz w:val="22"/>
              </w:rPr>
              <w:t xml:space="preserve">4</w:t>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color w:val="auto"/>
              </w:rPr>
            </w:pPr>
            <w:r>
              <w:rPr>
                <w:rFonts w:ascii="Times New Roman" w:hAnsi="Times New Roman" w:eastAsia="Times New Roman" w:cs="Times New Roman"/>
                <w:color w:val="auto"/>
                <w:sz w:val="22"/>
              </w:rPr>
              <w:t xml:space="preserve">4</w:t>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color w:val="auto"/>
              </w:rPr>
            </w:pPr>
            <w:r>
              <w:rPr>
                <w:rFonts w:ascii="Times New Roman" w:hAnsi="Times New Roman" w:eastAsia="Times New Roman" w:cs="Times New Roman"/>
                <w:color w:val="auto"/>
                <w:sz w:val="22"/>
              </w:rPr>
              <w:t xml:space="preserve">4</w:t>
            </w:r>
            <w:r>
              <w:rPr>
                <w:color w:val="auto"/>
              </w:rPr>
            </w:r>
            <w:r>
              <w:rPr>
                <w:color w:val="auto"/>
              </w:rPr>
            </w:r>
          </w:p>
        </w:tc>
      </w:tr>
      <w:tr>
        <w:trPr>
          <w:trHeight w:val="30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color w:val="auto"/>
              </w:rPr>
            </w:pPr>
            <w:r>
              <w:rPr>
                <w:rFonts w:ascii="Times New Roman" w:hAnsi="Times New Roman" w:eastAsia="Times New Roman" w:cs="Times New Roman"/>
                <w:color w:val="auto"/>
                <w:sz w:val="22"/>
              </w:rPr>
              <w:t xml:space="preserve">E3</w:t>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color w:val="auto"/>
              </w:rPr>
            </w:pPr>
            <w:r>
              <w:rPr>
                <w:rFonts w:ascii="Times New Roman" w:hAnsi="Times New Roman" w:eastAsia="Times New Roman" w:cs="Times New Roman"/>
                <w:color w:val="auto"/>
                <w:sz w:val="22"/>
              </w:rPr>
              <w:t xml:space="preserve">Biên độ điều chỉnh</w:t>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color w:val="auto"/>
              </w:rPr>
            </w:pPr>
            <w:r>
              <w:rPr>
                <w:rFonts w:ascii="Times New Roman" w:hAnsi="Times New Roman" w:eastAsia="Times New Roman" w:cs="Times New Roman"/>
                <w:color w:val="auto"/>
                <w:sz w:val="22"/>
              </w:rPr>
              <w:t xml:space="preserve">%</w:t>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color w:val="auto"/>
              </w:rPr>
            </w:pPr>
            <w:r>
              <w:rPr>
                <w:rFonts w:ascii="Times New Roman" w:hAnsi="Times New Roman" w:eastAsia="Times New Roman" w:cs="Times New Roman"/>
                <w:color w:val="auto"/>
                <w:sz w:val="24"/>
              </w:rPr>
              <w:t xml:space="preserve">2% - 5%</w:t>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color w:val="auto"/>
              </w:rPr>
            </w:pPr>
            <w:r>
              <w:rPr>
                <w:rFonts w:ascii="Times New Roman" w:hAnsi="Times New Roman" w:eastAsia="Times New Roman" w:cs="Times New Roman"/>
                <w:color w:val="auto"/>
                <w:sz w:val="24"/>
              </w:rPr>
              <w:t xml:space="preserve">2% - 5%</w:t>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color w:val="auto"/>
              </w:rPr>
            </w:pPr>
            <w:r>
              <w:rPr>
                <w:rFonts w:ascii="Times New Roman" w:hAnsi="Times New Roman" w:eastAsia="Times New Roman" w:cs="Times New Roman"/>
                <w:color w:val="auto"/>
                <w:sz w:val="24"/>
              </w:rPr>
              <w:t xml:space="preserve">3% - 5%</w:t>
            </w:r>
            <w:r>
              <w:rPr>
                <w:color w:val="auto"/>
              </w:rPr>
            </w:r>
            <w:r>
              <w:rPr>
                <w:color w:val="auto"/>
              </w:rPr>
            </w:r>
          </w:p>
        </w:tc>
      </w:tr>
      <w:tr>
        <w:trPr>
          <w:trHeight w:val="555"/>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color w:val="auto"/>
              </w:rPr>
            </w:pPr>
            <w:r>
              <w:rPr>
                <w:rFonts w:ascii="Times New Roman" w:hAnsi="Times New Roman" w:eastAsia="Times New Roman" w:cs="Times New Roman"/>
                <w:color w:val="auto"/>
                <w:sz w:val="22"/>
              </w:rPr>
              <w:t xml:space="preserve">E4</w:t>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color w:val="auto"/>
              </w:rPr>
            </w:pPr>
            <w:r>
              <w:rPr>
                <w:rFonts w:ascii="Times New Roman" w:hAnsi="Times New Roman" w:eastAsia="Times New Roman" w:cs="Times New Roman"/>
                <w:color w:val="auto"/>
                <w:sz w:val="22"/>
              </w:rPr>
              <w:t xml:space="preserve">Tổng giá trị điều chỉnh thuần </w:t>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color w:val="auto"/>
              </w:rPr>
            </w:pPr>
            <w:r>
              <w:rPr>
                <w:rFonts w:ascii="Times New Roman" w:hAnsi="Times New Roman" w:eastAsia="Times New Roman" w:cs="Times New Roman"/>
                <w:color w:val="auto"/>
                <w:sz w:val="22"/>
              </w:rPr>
              <w:t xml:space="preserve">Đồng </w:t>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color w:val="auto"/>
              </w:rPr>
            </w:pPr>
            <w:r>
              <w:rPr>
                <w:rFonts w:ascii="Times New Roman" w:hAnsi="Times New Roman" w:eastAsia="Times New Roman" w:cs="Times New Roman"/>
                <w:color w:val="auto"/>
                <w:sz w:val="22"/>
              </w:rPr>
              <w:t xml:space="preserve">1.890.000</w:t>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color w:val="auto"/>
              </w:rPr>
            </w:pPr>
            <w:r>
              <w:rPr>
                <w:rFonts w:ascii="Times New Roman" w:hAnsi="Times New Roman" w:eastAsia="Times New Roman" w:cs="Times New Roman"/>
                <w:color w:val="auto"/>
                <w:sz w:val="22"/>
              </w:rPr>
              <w:t xml:space="preserve">4.187.585</w:t>
            </w:r>
            <w:r>
              <w:rPr>
                <w:color w:val="auto"/>
              </w:rPr>
            </w:r>
            <w:r>
              <w:rPr>
                <w:color w:val="auto"/>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color w:val="auto"/>
              </w:rPr>
            </w:pPr>
            <w:r>
              <w:rPr>
                <w:rFonts w:ascii="Times New Roman" w:hAnsi="Times New Roman" w:eastAsia="Times New Roman" w:cs="Times New Roman"/>
                <w:color w:val="auto"/>
                <w:sz w:val="22"/>
              </w:rPr>
              <w:t xml:space="preserve">2.380.000</w:t>
            </w:r>
            <w:r>
              <w:rPr>
                <w:color w:val="auto"/>
              </w:rPr>
            </w:r>
            <w:r>
              <w:rPr>
                <w:color w:val="auto"/>
              </w:rP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rPr>
          <w:color w:val="auto"/>
        </w:rPr>
      </w:pPr>
      <w:r>
        <w:rPr>
          <w:rFonts w:ascii="Times New Roman" w:hAnsi="Times New Roman" w:eastAsia="Times New Roman" w:cs="Times New Roman"/>
          <w:b/>
          <w:color w:val="auto"/>
          <w:sz w:val="24"/>
        </w:rPr>
        <w:t xml:space="preserve"> </w:t>
      </w:r>
      <w:r>
        <w:rPr>
          <w:rFonts w:ascii="Times New Roman" w:hAnsi="Times New Roman" w:eastAsia="Times New Roman" w:cs="Times New Roman"/>
          <w:color w:val="auto"/>
          <w:sz w:val="24"/>
          <w:u w:val="single"/>
        </w:rPr>
        <w:t xml:space="preserve">Về nguyên tắc khống chế:</w:t>
      </w:r>
      <w:r>
        <w:rPr>
          <w:color w:val="auto"/>
        </w:rPr>
      </w:r>
      <w:r>
        <w:rPr>
          <w:color w:val="auto"/>
        </w:rPr>
      </w:r>
    </w:p>
    <w:p>
      <w:pPr>
        <w:pBdr>
          <w:top w:val="none" w:color="000000" w:sz="4" w:space="0"/>
          <w:left w:val="none" w:color="000000" w:sz="4" w:space="0"/>
          <w:bottom w:val="none" w:color="000000" w:sz="4" w:space="0"/>
          <w:right w:val="none" w:color="000000" w:sz="4" w:space="0"/>
        </w:pBdr>
        <w:spacing w:line="276" w:lineRule="auto"/>
        <w:ind w:right="0" w:firstLine="0" w:left="0"/>
        <w:jc w:val="both"/>
        <w:rPr>
          <w:color w:val="auto"/>
        </w:rPr>
      </w:pPr>
      <w:r>
        <w:rPr>
          <w:rFonts w:ascii="Times New Roman" w:hAnsi="Times New Roman" w:eastAsia="Times New Roman" w:cs="Times New Roman"/>
          <w:color w:val="auto"/>
          <w:sz w:val="24"/>
        </w:rPr>
        <w:t xml:space="preserve">Theo số liệu tại mục D2, chênh lệch giữa mức giá trung bình của các mức giá chỉ dẫn nằm trong khoảng từ -6,93% đến 3,51% đảm bảo không quá 15% (theo Thông tư số 32/2024/TT-BTC ngày 16/5/2024 của Bộ Tài Chính).</w:t>
      </w:r>
      <w:r>
        <w:rPr>
          <w:color w:val="auto"/>
        </w:rPr>
      </w:r>
      <w:r>
        <w:rPr>
          <w:color w:val="auto"/>
        </w:rPr>
      </w:r>
    </w:p>
    <w:p>
      <w:pPr>
        <w:pBdr>
          <w:top w:val="none" w:color="000000" w:sz="4" w:space="0"/>
          <w:left w:val="none" w:color="000000" w:sz="4" w:space="0"/>
          <w:bottom w:val="none" w:color="000000" w:sz="4" w:space="0"/>
          <w:right w:val="none" w:color="000000" w:sz="4" w:space="0"/>
        </w:pBdr>
        <w:spacing w:line="276" w:lineRule="auto"/>
        <w:ind w:right="0" w:firstLine="0" w:left="0"/>
        <w:rPr>
          <w:color w:val="auto"/>
        </w:rPr>
      </w:pPr>
      <w:r>
        <w:rPr>
          <w:rFonts w:ascii="Times New Roman" w:hAnsi="Times New Roman" w:eastAsia="Times New Roman" w:cs="Times New Roman"/>
          <w:color w:val="auto"/>
          <w:sz w:val="24"/>
          <w:u w:val="single"/>
        </w:rPr>
        <w:t xml:space="preserve">Về thống nhất mức giá chỉ dẫn:</w:t>
      </w:r>
      <w:r>
        <w:rPr>
          <w:color w:val="auto"/>
        </w:rPr>
      </w:r>
      <w:r>
        <w:rPr>
          <w:color w:val="auto"/>
        </w:rPr>
      </w:r>
    </w:p>
    <w:tbl>
      <w:tblPr>
        <w:tblStyle w:val="1035"/>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78"/>
        <w:gridCol w:w="2154"/>
        <w:gridCol w:w="2030"/>
        <w:gridCol w:w="2321"/>
        <w:gridCol w:w="2256"/>
      </w:tblGrid>
      <w:tr>
        <w:trPr>
          <w:trHeight w:val="28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b/>
                <w:color w:val="auto"/>
                <w:sz w:val="24"/>
              </w:rPr>
              <w:t xml:space="preserve">TT</w:t>
            </w:r>
            <w:r>
              <w:rPr>
                <w:color w:val="auto"/>
              </w:rPr>
            </w:r>
            <w:r>
              <w:rPr>
                <w:color w:val="auto"/>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b/>
                <w:color w:val="auto"/>
                <w:sz w:val="24"/>
              </w:rPr>
              <w:t xml:space="preserve">Tài sản</w:t>
            </w:r>
            <w:r>
              <w:rPr>
                <w:color w:val="auto"/>
              </w:rPr>
            </w:r>
            <w:r>
              <w:rPr>
                <w:color w:val="auto"/>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b/>
                <w:color w:val="auto"/>
                <w:sz w:val="24"/>
              </w:rPr>
              <w:t xml:space="preserve">Mức giá chỉ dẫn của các TSSS</w:t>
            </w:r>
            <w:r>
              <w:rPr>
                <w:color w:val="auto"/>
              </w:rPr>
            </w:r>
            <w:r>
              <w:rPr>
                <w:color w:val="auto"/>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b/>
                <w:color w:val="auto"/>
                <w:sz w:val="24"/>
              </w:rPr>
              <w:t xml:space="preserve">Trọng số của các TSSS sau điều chỉnh</w:t>
            </w:r>
            <w:r>
              <w:rPr>
                <w:color w:val="auto"/>
              </w:rPr>
            </w:r>
            <w:r>
              <w:rPr>
                <w:color w:val="auto"/>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b/>
                <w:color w:val="auto"/>
                <w:sz w:val="24"/>
              </w:rPr>
              <w:t xml:space="preserve">Giá trị trung bình của mức giá chỉ dẫn sau điều chỉnh</w:t>
            </w:r>
            <w:r>
              <w:rPr>
                <w:color w:val="auto"/>
              </w:rPr>
            </w:r>
            <w:r>
              <w:rPr>
                <w:color w:val="auto"/>
              </w:rPr>
            </w:r>
          </w:p>
        </w:tc>
      </w:tr>
      <w:tr>
        <w:trPr>
          <w:trHeight w:val="28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color w:val="auto"/>
                <w:sz w:val="24"/>
              </w:rPr>
              <w:t xml:space="preserve">1</w:t>
            </w:r>
            <w:r>
              <w:rPr>
                <w:color w:val="auto"/>
              </w:rPr>
            </w:r>
            <w:r>
              <w:rPr>
                <w:color w:val="auto"/>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color w:val="auto"/>
              </w:rPr>
            </w:pPr>
            <w:r>
              <w:rPr>
                <w:rFonts w:ascii="Times New Roman" w:hAnsi="Times New Roman" w:eastAsia="Times New Roman" w:cs="Times New Roman"/>
                <w:color w:val="auto"/>
                <w:sz w:val="24"/>
              </w:rPr>
              <w:t xml:space="preserve">Tài sản so sánh 1</w:t>
            </w:r>
            <w:r>
              <w:rPr>
                <w:color w:val="auto"/>
              </w:rPr>
            </w:r>
            <w:r>
              <w:rPr>
                <w:color w:val="auto"/>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color w:val="auto"/>
                <w:sz w:val="24"/>
              </w:rPr>
              <w:t xml:space="preserve">28.890.000 </w:t>
            </w:r>
            <w:r>
              <w:rPr>
                <w:color w:val="auto"/>
              </w:rPr>
            </w:r>
            <w:r>
              <w:rPr>
                <w:color w:val="auto"/>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color w:val="auto"/>
                <w:sz w:val="24"/>
              </w:rPr>
              <w:t xml:space="preserve">33,33%</w:t>
            </w:r>
            <w:r>
              <w:rPr>
                <w:color w:val="auto"/>
              </w:rPr>
            </w:r>
            <w:r>
              <w:rPr>
                <w:color w:val="auto"/>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color w:val="auto"/>
                <w:sz w:val="24"/>
              </w:rPr>
              <w:t xml:space="preserve">      9.630.000 </w:t>
            </w:r>
            <w:r>
              <w:rPr>
                <w:color w:val="auto"/>
              </w:rPr>
            </w:r>
            <w:r>
              <w:rPr>
                <w:color w:val="auto"/>
              </w:rPr>
            </w:r>
          </w:p>
        </w:tc>
      </w:tr>
      <w:tr>
        <w:trPr>
          <w:trHeight w:val="28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color w:val="auto"/>
                <w:sz w:val="24"/>
              </w:rPr>
              <w:t xml:space="preserve">2</w:t>
            </w:r>
            <w:r>
              <w:rPr>
                <w:color w:val="auto"/>
              </w:rPr>
            </w:r>
            <w:r>
              <w:rPr>
                <w:color w:val="auto"/>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color w:val="auto"/>
              </w:rPr>
            </w:pPr>
            <w:r>
              <w:rPr>
                <w:rFonts w:ascii="Times New Roman" w:hAnsi="Times New Roman" w:eastAsia="Times New Roman" w:cs="Times New Roman"/>
                <w:color w:val="auto"/>
                <w:sz w:val="24"/>
              </w:rPr>
              <w:t xml:space="preserve">Tài sản so sánh 2</w:t>
            </w:r>
            <w:r>
              <w:rPr>
                <w:color w:val="auto"/>
              </w:rPr>
            </w:r>
            <w:r>
              <w:rPr>
                <w:color w:val="auto"/>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color w:val="auto"/>
                <w:sz w:val="24"/>
              </w:rPr>
              <w:t xml:space="preserve">32.104.818 </w:t>
            </w:r>
            <w:r>
              <w:rPr>
                <w:color w:val="auto"/>
              </w:rPr>
            </w:r>
            <w:r>
              <w:rPr>
                <w:color w:val="auto"/>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color w:val="auto"/>
                <w:sz w:val="24"/>
              </w:rPr>
              <w:t xml:space="preserve">33,33%</w:t>
            </w:r>
            <w:r>
              <w:rPr>
                <w:color w:val="auto"/>
              </w:rPr>
            </w:r>
            <w:r>
              <w:rPr>
                <w:color w:val="auto"/>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color w:val="auto"/>
                <w:sz w:val="24"/>
              </w:rPr>
              <w:t xml:space="preserve">    10.701.606 </w:t>
            </w:r>
            <w:r>
              <w:rPr>
                <w:color w:val="auto"/>
              </w:rPr>
            </w:r>
            <w:r>
              <w:rPr>
                <w:color w:val="auto"/>
              </w:rPr>
            </w:r>
          </w:p>
        </w:tc>
      </w:tr>
      <w:tr>
        <w:trPr>
          <w:trHeight w:val="28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color w:val="auto"/>
                <w:sz w:val="24"/>
              </w:rPr>
              <w:t xml:space="preserve">3</w:t>
            </w:r>
            <w:r>
              <w:rPr>
                <w:color w:val="auto"/>
              </w:rPr>
            </w:r>
            <w:r>
              <w:rPr>
                <w:color w:val="auto"/>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color w:val="auto"/>
              </w:rPr>
            </w:pPr>
            <w:r>
              <w:rPr>
                <w:rFonts w:ascii="Times New Roman" w:hAnsi="Times New Roman" w:eastAsia="Times New Roman" w:cs="Times New Roman"/>
                <w:color w:val="auto"/>
                <w:sz w:val="24"/>
              </w:rPr>
              <w:t xml:space="preserve">Tài sản so sánh 3</w:t>
            </w:r>
            <w:r>
              <w:rPr>
                <w:color w:val="auto"/>
              </w:rPr>
            </w:r>
            <w:r>
              <w:rPr>
                <w:color w:val="auto"/>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color w:val="auto"/>
                <w:sz w:val="24"/>
              </w:rPr>
              <w:t xml:space="preserve">32.130.000 </w:t>
            </w:r>
            <w:r>
              <w:rPr>
                <w:color w:val="auto"/>
              </w:rPr>
            </w:r>
            <w:r>
              <w:rPr>
                <w:color w:val="auto"/>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color w:val="auto"/>
                <w:sz w:val="24"/>
              </w:rPr>
              <w:t xml:space="preserve">33,33%</w:t>
            </w:r>
            <w:r>
              <w:rPr>
                <w:color w:val="auto"/>
              </w:rPr>
            </w:r>
            <w:r>
              <w:rPr>
                <w:color w:val="auto"/>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color w:val="auto"/>
                <w:sz w:val="24"/>
              </w:rPr>
              <w:t xml:space="preserve">    10.710.000 </w:t>
            </w:r>
            <w:r>
              <w:rPr>
                <w:color w:val="auto"/>
              </w:rPr>
            </w:r>
            <w:r>
              <w:rPr>
                <w:color w:val="auto"/>
              </w:rPr>
            </w:r>
          </w:p>
        </w:tc>
      </w:tr>
      <w:tr>
        <w:trPr>
          <w:trHeight w:val="284"/>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b/>
                <w:color w:val="auto"/>
                <w:sz w:val="24"/>
              </w:rPr>
              <w:t xml:space="preserve">Giá trị bình quân theo trọng số</w:t>
            </w:r>
            <w:r>
              <w:rPr>
                <w:color w:val="auto"/>
              </w:rPr>
            </w:r>
            <w:r>
              <w:rPr>
                <w:color w:val="auto"/>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b/>
                <w:color w:val="auto"/>
                <w:sz w:val="24"/>
              </w:rPr>
              <w:t xml:space="preserve">    31.041.606 </w:t>
            </w:r>
            <w:r>
              <w:rPr>
                <w:color w:val="auto"/>
              </w:rPr>
            </w:r>
            <w:r>
              <w:rPr>
                <w:color w:val="auto"/>
              </w:rPr>
            </w:r>
          </w:p>
        </w:tc>
      </w:tr>
      <w:tr>
        <w:trPr>
          <w:trHeight w:val="284"/>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b/>
                <w:color w:val="auto"/>
                <w:sz w:val="24"/>
              </w:rPr>
              <w:t xml:space="preserve">Làm tròn</w:t>
            </w:r>
            <w:r>
              <w:rPr>
                <w:color w:val="auto"/>
              </w:rPr>
            </w:r>
            <w:r>
              <w:rPr>
                <w:color w:val="auto"/>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b/>
                <w:color w:val="auto"/>
                <w:sz w:val="24"/>
              </w:rPr>
              <w:t xml:space="preserve">    31.000.000 </w:t>
            </w:r>
            <w:r>
              <w:rPr>
                <w:color w:val="auto"/>
              </w:rPr>
            </w:r>
            <w:r>
              <w:rPr>
                <w:color w:val="auto"/>
              </w:rP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color w:val="auto"/>
        </w:rPr>
      </w:pPr>
      <w:r>
        <w:rPr>
          <w:rFonts w:ascii="Times New Roman" w:hAnsi="Times New Roman" w:eastAsia="Times New Roman" w:cs="Times New Roman"/>
          <w:color w:val="auto"/>
          <w:sz w:val="24"/>
        </w:rPr>
        <w:t xml:space="preserve">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auto"/>
          <w:sz w:val="24"/>
        </w:rPr>
        <w:t xml:space="preserve"> 31.000.000 đồng/m².</w:t>
      </w:r>
      <w:r>
        <w:rPr>
          <w:color w:val="auto"/>
        </w:rPr>
      </w:r>
      <w:r>
        <w:rPr>
          <w:color w:val="auto"/>
        </w:rPr>
      </w:r>
    </w:p>
    <w:p>
      <w:pPr>
        <w:numPr>
          <w:ilvl w:val="0"/>
          <w:numId w:val="41"/>
        </w:numPr>
        <w:pBdr>
          <w:top w:val="none" w:color="000000" w:sz="4" w:space="0"/>
          <w:left w:val="none" w:color="000000" w:sz="4" w:space="0"/>
          <w:bottom w:val="none" w:color="000000" w:sz="4" w:space="0"/>
          <w:right w:val="none" w:color="000000" w:sz="4" w:space="0"/>
        </w:pBdr>
        <w:spacing w:after="0" w:before="120" w:line="276" w:lineRule="auto"/>
        <w:ind/>
        <w:jc w:val="both"/>
        <w:rPr>
          <w:color w:val="auto"/>
        </w:rPr>
      </w:pPr>
      <w:r>
        <w:rPr>
          <w:rFonts w:ascii="Times New Roman" w:hAnsi="Times New Roman" w:eastAsia="Times New Roman" w:cs="Times New Roman"/>
          <w:b/>
          <w:color w:val="auto"/>
          <w:sz w:val="24"/>
        </w:rPr>
        <w:t xml:space="preserve">Kết quả thẩm định giá:</w:t>
      </w:r>
      <w:r>
        <w:rPr>
          <w:color w:val="auto"/>
        </w:rPr>
      </w:r>
      <w:r>
        <w:rPr>
          <w:color w:val="auto"/>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pacing w:val="2"/>
          <w:sz w:val="24"/>
        </w:rPr>
        <w:t xml:space="preserve">Dựa trên các lập luận trên, tổ thẩm định ước tính giá trị tài sản thẩm định giá chưa bao gồm các loại thuế, phí và lệ phí liên quan đến việc chuyển nhượng tài sản tại thời điểm tháng 02/2026 như sau:</w:t>
      </w:r>
      <w:r/>
    </w:p>
    <w:tbl>
      <w:tblPr>
        <w:tblStyle w:val="1035"/>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40"/>
        <w:gridCol w:w="4040"/>
        <w:gridCol w:w="1220"/>
        <w:gridCol w:w="1680"/>
        <w:gridCol w:w="2020"/>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0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246, tờ bản đồ số: 97 có địa chỉ: Thôn Đồng Trạng, xã Đoài Phương, thành phố Hà Nội theo Giấy chứng nhận quyền sử dụng đất quyền sở hữu tài sản gắn liền với đất số: AA 02940288, số vào sổ cấp GCN: CN 3368 do Chi nhánh văn</w:t>
            </w:r>
            <w:r>
              <w:rPr>
                <w:rFonts w:ascii="Times New Roman" w:hAnsi="Times New Roman" w:eastAsia="Times New Roman" w:cs="Times New Roman"/>
                <w:b/>
                <w:color w:val="000000"/>
                <w:sz w:val="24"/>
              </w:rPr>
              <w:t xml:space="preserve"> phòng đăng ký đất đai Hà Nội cấp ngày 08/9/2025 cho ông Nguyễn Quang Hà và bà Nguyễn Thị Hòa</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0" w:type="dxa"/>
            <w:vAlign w:val="center"/>
            <w:textDirection w:val="lrTb"/>
            <w:noWrap w:val="false"/>
          </w:tcPr>
          <w:p>
            <w:pPr>
              <w:pBdr/>
              <w:spacing w:after="0" w:before="0" w:line="276" w:lineRule="auto"/>
              <w:ind/>
              <w:rPr/>
            </w:pPr>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0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4"/>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155,4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31.000.000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4.817.400.000</w:t>
            </w:r>
            <w:r/>
          </w:p>
        </w:tc>
      </w:tr>
      <w:tr>
        <w:trPr>
          <w:trHeight w:val="20"/>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48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b/>
                <w:color w:val="000000"/>
                <w:sz w:val="24"/>
              </w:rPr>
              <w:t xml:space="preserve">4.817.400.000</w:t>
            </w:r>
            <w:r/>
          </w:p>
        </w:tc>
      </w:tr>
      <w:tr>
        <w:trPr>
          <w:trHeight w:val="20"/>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48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b/>
                <w:color w:val="000000"/>
                <w:sz w:val="24"/>
              </w:rPr>
              <w:t xml:space="preserve">4.817.000.000</w:t>
            </w:r>
            <w:r/>
          </w:p>
        </w:tc>
      </w:tr>
      <w:tr>
        <w:trPr>
          <w:trHeight w:val="20"/>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5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4"/>
              </w:rPr>
              <w:t xml:space="preserve">(Bằng chữ: Bốn tỷ tám trăm mười bảy triệu đồng chẵn ./.)</w:t>
            </w:r>
            <w:r/>
          </w:p>
        </w:tc>
      </w:tr>
    </w:tbl>
    <w:p>
      <w:pPr>
        <w:pBdr>
          <w:top w:val="none" w:color="000000" w:sz="4" w:space="0"/>
          <w:left w:val="none" w:color="000000" w:sz="4" w:space="0"/>
          <w:bottom w:val="none" w:color="000000" w:sz="4" w:space="0"/>
          <w:right w:val="none" w:color="000000" w:sz="4" w:space="0"/>
        </w:pBdr>
        <w:spacing w:after="0" w:before="240" w:line="276" w:lineRule="auto"/>
        <w:ind w:right="0" w:firstLine="0" w:left="0"/>
        <w:jc w:val="both"/>
        <w:rPr/>
      </w:pPr>
      <w:r>
        <w:rPr>
          <w:rFonts w:ascii="Times New Roman" w:hAnsi="Times New Roman" w:eastAsia="Times New Roman" w:cs="Times New Roman"/>
          <w:b/>
          <w:color w:val="000000"/>
          <w:sz w:val="24"/>
        </w:rPr>
        <w:t xml:space="preserve">IX. THỜI HẠN HIỆU LỰC CỦA KẾT QUẢ THẨM ĐỊNH GIÁ</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pacing w:val="-4"/>
          <w:sz w:val="24"/>
        </w:rPr>
        <w:t xml:space="preserve">X. TUYÊN BỐ CHUNG VÀ MIỄN TRỪ TRÁCH NHIỆM</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Công ty Cổ phần Thấm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w:t>
      </w:r>
      <w:r>
        <w:rPr>
          <w:rFonts w:ascii="Times New Roman" w:hAnsi="Times New Roman" w:eastAsia="Times New Roman" w:cs="Times New Roman"/>
          <w:color w:val="000000"/>
          <w:sz w:val="24"/>
        </w:rPr>
        <w:t xml:space="preserve">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Chứng thư, Báo cáo này được soạn thảo theo Hợp đồng số 275/2026/0274/VFI-HĐTĐ.27.A được ký kết ngày 03/02/2026 và tuân theo các điều khoản được nêu trong Hợp đồng. Chứng thư, báo cáo này chỉ nhằm phục vụ cho mục đích sử dụng được nêu trong Báo cáo và không</w:t>
      </w:r>
      <w:r>
        <w:rPr>
          <w:rFonts w:ascii="Times New Roman" w:hAnsi="Times New Roman" w:eastAsia="Times New Roman" w:cs="Times New Roman"/>
          <w:color w:val="000000"/>
          <w:sz w:val="24"/>
        </w:rPr>
        <w:t xml:space="preserve"> nhằm mục đích sử dụng cho bất kỳ bên nào khác không được đề cập đến trong Hợp đồng (gọi tắt là “các bên liên quan”).</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Các bên liên quan khi đọc và thực hiện sử dụng sản phẩm tư vấn này, tức là đã chấp nhận và đồng ý với những điều khoản sau</w:t>
      </w:r>
      <w:r>
        <w:rPr>
          <w:rFonts w:ascii="Times New Roman" w:hAnsi="Times New Roman" w:eastAsia="Times New Roman" w:cs="Times New Roman"/>
          <w:color w:val="000000"/>
          <w:sz w:val="22"/>
        </w:rPr>
        <w:t xml:space="preserve">:</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w:t>
      </w:r>
      <w:r>
        <w:rPr>
          <w:rFonts w:ascii="Times New Roman" w:hAnsi="Times New Roman" w:eastAsia="Times New Roman" w:cs="Times New Roman"/>
          <w:color w:val="000000"/>
          <w:sz w:val="24"/>
        </w:rPr>
        <w:t xml:space="preserve">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w:t>
      </w:r>
      <w:r>
        <w:rPr>
          <w:rFonts w:ascii="Times New Roman" w:hAnsi="Times New Roman" w:eastAsia="Times New Roman" w:cs="Times New Roman"/>
          <w:color w:val="000000"/>
          <w:sz w:val="24"/>
        </w:rPr>
        <w:t xml:space="preserve">kỳ mục đích nào thì mọi trách nhiệm có liên quan đều thuộc Quý Khách hàng và các bên liên quan đó tham gia vào các giao dịch có liên quan.</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w:t>
      </w:r>
      <w:r>
        <w:rPr>
          <w:rFonts w:ascii="Times New Roman" w:hAnsi="Times New Roman" w:eastAsia="Times New Roman" w:cs="Times New Roman"/>
          <w:color w:val="000000"/>
          <w:sz w:val="24"/>
        </w:rPr>
        <w:t xml:space="preserve">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w:t>
      </w:r>
      <w:r>
        <w:rPr>
          <w:rFonts w:ascii="Times New Roman" w:hAnsi="Times New Roman" w:eastAsia="Times New Roman" w:cs="Times New Roman"/>
          <w:color w:val="000000"/>
          <w:sz w:val="24"/>
        </w:rPr>
        <w:t xml:space="preserve">n của các bên liên quan, hoặc do hậu quả của việc cung cấp Chứng thư, Báo cáo cho các bên liên quan.</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w:t>
      </w:r>
      <w:r>
        <w:rPr>
          <w:rFonts w:ascii="Times New Roman" w:hAnsi="Times New Roman" w:eastAsia="Times New Roman" w:cs="Times New Roman"/>
          <w:color w:val="000000"/>
          <w:sz w:val="24"/>
        </w:rPr>
        <w:t xml:space="preserve">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w:t>
      </w:r>
      <w:r>
        <w:rPr>
          <w:rFonts w:ascii="Times New Roman" w:hAnsi="Times New Roman" w:eastAsia="Times New Roman" w:cs="Times New Roman"/>
          <w:color w:val="000000"/>
          <w:sz w:val="24"/>
        </w:rPr>
        <w:t xml:space="preserve">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w:t>
      </w:r>
      <w:r>
        <w:rPr>
          <w:rFonts w:ascii="Times New Roman" w:hAnsi="Times New Roman" w:eastAsia="Times New Roman" w:cs="Times New Roman"/>
          <w:color w:val="000000"/>
          <w:sz w:val="24"/>
        </w:rPr>
        <w:t xml:space="preserve">gây tổn hại đến danh dự, trách nhiệm pháp lý, nghĩa vụ kinh tế… của các cá nhân và tập thể Lotus VFI.</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XI. NHỮNG ĐIỀU KHOẢN LOẠI TRỪ VÀ HẠN CHẾ CỦA KẾT QUẢ THẨM ĐỊNH GIÁ</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w:t>
      </w:r>
      <w:r>
        <w:rPr>
          <w:rFonts w:ascii="Times New Roman" w:hAnsi="Times New Roman" w:eastAsia="Times New Roman" w:cs="Times New Roman"/>
          <w:color w:val="000000"/>
          <w:sz w:val="24"/>
        </w:rPr>
        <w:t xml:space="preserve">à không có xác nhận của Công ty Cổ phần Thẩm định và Đầu tư Tài chính Hoa Sen đều vi phạm pháp luật và không có giá trị.</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Kết quả thẩm định giá trên chỉ xác nhận khi khách hàng hoàn tất các thủ tục pháp lý và nghĩa vụ tài chính liên quan đến tài sản thẩm định theo quy định của pháp luật hiện hành.</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Công ty Cổ phần Thẩm định và Đầu tư Tài chính Hoa Sen không chịu trách nhiệm kiểm tra thông tin của những bản sao (bản photo) các giấy tờ liên quan đến tính chất pháp lý của tài sản yêu cầu thẩm định giá so với bản gốc. Đồng thời Công ty không tiến hành ki</w:t>
      </w:r>
      <w:r>
        <w:rPr>
          <w:rFonts w:ascii="Times New Roman" w:hAnsi="Times New Roman" w:eastAsia="Times New Roman" w:cs="Times New Roman"/>
          <w:color w:val="000000"/>
          <w:sz w:val="24"/>
        </w:rPr>
        <w:t xml:space="preserve">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w:t>
      </w:r>
      <w:r>
        <w:rPr>
          <w:rFonts w:ascii="Times New Roman" w:hAnsi="Times New Roman" w:eastAsia="Times New Roman" w:cs="Times New Roman"/>
          <w:color w:val="000000"/>
          <w:sz w:val="24"/>
        </w:rPr>
        <w:t xml:space="preserve">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w:t>
      </w:r>
      <w:r>
        <w:rPr>
          <w:rFonts w:ascii="Times New Roman" w:hAnsi="Times New Roman" w:eastAsia="Times New Roman" w:cs="Times New Roman"/>
          <w:color w:val="000000"/>
          <w:sz w:val="24"/>
        </w:rPr>
        <w:t xml:space="preserve"> sử dụng bản báo cáo nên thận trọng trong việc làm rõ các tài liệu pháp lý có liên quan đến vấn đề này trước khi đưa ra các quyết định về tài sản định giá.</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sz w:val="24"/>
        </w:rPr>
        <w:t xml:space="preserve">cho Công ty Cổ phần Thẩm định và Đầu tư Tài chính Hoa Sen tại thời điểm và địa điểm thẩm định giá.</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w:t>
      </w:r>
      <w:r>
        <w:rPr>
          <w:rFonts w:ascii="Times New Roman" w:hAnsi="Times New Roman" w:eastAsia="Times New Roman" w:cs="Times New Roman"/>
          <w:color w:val="000000"/>
          <w:sz w:val="24"/>
        </w:rPr>
        <w:t xml:space="preserve">Giá trị ước tính này không nhất thiết phải trùng khớp với giá trị dùng để giao dịch.</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w:t>
      </w:r>
      <w:r>
        <w:rPr>
          <w:rFonts w:ascii="Times New Roman" w:hAnsi="Times New Roman" w:eastAsia="Times New Roman" w:cs="Times New Roman"/>
          <w:color w:val="000000"/>
          <w:sz w:val="24"/>
        </w:rPr>
        <w:t xml:space="preserve">ch, số ô, số thửa, tờ bản đồ theo Giấy chứng nhận quyền sử dụng đất  đã cung cấp cho chúng tôi.</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z w:val="24"/>
        </w:rPr>
        <w:t xml:space="preserve"> trừ mọi trách nhiệm phát sinh, liên đới (nếu có) trong trường hợp này.</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ff0000"/>
          <w:sz w:val="24"/>
        </w:rPr>
        <w:t xml:space="preserve">Qua khảo sát hiện trạng tài sản, tổ thẩm định nhận thấy trên đất có 01 tài sản là Nhà cấp 4, tường gạch, mái tôn. Hiện công trình xây dựng này chưa được chứng nhận trên </w:t>
      </w:r>
      <w:r>
        <w:rPr>
          <w:rFonts w:ascii="Times New Roman" w:hAnsi="Times New Roman" w:eastAsia="Times New Roman" w:cs="Times New Roman"/>
          <w:color w:val="000000"/>
          <w:sz w:val="24"/>
        </w:rPr>
        <w:t xml:space="preserve">Giấy chứng nhận quyền sử dụng đất quyền sở hữu tài sản gắn liền với đất số: AA 02940288, số vào sổ cấp GCN: CN 3368 do Chi nhánh vă</w:t>
      </w:r>
      <w:r>
        <w:rPr>
          <w:rFonts w:ascii="Times New Roman" w:hAnsi="Times New Roman" w:eastAsia="Times New Roman" w:cs="Times New Roman"/>
          <w:color w:val="000000"/>
          <w:sz w:val="24"/>
          <w:highlight w:val="none"/>
        </w:rPr>
        <w:t xml:space="preserve">n phòng đăng ký đất đai Hà Nội cấp ngày 08/9/2025 cho ông Nguyễn Quang Hà và bà Nguyễn Thị H</w:t>
      </w:r>
      <w:r>
        <w:rPr>
          <w:rFonts w:ascii="Times New Roman" w:hAnsi="Times New Roman" w:eastAsia="Times New Roman" w:cs="Times New Roman"/>
          <w:color w:val="000000"/>
          <w:sz w:val="24"/>
          <w:highlight w:val="none"/>
        </w:rPr>
        <w:t xml:space="preserve">òa. </w:t>
      </w:r>
      <w:r>
        <w:rPr>
          <w:rFonts w:ascii="Times New Roman" w:hAnsi="Times New Roman" w:eastAsia="Times New Roman" w:cs="Times New Roman"/>
          <w:color w:val="ff0000"/>
          <w:sz w:val="24"/>
          <w:highlight w:val="none"/>
        </w:rPr>
        <w:t xml:space="preserve">Mặt k</w:t>
      </w:r>
      <w:r>
        <w:rPr>
          <w:rFonts w:ascii="Times New Roman" w:hAnsi="Times New Roman" w:eastAsia="Times New Roman" w:cs="Times New Roman"/>
          <w:color w:val="ff0000"/>
          <w:sz w:val="24"/>
          <w:highlight w:val="none"/>
        </w:rPr>
        <w:t xml:space="preserve">há</w:t>
      </w:r>
      <w:r>
        <w:rPr>
          <w:rFonts w:ascii="Times New Roman" w:hAnsi="Times New Roman" w:eastAsia="Times New Roman" w:cs="Times New Roman"/>
          <w:color w:val="ff0000"/>
          <w:sz w:val="24"/>
        </w:rPr>
        <w:t xml:space="preserve">c, tổ thẩm định không thu thập được bất kỳ hồ sơ tài liệu pháp lý nào (giấy phép xây dựng, hồ sơ thiết kế, hồ sơ hoàn công…) liên quan đến công trình nhà ở này. Do đó, kết quả của Chứng thư và Báo cáo Thẩm định giá của chúng tôi chỉ xác định Giá trị</w:t>
      </w:r>
      <w:r>
        <w:rPr>
          <w:rFonts w:ascii="Times New Roman" w:hAnsi="Times New Roman" w:eastAsia="Times New Roman" w:cs="Times New Roman"/>
          <w:color w:val="ff0000"/>
          <w:sz w:val="24"/>
        </w:rPr>
        <w:t xml:space="preserve"> quyền sử dụng đất. Kính đề nghị người sử dụng Chứng thư, Báo cáo thẩm định giá này (các tổ chức tín dụng) lưu ý khi xét cấp tín dụng.</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Tổ thẩm định giá sử dụng 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giao bán trên thị</w:t>
      </w:r>
      <w:r>
        <w:rPr>
          <w:rFonts w:ascii="Times New Roman" w:hAnsi="Times New Roman" w:eastAsia="Times New Roman" w:cs="Times New Roman"/>
          <w:color w:val="000000"/>
          <w:sz w:val="24"/>
        </w:rPr>
        <w:t xml:space="preserve"> trường. Kết quả thẩm định giá có thể thay đổi khi các TSSS được giao dịch thành công. Khách hàng và các bên thứ ba khi sử dụng kết quả thẩm định giá cần lưu ý khi sử dụng Chứng thư thẩm định giá.</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w:t>
      </w:r>
      <w:r>
        <w:rPr>
          <w:rFonts w:ascii="Times New Roman" w:hAnsi="Times New Roman" w:eastAsia="Times New Roman" w:cs="Times New Roman"/>
          <w:color w:val="000000"/>
          <w:sz w:val="24"/>
        </w:rPr>
        <w:t xml:space="preserve">định giá.</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w:t>
      </w:r>
      <w:r>
        <w:rPr>
          <w:rFonts w:ascii="Times New Roman" w:hAnsi="Times New Roman" w:eastAsia="Times New Roman" w:cs="Times New Roman"/>
          <w:color w:val="000000"/>
          <w:sz w:val="24"/>
        </w:rPr>
        <w:t xml:space="preserve">kết quả…. và chấp nhận sử dụng tất cả nội dung được trình bày trong chứng thư này.</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X. CÁC PHỤ LỤC KÈM THEO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Phụ lục 1: Hình ảnh hiện trạng của tài sản.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Phụ lục 2: Thông tin thu thập thị trường.</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Báo cáo kết quả thẩm định giá được phát hành 03 (ba) bản chính bằng tiếng Việt kèm theo Chứng thư thẩm định giá số 275/2026/0274/VFI-CT.27.A ngày 05/02/2026 tại Công ty Cổ phần Thẩm định và Đầu tư Tài chính Hoa Sen.</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927"/>
        <w:gridCol w:w="4881"/>
      </w:tblGrid>
      <w:tr>
        <w:trPr>
          <w:trHeight w:val="1087"/>
        </w:trPr>
        <w:tc>
          <w:tcPr>
            <w:tcBorders/>
            <w:tcMar>
              <w:left w:w="108" w:type="dxa"/>
              <w:top w:w="0" w:type="dxa"/>
              <w:right w:w="108" w:type="dxa"/>
              <w:bottom w:w="0" w:type="dxa"/>
            </w:tcMar>
            <w:tcW w:w="49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THẨM ĐỊNH VIÊN VỀ GIÁ</w:t>
            </w:r>
            <w:r/>
          </w:p>
        </w:tc>
        <w:tc>
          <w:tcPr>
            <w:tcBorders/>
            <w:tcMar>
              <w:left w:w="108" w:type="dxa"/>
              <w:top w:w="0" w:type="dxa"/>
              <w:right w:w="108" w:type="dxa"/>
              <w:bottom w:w="0" w:type="dxa"/>
            </w:tcMar>
            <w:tcW w:w="48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pacing w:val="3"/>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z w:val="24"/>
              </w:rPr>
              <w:t xml:space="preserve">Chủ tịch HĐQT</w:t>
            </w: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kiêm Tổng Giám đốc</w:t>
            </w:r>
            <w:r/>
          </w:p>
        </w:tc>
      </w:tr>
      <w:tr>
        <w:trPr>
          <w:trHeight w:val="1508"/>
        </w:trPr>
        <w:tc>
          <w:tcPr>
            <w:tcBorders/>
            <w:tcMar>
              <w:left w:w="108" w:type="dxa"/>
              <w:top w:w="0" w:type="dxa"/>
              <w:right w:w="108" w:type="dxa"/>
              <w:bottom w:w="0" w:type="dxa"/>
            </w:tcMar>
            <w:tcW w:w="492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3"/>
                <w:sz w:val="24"/>
              </w:rPr>
              <w:t xml:space="preserve"> </w:t>
            </w:r>
            <w:r/>
          </w:p>
        </w:tc>
        <w:tc>
          <w:tcPr>
            <w:tcBorders/>
            <w:tcMar>
              <w:left w:w="108" w:type="dxa"/>
              <w:top w:w="0" w:type="dxa"/>
              <w:right w:w="108" w:type="dxa"/>
              <w:bottom w:w="0" w:type="dxa"/>
            </w:tcMar>
            <w:tcW w:w="488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3"/>
                <w:sz w:val="24"/>
              </w:rPr>
              <w:t xml:space="preserve"> </w:t>
            </w:r>
            <w:r/>
          </w:p>
        </w:tc>
      </w:tr>
      <w:tr>
        <w:trPr>
          <w:trHeight w:val="53"/>
        </w:trPr>
        <w:tc>
          <w:tcPr>
            <w:tcBorders/>
            <w:tcMar>
              <w:left w:w="108" w:type="dxa"/>
              <w:top w:w="0" w:type="dxa"/>
              <w:right w:w="108" w:type="dxa"/>
              <w:bottom w:w="0" w:type="dxa"/>
            </w:tcMar>
            <w:tcW w:w="492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Nguyễn Thị Thùy</w:t>
            </w: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Dương</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color w:val="000000"/>
                <w:spacing w:val="3"/>
                <w:sz w:val="24"/>
                <w:highlight w:val="white"/>
              </w:rPr>
              <w:t xml:space="preserve">Số thẻ thẩm định viên về giá: </w:t>
            </w:r>
            <w:r>
              <w:rPr>
                <w:rFonts w:ascii="Times New Roman" w:hAnsi="Times New Roman" w:eastAsia="Times New Roman" w:cs="Times New Roman"/>
                <w:color w:val="000000"/>
                <w:sz w:val="24"/>
              </w:rPr>
              <w:t xml:space="preserve">XVI25TS.2576</w:t>
            </w:r>
            <w:r/>
          </w:p>
        </w:tc>
        <w:tc>
          <w:tcPr>
            <w:tcBorders/>
            <w:tcMar>
              <w:left w:w="108" w:type="dxa"/>
              <w:top w:w="0" w:type="dxa"/>
              <w:right w:w="108" w:type="dxa"/>
              <w:bottom w:w="0" w:type="dxa"/>
            </w:tcMar>
            <w:tcW w:w="4881"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color w:val="000000"/>
                <w:spacing w:val="3"/>
                <w:sz w:val="24"/>
              </w:rPr>
              <w:t xml:space="preserve">Số thẻ thẩm định viên về giá: </w:t>
            </w:r>
            <w:r>
              <w:rPr>
                <w:rFonts w:ascii="Times New Roman" w:hAnsi="Times New Roman" w:eastAsia="Times New Roman" w:cs="Times New Roman"/>
                <w:color w:val="000000"/>
                <w:sz w:val="24"/>
              </w:rPr>
              <w:t xml:space="preserve"> XII17.1825 </w:t>
            </w:r>
            <w:r/>
          </w:p>
        </w:tc>
      </w:tr>
      <w:tr>
        <w:trPr>
          <w:trHeight w:val="53"/>
        </w:trPr>
        <w:tc>
          <w:tcPr>
            <w:tcBorders/>
            <w:tcMar>
              <w:left w:w="108" w:type="dxa"/>
              <w:top w:w="0" w:type="dxa"/>
              <w:right w:w="108" w:type="dxa"/>
              <w:bottom w:w="0" w:type="dxa"/>
            </w:tcMar>
            <w:tcW w:w="49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TRỢ LÝ THẨM ĐỊNH VIÊN</w:t>
            </w:r>
            <w:r/>
          </w:p>
        </w:tc>
        <w:tc>
          <w:tcPr>
            <w:tcBorders/>
            <w:tcMar>
              <w:left w:w="108" w:type="dxa"/>
              <w:top w:w="0" w:type="dxa"/>
              <w:right w:w="108" w:type="dxa"/>
              <w:bottom w:w="0" w:type="dxa"/>
            </w:tcMar>
            <w:tcW w:w="4881"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pacing w:val="3"/>
                <w:sz w:val="24"/>
              </w:rPr>
              <w:t xml:space="preserve">Kiểm soát viên</w:t>
            </w:r>
            <w:r/>
          </w:p>
        </w:tc>
      </w:tr>
      <w:tr>
        <w:trPr>
          <w:trHeight w:val="53"/>
        </w:trPr>
        <w:tc>
          <w:tcPr>
            <w:tcBorders/>
            <w:tcMar>
              <w:left w:w="108" w:type="dxa"/>
              <w:top w:w="0" w:type="dxa"/>
              <w:right w:w="108" w:type="dxa"/>
              <w:bottom w:w="0" w:type="dxa"/>
            </w:tcMar>
            <w:tcW w:w="49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pacing w:val="3"/>
                <w:sz w:val="24"/>
              </w:rPr>
              <w:t xml:space="preserve"> </w:t>
            </w:r>
            <w:r/>
          </w:p>
        </w:tc>
        <w:tc>
          <w:tcPr>
            <w:tcBorders/>
            <w:tcMar>
              <w:left w:w="108" w:type="dxa"/>
              <w:top w:w="0" w:type="dxa"/>
              <w:right w:w="108" w:type="dxa"/>
              <w:bottom w:w="0" w:type="dxa"/>
            </w:tcMar>
            <w:tcW w:w="4881"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pacing w:val="3"/>
                <w:sz w:val="24"/>
              </w:rPr>
              <w:t xml:space="preserve"> </w:t>
            </w:r>
            <w:r/>
          </w:p>
        </w:tc>
      </w:tr>
      <w:tr>
        <w:trPr>
          <w:trHeight w:val="79"/>
        </w:trPr>
        <w:tc>
          <w:tcPr>
            <w:tcBorders/>
            <w:tcMar>
              <w:left w:w="108" w:type="dxa"/>
              <w:top w:w="0" w:type="dxa"/>
              <w:right w:w="108" w:type="dxa"/>
              <w:bottom w:w="0" w:type="dxa"/>
            </w:tcMar>
            <w:tcW w:w="49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 Nguyễn Thị Thùy Dung </w:t>
            </w:r>
            <w:r/>
          </w:p>
        </w:tc>
        <w:tc>
          <w:tcPr>
            <w:tcBorders/>
            <w:tcMar>
              <w:left w:w="108" w:type="dxa"/>
              <w:top w:w="0" w:type="dxa"/>
              <w:right w:w="108" w:type="dxa"/>
              <w:bottom w:w="0" w:type="dxa"/>
            </w:tcMar>
            <w:tcW w:w="4881"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Nguyễn Thị Thùy</w:t>
            </w:r>
            <w:r/>
          </w:p>
        </w:tc>
      </w:tr>
    </w:tbl>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GIẤY CHỨNG NHẬN QSDĐ</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6048375" cy="831532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566760" name=""/>
                        <pic:cNvPicPr>
                          <a:picLocks noChangeAspect="1"/>
                        </pic:cNvPicPr>
                        <pic:nvPr/>
                      </pic:nvPicPr>
                      <pic:blipFill rotWithShape="1">
                        <a:blip r:embed="rId18"/>
                        <a:stretch/>
                      </pic:blipFill>
                      <pic:spPr bwMode="auto">
                        <a:xfrm>
                          <a:off x="0" y="0"/>
                          <a:ext cx="6048374" cy="83153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76.25pt;height:654.75pt;mso-wrap-distance-left:0.00pt;mso-wrap-distance-top:0.00pt;mso-wrap-distance-right:0.00pt;mso-wrap-distance-bottom:0.00pt;z-index:1;" stroked="false">
                <v:imagedata r:id="rId18"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6048375" cy="842962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464991" name=""/>
                        <pic:cNvPicPr>
                          <a:picLocks noChangeAspect="1"/>
                        </pic:cNvPicPr>
                        <pic:nvPr/>
                      </pic:nvPicPr>
                      <pic:blipFill rotWithShape="1">
                        <a:blip r:embed="rId19"/>
                        <a:stretch/>
                      </pic:blipFill>
                      <pic:spPr bwMode="auto">
                        <a:xfrm>
                          <a:off x="0" y="0"/>
                          <a:ext cx="6048374" cy="84296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76.25pt;height:663.75pt;mso-wrap-distance-left:0.00pt;mso-wrap-distance-top:0.00pt;mso-wrap-distance-right:0.00pt;mso-wrap-distance-bottom:0.00pt;z-index:1;" stroked="false">
                <v:imagedata r:id="rId19"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BIÊN BẢN KHẢO SÁT</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6048375" cy="80581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178558" name=""/>
                        <pic:cNvPicPr>
                          <a:picLocks noChangeAspect="1"/>
                        </pic:cNvPicPr>
                        <pic:nvPr/>
                      </pic:nvPicPr>
                      <pic:blipFill rotWithShape="1">
                        <a:blip r:embed="rId20"/>
                        <a:stretch/>
                      </pic:blipFill>
                      <pic:spPr bwMode="auto">
                        <a:xfrm>
                          <a:off x="0" y="0"/>
                          <a:ext cx="6048374" cy="80581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76.25pt;height:634.50pt;mso-wrap-distance-left:0.00pt;mso-wrap-distance-top:0.00pt;mso-wrap-distance-right:0.00pt;mso-wrap-distance-bottom:0.00pt;z-index:1;" stroked="false">
                <v:imagedata r:id="rId20"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PHỤ LỤC 1: HÌNH ẢNH HIỆN TRẠNG CỦA TÀI SẢN</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i/>
          <w:color w:val="000000"/>
          <w:sz w:val="24"/>
        </w:rPr>
        <w:t xml:space="preserve">(Kèm theo Báo cáo thẩm định số 275/2026/0274/VFI-BC.27.A ngày 05 tháng 02 năm 2026 của Công ty Cổ phần Thẩm định và Đầu tư Tài chính Hoa Sen)</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4837"/>
        <w:gridCol w:w="4837"/>
      </w:tblGrid>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271067" name=""/>
                              <pic:cNvPicPr>
                                <a:picLocks noChangeAspect="1"/>
                              </pic:cNvPicPr>
                              <pic:nvPr/>
                            </pic:nvPicPr>
                            <pic:blipFill rotWithShape="1">
                              <a:blip r:embed="rId21"/>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1.75pt;height:174.00pt;mso-wrap-distance-left:0.00pt;mso-wrap-distance-top:0.00pt;mso-wrap-distance-right:0.00pt;mso-wrap-distance-bottom:0.00pt;z-index:1;" stroked="false">
                      <v:imagedata r:id="rId21" o:title=""/>
                      <o:lock v:ext="edit" rotation="t"/>
                    </v:shape>
                  </w:pict>
                </mc:Fallback>
              </mc:AlternateConten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495275" name=""/>
                              <pic:cNvPicPr>
                                <a:picLocks noChangeAspect="1"/>
                              </pic:cNvPicPr>
                              <pic:nvPr/>
                            </pic:nvPicPr>
                            <pic:blipFill rotWithShape="1">
                              <a:blip r:embed="rId22"/>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1.75pt;height:174.00pt;mso-wrap-distance-left:0.00pt;mso-wrap-distance-top:0.00pt;mso-wrap-distance-right:0.00pt;mso-wrap-distance-bottom:0.00pt;z-index:1;" stroked="false">
                      <v:imagedata r:id="rId22" o:title=""/>
                      <o:lock v:ext="edit" rotation="t"/>
                    </v:shape>
                  </w:pict>
                </mc:Fallback>
              </mc:AlternateConten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982924" name=""/>
                              <pic:cNvPicPr>
                                <a:picLocks noChangeAspect="1"/>
                              </pic:cNvPicPr>
                              <pic:nvPr/>
                            </pic:nvPicPr>
                            <pic:blipFill rotWithShape="1">
                              <a:blip r:embed="rId23"/>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1.75pt;height:174.00pt;mso-wrap-distance-left:0.00pt;mso-wrap-distance-top:0.00pt;mso-wrap-distance-right:0.00pt;mso-wrap-distance-bottom:0.00pt;z-index:1;" stroked="false">
                      <v:imagedata r:id="rId23" o:title=""/>
                      <o:lock v:ext="edit" rotation="t"/>
                    </v:shape>
                  </w:pict>
                </mc:Fallback>
              </mc:AlternateConten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99464" name=""/>
                              <pic:cNvPicPr>
                                <a:picLocks noChangeAspect="1"/>
                              </pic:cNvPicPr>
                              <pic:nvPr/>
                            </pic:nvPicPr>
                            <pic:blipFill rotWithShape="1">
                              <a:blip r:embed="rId24"/>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1.75pt;height:174.00pt;mso-wrap-distance-left:0.00pt;mso-wrap-distance-top:0.00pt;mso-wrap-distance-right:0.00pt;mso-wrap-distance-bottom:0.00pt;z-index:1;" stroked="false">
                      <v:imagedata r:id="rId24" o:title=""/>
                      <o:lock v:ext="edit" rotation="t"/>
                    </v:shape>
                  </w:pict>
                </mc:Fallback>
              </mc:AlternateConten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62281" name=""/>
                              <pic:cNvPicPr>
                                <a:picLocks noChangeAspect="1"/>
                              </pic:cNvPicPr>
                              <pic:nvPr/>
                            </pic:nvPicPr>
                            <pic:blipFill rotWithShape="1">
                              <a:blip r:embed="rId25"/>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1.75pt;height:174.00pt;mso-wrap-distance-left:0.00pt;mso-wrap-distance-top:0.00pt;mso-wrap-distance-right:0.00pt;mso-wrap-distance-bottom:0.00pt;z-index:1;" stroked="false">
                      <v:imagedata r:id="rId25" o:title=""/>
                      <o:lock v:ext="edit" rotation="t"/>
                    </v:shape>
                  </w:pict>
                </mc:Fallback>
              </mc:AlternateConten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624153" name=""/>
                              <pic:cNvPicPr>
                                <a:picLocks noChangeAspect="1"/>
                              </pic:cNvPicPr>
                              <pic:nvPr/>
                            </pic:nvPicPr>
                            <pic:blipFill rotWithShape="1">
                              <a:blip r:embed="rId26"/>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1.75pt;height:174.00pt;mso-wrap-distance-left:0.00pt;mso-wrap-distance-top:0.00pt;mso-wrap-distance-right:0.00pt;mso-wrap-distance-bottom:0.00pt;z-index:1;" stroked="false">
                      <v:imagedata r:id="rId26" o:title=""/>
                      <o:lock v:ext="edit" rotation="t"/>
                    </v:shape>
                  </w:pict>
                </mc:Fallback>
              </mc:AlternateConten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729702" name=""/>
                              <pic:cNvPicPr>
                                <a:picLocks noChangeAspect="1"/>
                              </pic:cNvPicPr>
                              <pic:nvPr/>
                            </pic:nvPicPr>
                            <pic:blipFill rotWithShape="1">
                              <a:blip r:embed="rId27"/>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1.75pt;height:174.00pt;mso-wrap-distance-left:0.00pt;mso-wrap-distance-top:0.00pt;mso-wrap-distance-right:0.00pt;mso-wrap-distance-bottom:0.00pt;z-index:1;" stroked="false">
                      <v:imagedata r:id="rId27" o:title=""/>
                      <o:lock v:ext="edit" rotation="t"/>
                    </v:shape>
                  </w:pict>
                </mc:Fallback>
              </mc:AlternateConten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754528" name=""/>
                              <pic:cNvPicPr>
                                <a:picLocks noChangeAspect="1"/>
                              </pic:cNvPicPr>
                              <pic:nvPr/>
                            </pic:nvPicPr>
                            <pic:blipFill rotWithShape="1">
                              <a:blip r:embed="rId28"/>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31.75pt;height:174.00pt;mso-wrap-distance-left:0.00pt;mso-wrap-distance-top:0.00pt;mso-wrap-distance-right:0.00pt;mso-wrap-distance-bottom:0.00pt;z-index:1;" stroked="false">
                      <v:imagedata r:id="rId28" o:title=""/>
                      <o:lock v:ext="edit" rotation="t"/>
                    </v:shape>
                  </w:pict>
                </mc:Fallback>
              </mc:AlternateConten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204236" name=""/>
                              <pic:cNvPicPr>
                                <a:picLocks noChangeAspect="1"/>
                              </pic:cNvPicPr>
                              <pic:nvPr/>
                            </pic:nvPicPr>
                            <pic:blipFill rotWithShape="1">
                              <a:blip r:embed="rId29"/>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31.75pt;height:174.00pt;mso-wrap-distance-left:0.00pt;mso-wrap-distance-top:0.00pt;mso-wrap-distance-right:0.00pt;mso-wrap-distance-bottom:0.00pt;z-index:1;" stroked="false">
                      <v:imagedata r:id="rId29" o:title=""/>
                      <o:lock v:ext="edit" rotation="t"/>
                    </v:shape>
                  </w:pict>
                </mc:Fallback>
              </mc:AlternateConten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1038225" cy="229552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374947" name=""/>
                              <pic:cNvPicPr>
                                <a:picLocks noChangeAspect="1"/>
                              </pic:cNvPicPr>
                              <pic:nvPr/>
                            </pic:nvPicPr>
                            <pic:blipFill rotWithShape="1">
                              <a:blip r:embed="rId30"/>
                              <a:stretch/>
                            </pic:blipFill>
                            <pic:spPr bwMode="auto">
                              <a:xfrm>
                                <a:off x="0" y="0"/>
                                <a:ext cx="1038224" cy="22955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81.75pt;height:180.75pt;mso-wrap-distance-left:0.00pt;mso-wrap-distance-top:0.00pt;mso-wrap-distance-right:0.00pt;mso-wrap-distance-bottom:0.00pt;z-index:1;" stroked="false">
                      <v:imagedata r:id="rId30"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z w:val="24"/>
        </w:rPr>
        <w:t xml:space="preserve">Phụ lục 2: Thông tin thu thập thị trường.</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i/>
          <w:color w:val="000000"/>
          <w:sz w:val="24"/>
        </w:rPr>
        <w:t xml:space="preserve">(Kèm theo Báo cáo thẩm định số 275/2026/0274/VFI-BC.27.A ngày 05 tháng 02 năm 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mc:AlternateContent>
          <mc:Choice Requires="wpg">
            <w:drawing>
              <wp:inline xmlns:wp="http://schemas.openxmlformats.org/drawingml/2006/wordprocessingDrawing" distT="0" distB="0" distL="0" distR="0">
                <wp:extent cx="6048375" cy="7294188"/>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727838" name=""/>
                        <pic:cNvPicPr>
                          <a:picLocks noChangeAspect="1"/>
                        </pic:cNvPicPr>
                        <pic:nvPr/>
                      </pic:nvPicPr>
                      <pic:blipFill rotWithShape="1">
                        <a:blip r:embed="rId31"/>
                        <a:stretch/>
                      </pic:blipFill>
                      <pic:spPr bwMode="auto">
                        <a:xfrm>
                          <a:off x="0" y="0"/>
                          <a:ext cx="6048374" cy="72941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574.35pt;mso-wrap-distance-left:0.00pt;mso-wrap-distance-top:0.00pt;mso-wrap-distance-right:0.00pt;mso-wrap-distance-bottom:0.00pt;z-index:1;" stroked="false">
                <v:imagedata r:id="rId31"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mc:AlternateContent>
          <mc:Choice Requires="wpg">
            <w:drawing>
              <wp:inline xmlns:wp="http://schemas.openxmlformats.org/drawingml/2006/wordprocessingDrawing" distT="0" distB="0" distL="0" distR="0">
                <wp:extent cx="5600700" cy="223837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064916" name=""/>
                        <pic:cNvPicPr>
                          <a:picLocks noChangeAspect="1"/>
                        </pic:cNvPicPr>
                        <pic:nvPr/>
                      </pic:nvPicPr>
                      <pic:blipFill rotWithShape="1">
                        <a:blip r:embed="rId32"/>
                        <a:stretch/>
                      </pic:blipFill>
                      <pic:spPr bwMode="auto">
                        <a:xfrm>
                          <a:off x="0" y="0"/>
                          <a:ext cx="5600699" cy="2238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41.00pt;height:176.25pt;mso-wrap-distance-left:0.00pt;mso-wrap-distance-top:0.00pt;mso-wrap-distance-right:0.00pt;mso-wrap-distance-bottom:0.00pt;z-index:1;" stroked="false">
                <v:imagedata r:id="rId32"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mc:AlternateContent>
          <mc:Choice Requires="wpg">
            <w:drawing>
              <wp:inline xmlns:wp="http://schemas.openxmlformats.org/drawingml/2006/wordprocessingDrawing" distT="0" distB="0" distL="0" distR="0">
                <wp:extent cx="5934075" cy="333375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608930" name=""/>
                        <pic:cNvPicPr>
                          <a:picLocks noChangeAspect="1"/>
                        </pic:cNvPicPr>
                        <pic:nvPr/>
                      </pic:nvPicPr>
                      <pic:blipFill rotWithShape="1">
                        <a:blip r:embed="rId33"/>
                        <a:stretch/>
                      </pic:blipFill>
                      <pic:spPr bwMode="auto">
                        <a:xfrm>
                          <a:off x="0" y="0"/>
                          <a:ext cx="5934074" cy="33337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67.25pt;height:262.50pt;mso-wrap-distance-left:0.00pt;mso-wrap-distance-top:0.00pt;mso-wrap-distance-right:0.00pt;mso-wrap-distance-bottom:0.00pt;z-index:1;" stroked="false">
                <v:imagedata r:id="rId33"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mc:AlternateContent>
          <mc:Choice Requires="wpg">
            <w:drawing>
              <wp:inline xmlns:wp="http://schemas.openxmlformats.org/drawingml/2006/wordprocessingDrawing" distT="0" distB="0" distL="0" distR="0">
                <wp:extent cx="2257425" cy="319087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009247" name=""/>
                        <pic:cNvPicPr>
                          <a:picLocks noChangeAspect="1"/>
                        </pic:cNvPicPr>
                        <pic:nvPr/>
                      </pic:nvPicPr>
                      <pic:blipFill rotWithShape="1">
                        <a:blip r:embed="rId34"/>
                        <a:stretch/>
                      </pic:blipFill>
                      <pic:spPr bwMode="auto">
                        <a:xfrm>
                          <a:off x="0" y="0"/>
                          <a:ext cx="2257425" cy="3190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77.75pt;height:251.25pt;mso-wrap-distance-left:0.00pt;mso-wrap-distance-top:0.00pt;mso-wrap-distance-right:0.00pt;mso-wrap-distance-bottom:0.00pt;z-index:1;" stroked="false">
                <v:imagedata r:id="rId34"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120" w:firstLine="0" w:left="120"/>
        <w:rPr/>
      </w:pPr>
      <w:r>
        <w:br w:type="page" w:clear="all"/>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mc:AlternateContent>
          <mc:Choice Requires="wpg">
            <w:drawing>
              <wp:inline xmlns:wp="http://schemas.openxmlformats.org/drawingml/2006/wordprocessingDrawing" distT="0" distB="0" distL="0" distR="0">
                <wp:extent cx="6048375" cy="701992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255279" name=""/>
                        <pic:cNvPicPr>
                          <a:picLocks noChangeAspect="1"/>
                        </pic:cNvPicPr>
                        <pic:nvPr/>
                      </pic:nvPicPr>
                      <pic:blipFill rotWithShape="1">
                        <a:blip r:embed="rId35"/>
                        <a:stretch/>
                      </pic:blipFill>
                      <pic:spPr bwMode="auto">
                        <a:xfrm>
                          <a:off x="0" y="0"/>
                          <a:ext cx="6048374" cy="7019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552.75pt;mso-wrap-distance-left:0.00pt;mso-wrap-distance-top:0.00pt;mso-wrap-distance-right:0.00pt;mso-wrap-distance-bottom:0.00pt;z-index:1;" stroked="false">
                <v:imagedata r:id="rId35"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mc:AlternateContent>
          <mc:Choice Requires="wpg">
            <w:drawing>
              <wp:inline xmlns:wp="http://schemas.openxmlformats.org/drawingml/2006/wordprocessingDrawing" distT="0" distB="0" distL="0" distR="0">
                <wp:extent cx="5534025" cy="2714625"/>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67167" name=""/>
                        <pic:cNvPicPr>
                          <a:picLocks noChangeAspect="1"/>
                        </pic:cNvPicPr>
                        <pic:nvPr/>
                      </pic:nvPicPr>
                      <pic:blipFill rotWithShape="1">
                        <a:blip r:embed="rId36"/>
                        <a:stretch/>
                      </pic:blipFill>
                      <pic:spPr bwMode="auto">
                        <a:xfrm>
                          <a:off x="0" y="0"/>
                          <a:ext cx="5534024" cy="27146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35.75pt;height:213.75pt;mso-wrap-distance-left:0.00pt;mso-wrap-distance-top:0.00pt;mso-wrap-distance-right:0.00pt;mso-wrap-distance-bottom:0.00pt;z-index:1;" stroked="false">
                <v:imagedata r:id="rId36"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mc:AlternateContent>
          <mc:Choice Requires="wpg">
            <w:drawing>
              <wp:inline xmlns:wp="http://schemas.openxmlformats.org/drawingml/2006/wordprocessingDrawing" distT="0" distB="0" distL="0" distR="0">
                <wp:extent cx="4238625" cy="32385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536221" name=""/>
                        <pic:cNvPicPr>
                          <a:picLocks noChangeAspect="1"/>
                        </pic:cNvPicPr>
                        <pic:nvPr/>
                      </pic:nvPicPr>
                      <pic:blipFill rotWithShape="1">
                        <a:blip r:embed="rId37"/>
                        <a:stretch/>
                      </pic:blipFill>
                      <pic:spPr bwMode="auto">
                        <a:xfrm>
                          <a:off x="0" y="0"/>
                          <a:ext cx="4238624" cy="3238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33.75pt;height:255.00pt;mso-wrap-distance-left:0.00pt;mso-wrap-distance-top:0.00pt;mso-wrap-distance-right:0.00pt;mso-wrap-distance-bottom:0.00pt;z-index:1;" stroked="false">
                <v:imagedata r:id="rId37"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mc:AlternateContent>
          <mc:Choice Requires="wpg">
            <w:drawing>
              <wp:inline xmlns:wp="http://schemas.openxmlformats.org/drawingml/2006/wordprocessingDrawing" distT="0" distB="0" distL="0" distR="0">
                <wp:extent cx="4000500" cy="3028950"/>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578832" name=""/>
                        <pic:cNvPicPr>
                          <a:picLocks noChangeAspect="1"/>
                        </pic:cNvPicPr>
                        <pic:nvPr/>
                      </pic:nvPicPr>
                      <pic:blipFill rotWithShape="1">
                        <a:blip r:embed="rId38"/>
                        <a:stretch/>
                      </pic:blipFill>
                      <pic:spPr bwMode="auto">
                        <a:xfrm>
                          <a:off x="0" y="0"/>
                          <a:ext cx="4000500" cy="30289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315.00pt;height:238.50pt;mso-wrap-distance-left:0.00pt;mso-wrap-distance-top:0.00pt;mso-wrap-distance-right:0.00pt;mso-wrap-distance-bottom:0.00pt;z-index:1;" stroked="false">
                <v:imagedata r:id="rId38"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mc:AlternateContent>
          <mc:Choice Requires="wpg">
            <w:drawing>
              <wp:inline xmlns:wp="http://schemas.openxmlformats.org/drawingml/2006/wordprocessingDrawing" distT="0" distB="0" distL="0" distR="0">
                <wp:extent cx="6048375" cy="772477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606410" name=""/>
                        <pic:cNvPicPr>
                          <a:picLocks noChangeAspect="1"/>
                        </pic:cNvPicPr>
                        <pic:nvPr/>
                      </pic:nvPicPr>
                      <pic:blipFill rotWithShape="1">
                        <a:blip r:embed="rId39"/>
                        <a:stretch/>
                      </pic:blipFill>
                      <pic:spPr bwMode="auto">
                        <a:xfrm>
                          <a:off x="0" y="0"/>
                          <a:ext cx="6048374" cy="77247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76.25pt;height:608.25pt;mso-wrap-distance-left:0.00pt;mso-wrap-distance-top:0.00pt;mso-wrap-distance-right:0.00pt;mso-wrap-distance-bottom:0.00pt;z-index:1;" stroked="false">
                <v:imagedata r:id="rId39" o:title=""/>
                <o:lock v:ext="edit" rotation="t"/>
              </v:shape>
            </w:pict>
          </mc:Fallback>
        </mc:AlternateContent>
      </w:r>
      <w:r/>
    </w:p>
    <w:p>
      <w:pPr>
        <w:pBdr/>
        <w:spacing w:after="200" w:line="276" w:lineRule="auto"/>
        <w:ind/>
        <w:rPr>
          <w:iCs/>
          <w:lang w:val="pt-BR"/>
        </w:rPr>
      </w:pPr>
      <w:r>
        <mc:AlternateContent>
          <mc:Choice Requires="wpg">
            <w:drawing>
              <wp:inline xmlns:wp="http://schemas.openxmlformats.org/drawingml/2006/wordprocessingDrawing" distT="0" distB="0" distL="0" distR="0">
                <wp:extent cx="5905500" cy="6067425"/>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574170" name=""/>
                        <pic:cNvPicPr>
                          <a:picLocks noChangeAspect="1"/>
                        </pic:cNvPicPr>
                        <pic:nvPr/>
                      </pic:nvPicPr>
                      <pic:blipFill rotWithShape="1">
                        <a:blip r:embed="rId40"/>
                        <a:stretch/>
                      </pic:blipFill>
                      <pic:spPr bwMode="auto">
                        <a:xfrm>
                          <a:off x="0" y="0"/>
                          <a:ext cx="5905499" cy="60674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65.00pt;height:477.75pt;mso-wrap-distance-left:0.00pt;mso-wrap-distance-top:0.00pt;mso-wrap-distance-right:0.00pt;mso-wrap-distance-bottom:0.00pt;z-index:1;" stroked="false">
                <v:imagedata r:id="rId40" o:title=""/>
                <o:lock v:ext="edit" rotation="t"/>
              </v:shape>
            </w:pict>
          </mc:Fallback>
        </mc:AlternateConten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BD008A9"/>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53AAC3B7"/>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28F2D85E"/>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gif"/><Relationship Id="rId18" Type="http://schemas.openxmlformats.org/officeDocument/2006/relationships/image" Target="media/image4.gif"/><Relationship Id="rId19" Type="http://schemas.openxmlformats.org/officeDocument/2006/relationships/image" Target="media/image5.gif"/><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gif"/><Relationship Id="rId32" Type="http://schemas.openxmlformats.org/officeDocument/2006/relationships/image" Target="media/image18.gif"/><Relationship Id="rId33" Type="http://schemas.openxmlformats.org/officeDocument/2006/relationships/image" Target="media/image19.gif"/><Relationship Id="rId34" Type="http://schemas.openxmlformats.org/officeDocument/2006/relationships/image" Target="media/image20.gif"/><Relationship Id="rId35" Type="http://schemas.openxmlformats.org/officeDocument/2006/relationships/image" Target="media/image21.gif"/><Relationship Id="rId36" Type="http://schemas.openxmlformats.org/officeDocument/2006/relationships/image" Target="media/image22.gif"/><Relationship Id="rId37" Type="http://schemas.openxmlformats.org/officeDocument/2006/relationships/image" Target="media/image23.gif"/><Relationship Id="rId38" Type="http://schemas.openxmlformats.org/officeDocument/2006/relationships/image" Target="media/image24.gif"/><Relationship Id="rId39" Type="http://schemas.openxmlformats.org/officeDocument/2006/relationships/image" Target="media/image25.gif"/><Relationship Id="rId40" Type="http://schemas.openxmlformats.org/officeDocument/2006/relationships/image" Target="media/image26.gif"/></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Dung</cp:lastModifiedBy>
  <cp:revision>273</cp:revision>
  <dcterms:created xsi:type="dcterms:W3CDTF">2025-09-15T09:58:00Z</dcterms:created>
  <dcterms:modified xsi:type="dcterms:W3CDTF">2026-02-06T04:19:07Z</dcterms:modified>
</cp:coreProperties>
</file>