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63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635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275/2026/0278/VFI-CT.24.A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Mẫn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76, tờ bản đồ số 26 có địa chỉ tại: Tổ 42, phường Mỹ An, quận Ngũ Hành Sơn, Thành phố Đà Nẵng </w:t>
                            </w:r>
                            <w:r>
                              <w:rPr>
                                <w:i/>
                                <w:iCs/>
                                <w:color w:val="000000"/>
                              </w:rPr>
                              <w:t xml:space="preserve">(Nay là phường Ngũ Hành </w:t>
                            </w:r>
                            <w:r>
                              <w:rPr>
                                <w:i/>
                                <w:iCs/>
                                <w:color w:val="000000"/>
                              </w:rPr>
                              <w:t xml:space="preserve">Sơn, thành phố Đà Nẵng)</w:t>
                            </w:r>
                            <w:r>
                              <w:rPr>
                                <w:color w:val="000000"/>
                              </w:rPr>
                              <w:t xml:space="preserve"> theo Giấy chứng nhận quyền sử dụng đất quyền sở hữu nhà ở và tài sản khác gắn liền với đất số BE799654 số vào sổ cấp GCN CH01639 do UBDN quận Ngũ Hành Sơn cấp ngày 06/5/2011 cấp cho chủ sử dụng đất ông Phạm Mẫn và bà Trương Thị Liên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0.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275/2026/0278/VFI-CT.24.A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Mẫn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76, tờ bản đồ số 26 có địa chỉ tại: Tổ 42, phường Mỹ An, quận Ngũ Hành Sơn, Thành phố Đà Nẵng </w:t>
                      </w:r>
                      <w:r>
                        <w:rPr>
                          <w:i/>
                          <w:iCs/>
                          <w:color w:val="000000"/>
                        </w:rPr>
                        <w:t xml:space="preserve">(Nay là phường Ngũ Hành </w:t>
                      </w:r>
                      <w:r>
                        <w:rPr>
                          <w:i/>
                          <w:iCs/>
                          <w:color w:val="000000"/>
                        </w:rPr>
                        <w:t xml:space="preserve">Sơn, thành phố Đà Nẵng)</w:t>
                      </w:r>
                      <w:r>
                        <w:rPr>
                          <w:color w:val="000000"/>
                        </w:rPr>
                        <w:t xml:space="preserve"> theo Giấy chứng nhận quyền sử dụng đất quyền sở hữu nhà ở và tài sản khác gắn liền với đất số BE799654 số vào sổ cấp GCN CH01639 do UBDN quận Ngũ Hành Sơn cấp ngày 06/5/2011 cấp cho chủ sử dụng đất ông Phạm Mẫn và bà Trương Thị Liên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29"/>
        <w:gridCol w:w="1559"/>
        <w:gridCol w:w="1984"/>
        <w:gridCol w:w="10842"/>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128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275/2026/0278/VFI-CT.24.A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842" w:type="dxa"/>
            <w:textDirection w:val="lrTb"/>
            <w:noWrap w:val="false"/>
          </w:tcPr>
          <w:p>
            <w:pPr>
              <w:pStyle w:val="1025"/>
              <w:pBdr/>
              <w:spacing w:after="60"/>
              <w:ind w:right="-56"/>
              <w:jc w:val="left"/>
              <w:rPr>
                <w:color w:val="000000" w:themeColor="text1"/>
                <w:sz w:val="24"/>
                <w:szCs w:val="24"/>
                <w:lang w:val="vi-VN"/>
              </w:rPr>
            </w:pPr>
            <w:r>
              <w:rPr>
                <w:rStyle w:val="1024"/>
                <w:rFonts w:ascii="Times New Roman" w:hAnsi="Times New Roman"/>
                <w:i/>
                <w:color w:val="auto"/>
              </w:rPr>
              <w:t xml:space="preserve">                                      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05 tháng 02 năm 2026</w:t>
            </w:r>
            <w:r>
              <w:rPr>
                <w:color w:val="000000" w:themeColor="text1"/>
                <w:sz w:val="24"/>
                <w:szCs w:val="24"/>
                <w:lang w:val="vi-VN"/>
              </w:rPr>
            </w:r>
            <w:r>
              <w:rPr>
                <w:color w:val="000000" w:themeColor="text1"/>
                <w:sz w:val="24"/>
                <w:szCs w:val="24"/>
                <w:lang w:val="vi-VN"/>
              </w:rPr>
            </w:r>
          </w:p>
        </w:tc>
      </w:tr>
    </w:tbl>
    <w:p>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Mẫn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275/2026/0265/VFI-HĐTĐ.24.A</w:t>
      </w:r>
      <w:r>
        <w:rPr>
          <w:spacing w:val="-4"/>
          <w:lang w:val="vi-VN"/>
        </w:rPr>
        <w:t xml:space="preserve"> ký ngày 0</w:t>
      </w:r>
      <w:r>
        <w:rPr>
          <w:color w:val="000000" w:themeColor="text1"/>
          <w:spacing w:val="-4"/>
        </w:rPr>
        <w:t xml:space="preserve">3 tháng 02 năm 2026</w:t>
      </w:r>
      <w:r>
        <w:rPr>
          <w:spacing w:val="-4"/>
          <w:lang w:val="vi-VN"/>
        </w:rPr>
        <w:t xml:space="preserve"> </w:t>
      </w:r>
      <w:r>
        <w:rPr>
          <w:spacing w:val="-4"/>
          <w:lang w:val="vi-VN"/>
        </w:rPr>
        <w:t xml:space="preserve">giữa </w:t>
      </w:r>
      <w:r>
        <w:rPr>
          <w:color w:val="000000" w:themeColor="text1"/>
          <w:spacing w:val="-4"/>
        </w:rPr>
        <w:t xml:space="preserve">Ông Phạm Mẫn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275/2026/0278/VFI-BC.24.A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5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Ông Phạm Mẫn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042083014342</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Tổ 20, An Hải Đông, Sơn Trà, Đà Nẵng</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ayout w:type="fixed"/>
        <w:tblLook w:val="04A0" w:firstRow="1" w:lastRow="0" w:firstColumn="1" w:lastColumn="0" w:noHBand="0" w:noVBand="1"/>
      </w:tblPr>
      <w:tblGrid>
        <w:gridCol w:w="2046"/>
        <w:gridCol w:w="512"/>
        <w:gridCol w:w="7115"/>
      </w:tblGrid>
      <w:tr>
        <w:trPr>
          <w:trHeight w:val="20"/>
        </w:trPr>
        <w:tc>
          <w:tcPr>
            <w:tcBorders/>
            <w:tcW w:w="2046"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512"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512"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512"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512"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512"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512"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512"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512"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76, tờ bản đồ số 26 có địa chỉ tại: Tổ 42, phường Mỹ An, quận Ngũ Hành Sơn, Thành phố Đà Nẵng (</w:t>
      </w:r>
      <w:r>
        <w:rPr>
          <w:i/>
          <w:iCs/>
          <w:color w:val="000000" w:themeColor="text1"/>
        </w:rPr>
        <w:t xml:space="preserve">Nay là phường Ngũ Hành </w:t>
      </w:r>
      <w:r>
        <w:rPr>
          <w:i/>
          <w:iCs/>
          <w:color w:val="000000" w:themeColor="text1"/>
        </w:rPr>
        <w:t xml:space="preserve">Sơn, thành phố Đà Nẵng)</w:t>
      </w:r>
      <w:r>
        <w:rPr>
          <w:color w:val="000000" w:themeColor="text1"/>
        </w:rPr>
        <w:t xml:space="preserve"> theo Giấy chứng nhận quyền sử dụng đất quyền sở hữu nhà ở và tài sản khác gắn liền với đất số BE799654 số vào sổ cấp GCN CH01639 do UBDN quận Ngũ Hành Sơn cấp ngày 06/5/2011 cấp cho chủ sử dụng đất ông Phạm Mẫn và bà Trương Thị Liên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76, tờ bản đồ số 26 có địa chỉ tại: Tổ 42, phường Mỹ An, quận Ngũ Hành Sơn, Thành phố Đà Nẵng </w:t>
            </w:r>
            <w:r>
              <w:rPr>
                <w:b/>
                <w:bCs/>
                <w:i/>
                <w:iCs/>
                <w:color w:val="000000"/>
              </w:rPr>
              <w:t xml:space="preserve">(Nay là phường Ngũ Hành </w:t>
            </w:r>
            <w:r>
              <w:rPr>
                <w:b/>
                <w:bCs/>
                <w:i/>
                <w:iCs/>
                <w:color w:val="000000"/>
              </w:rPr>
              <w:t xml:space="preserve">Sơn, thành phố Đà Nẵng)</w:t>
            </w:r>
            <w:r>
              <w:rPr>
                <w:b/>
                <w:bCs/>
                <w:color w:val="000000"/>
              </w:rPr>
              <w:t xml:space="preserve"> theo Giấy chứng nhận quyền sử dụng đất quyền sở hữu nhà ở và tài sản khác gắn liền với đất số BE799654 số vào sổ cấp GCN CH01639 do UBDN quận Ngũ Hành Sơn cấp ngày 06/5/2011 cấp cho chủ sử dụng đất ông Phạm Mẫn và bà Trương Thị Liên</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214,5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95.500.000</w:t>
            </w:r>
            <w:r/>
          </w:p>
        </w:tc>
        <w:tc>
          <w:tcPr>
            <w:shd w:val="clear" w:color="000000" w:fill="ffffff"/>
            <w:tcBorders/>
            <w:tcW w:w="1136" w:type="pct"/>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20.484.750.000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20.4</w:t>
            </w:r>
            <w:r>
              <w:rPr>
                <w:rFonts w:ascii="Times New Roman" w:hAnsi="Times New Roman" w:eastAsia="Times New Roman" w:cs="Times New Roman"/>
                <w:color w:val="000000"/>
                <w:sz w:val="24"/>
                <w:szCs w:val="24"/>
              </w:rPr>
              <w:t xml:space="preserve">8</w:t>
            </w:r>
            <w:r>
              <w:rPr>
                <w:rFonts w:ascii="Times New Roman" w:hAnsi="Times New Roman" w:eastAsia="Times New Roman" w:cs="Times New Roman"/>
                <w:color w:val="000000"/>
                <w:sz w:val="24"/>
              </w:rPr>
              <w:t xml:space="preserve">4.750.000</w:t>
            </w:r>
            <w:r>
              <w:rPr>
                <w:b/>
                <w:bCs/>
                <w:color w:val="000000"/>
              </w:rPr>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right"/>
              <w:rPr>
                <w:b/>
                <w:bCs/>
                <w:color w:val="000000"/>
              </w:rPr>
            </w:pPr>
            <w:r>
              <w:rPr>
                <w:b/>
                <w:bCs/>
                <w:color w:val="000000"/>
              </w:rPr>
              <w:t xml:space="preserve">20.485.000.000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tỷ, bốn trăm tám mươi lăm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29"/>
        <w:gridCol w:w="1701"/>
        <w:gridCol w:w="1984"/>
        <w:gridCol w:w="10700"/>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685"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275/2026/0278/VFI-CT.24.A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700" w:type="dxa"/>
            <w:textDirection w:val="lrTb"/>
            <w:noWrap w:val="false"/>
          </w:tcPr>
          <w:p>
            <w:pPr>
              <w:pStyle w:val="1025"/>
              <w:pBdr/>
              <w:spacing w:after="60"/>
              <w:ind w:right="-56"/>
              <w:jc w:val="left"/>
              <w:rPr>
                <w:color w:val="000000" w:themeColor="text1"/>
                <w:sz w:val="24"/>
                <w:szCs w:val="24"/>
                <w:lang w:val="vi-VN"/>
              </w:rPr>
            </w:pPr>
            <w:r>
              <w:rPr>
                <w:rStyle w:val="1024"/>
                <w:rFonts w:ascii="Times New Roman" w:hAnsi="Times New Roman"/>
                <w:i/>
                <w:color w:val="auto"/>
              </w:rPr>
              <w:t xml:space="preserve">                                       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05 tháng 2 năm 2026</w:t>
            </w:r>
            <w:r>
              <w:rPr>
                <w:color w:val="000000" w:themeColor="text1"/>
                <w:sz w:val="24"/>
                <w:szCs w:val="24"/>
                <w:lang w:val="vi-VN"/>
              </w:rPr>
            </w:r>
            <w:r>
              <w:rPr>
                <w:color w:val="000000" w:themeColor="text1"/>
                <w:sz w:val="24"/>
                <w:szCs w:val="24"/>
                <w:lang w:val="vi-VN"/>
              </w:rPr>
            </w:r>
          </w:p>
        </w:tc>
      </w:tr>
    </w:tbl>
    <w:p>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275/2026/0278/VFI-CT.24.A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05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Ông Phạm Mẫn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042083014342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Tổ 20, An Hải Đông, Sơn Trà, Đà Nẵng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76, tờ bản đồ số 26 có địa chỉ tại: Tổ 42, phường Mỹ An, quận Ngũ Hành Sơn, Thành phố Đà Nẵng</w:t>
            </w:r>
            <w:r>
              <w:rPr>
                <w:bCs/>
                <w:i/>
                <w:iCs/>
                <w:color w:val="000000" w:themeColor="text1"/>
                <w:lang w:val="pt-BR"/>
              </w:rPr>
              <w:t xml:space="preserve"> (Nay là phường Ngũ Hành </w:t>
            </w:r>
            <w:r>
              <w:rPr>
                <w:bCs/>
                <w:i/>
                <w:iCs/>
                <w:color w:val="000000" w:themeColor="text1"/>
                <w:lang w:val="pt-BR"/>
              </w:rPr>
              <w:t xml:space="preserve">Sơn, thành phố Đà Nẵng)</w:t>
            </w:r>
            <w:r>
              <w:rPr>
                <w:bCs/>
                <w:color w:val="000000" w:themeColor="text1"/>
                <w:lang w:val="pt-BR"/>
              </w:rPr>
              <w:t xml:space="preserve"> theo Giấy chứng nhận quyền sử dụng đất quyền sở hữu nhà ở và tài sản khác gắn liền với đất số BE799654 số vào sổ cấp GCN CH01639 do UBDN quận Ngũ Hành Sơn cấp ngày 06/5/2011 cấp cho chủ sử dụng đất ông Phạm Mẫn và bà Trương Thị Liên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Ngũ Hành Sơn,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16.0476897, 108.2466488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w:t>
      </w:r>
      <w:r>
        <w:rPr>
          <w:bCs/>
          <w:color w:val="000000" w:themeColor="text1"/>
          <w:lang w:val="pt-BR"/>
        </w:rPr>
        <w:t xml:space="preserve"> đất số BE799654 số vào sổ cấp GCN CH01639 tại thửa đất số 76, tờ bản đồ số 26 có địa chỉ tại: Tổ 42, phường Mỹ An, quận Ngũ Hành Sơn, Thành phố Đà Nẵng do UBDN quận Ngũ Hành Sơn cấp ngày 06/5/2011 cấp cho chủ sử dụng đất ông Phạm Mẫn và bà Trương Thị Liên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thẩm định giá số 275/2026/0265/VFI-HĐTĐ.24.A ngày 03/02/2026 giữa Ông Phạm Mẫn với Công ty Cổ phần Thẩm định và Đầu tư Tài chính Hoa Sen.</w:t>
      </w:r>
      <w:r>
        <w:rPr>
          <w:b/>
          <w:lang w:val="pt-BR"/>
        </w:rPr>
      </w:r>
      <w:r>
        <w:rPr>
          <w:b/>
          <w:lang w:val="pt-BR"/>
        </w:rPr>
      </w:r>
    </w:p>
    <w:p>
      <w:pPr>
        <w:pStyle w:val="102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i/>
          <w:iCs/>
          <w:lang w:val="pt-BR"/>
        </w:rPr>
      </w:r>
      <w:r>
        <w:rPr>
          <w:rFonts w:ascii="Times New Roman" w:hAnsi="Times New Roman" w:eastAsia="Times New Roman" w:cs="Times New Roman"/>
          <w:color w:val="000000"/>
          <w:sz w:val="24"/>
        </w:rPr>
        <w:t xml:space="preserve">Ngày 1/7/2025, Đà Nẵng chính thức vận hành mô hình thành phố mở rộng không chỉ là sát nhập hành chính, mà mở ra chu kỳ phát triển mới toàn diện về hạ tầng, kinh tế, du lịch, đầu tư. Các trung tâm tài chính quốc tế, khu thương mại tự do, hệ thống logistics </w:t>
      </w:r>
      <w:r>
        <w:rPr>
          <w:rFonts w:ascii="Times New Roman" w:hAnsi="Times New Roman" w:eastAsia="Times New Roman" w:cs="Times New Roman"/>
          <w:color w:val="000000"/>
          <w:sz w:val="24"/>
        </w:rPr>
        <w:t xml:space="preserve">– sản xuất – công nghệ sẽ đổ về, tạo sức hút đặc biệt cho khu vực liên kết vùng năng động nhất miền Trung này.</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Lịch sử cho thấy, sau các cột mốc mở rộng địa giới như Hà Tây sáp nhập vào Hà Nội (2008), giá trị bất động sản tại khu vực “biên” đã tăng từ 2,4 đến hơn 10 lần trong vòng 10 năm. Nay, giới đầu tư kỳ vọng kịch bản tương tự sẽ lặp lại với Đà Nẵng – Hội An, đ</w:t>
      </w:r>
      <w:r>
        <w:rPr>
          <w:rFonts w:ascii="Times New Roman" w:hAnsi="Times New Roman" w:eastAsia="Times New Roman" w:cs="Times New Roman"/>
          <w:color w:val="000000"/>
          <w:sz w:val="24"/>
        </w:rPr>
        <w:t xml:space="preserve">ặc biệt khi khu vực này đang dần định hình vai trò cực tăng trưởng mới mang tầm khu vực.</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Tuy nhiên, không phải sản phẩm nào cũng có thể “đón sóng” thành công. Chỉ những dự án sở hữu tọa độ kết nối chiến lược, vừa có quy hoạch, thiết kế khai thác tối ưu, vừa đáp ứng nhu cầu sống chất lượng cao đồng thời giải bài toán khai thác dòng tiền tốt mới</w:t>
      </w:r>
      <w:r>
        <w:rPr>
          <w:rFonts w:ascii="Times New Roman" w:hAnsi="Times New Roman" w:eastAsia="Times New Roman" w:cs="Times New Roman"/>
          <w:color w:val="000000"/>
          <w:sz w:val="24"/>
        </w:rPr>
        <w:t xml:space="preserve"> có thể trụ vững và sinh lời bền vững trong giai đoạn thanh lọc mạnh mẽ hiện nay. Đây chính xác là đích ngắm của những nhà đầu tư lão luyện.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Giá đất tại khu vực Võ Chí Công – Hội An hiện vẫn đang ở mức thấp hơn trung tâm Đà Nẵng. Tuy nhiên, với bảng giá đất sau sáp nhập được dự báo sẽ tăng gấp 2-3 lần, đây là giai đoạn vàng để “lên tàu”. Khi mặt bằng giá mới thiết lập, chi phí đầu vào cho các d</w:t>
      </w:r>
      <w:r>
        <w:rPr>
          <w:rFonts w:ascii="Times New Roman" w:hAnsi="Times New Roman" w:eastAsia="Times New Roman" w:cs="Times New Roman"/>
          <w:color w:val="000000"/>
          <w:sz w:val="24"/>
        </w:rPr>
        <w:t xml:space="preserve">ự án tương lai sẽ bị đội lên đáng kể – mở ra dư địa tăng giá hấp dẫn cho các nhà đầu tư đi trước.</w:t>
      </w:r>
      <w:r/>
    </w:p>
    <w:p>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tab/>
        <w:t xml:space="preserve">Nguồn:</w:t>
      </w:r>
      <w:r>
        <w:rPr>
          <w:rFonts w:ascii="Times New Roman" w:hAnsi="Times New Roman" w:eastAsia="Times New Roman" w:cs="Times New Roman"/>
          <w:i/>
          <w:color w:val="000000"/>
          <w:sz w:val="24"/>
        </w:rPr>
        <w:t xml:space="preserve">(</w:t>
      </w:r>
      <w:hyperlink r:id="rId17" w:tooltip="https://thanhtra.com.vn/thong-tin-doanh-nghiep-49F64E63D/sau-sap-nhap-bat-" w:history="1">
        <w:r>
          <w:rPr>
            <w:rStyle w:val="1016"/>
            <w:rFonts w:ascii="Times New Roman" w:hAnsi="Times New Roman" w:eastAsia="Times New Roman" w:cs="Times New Roman"/>
            <w:i/>
            <w:color w:val="000000"/>
            <w:sz w:val="24"/>
            <w:u w:val="single"/>
          </w:rPr>
          <w:t xml:space="preserve">https://thanhtra.com.vn/thong-tin-doanh-nghiep-49F64E63D/sau-sap-nhap-bat-</w:t>
        </w:r>
      </w:hyperlink>
      <w:r>
        <w:rPr>
          <w:rFonts w:ascii="Times New Roman" w:hAnsi="Times New Roman" w:eastAsia="Times New Roman" w:cs="Times New Roman"/>
          <w:i/>
          <w:color w:val="000000"/>
          <w:sz w:val="24"/>
        </w:rPr>
        <w:tab/>
        <w:t xml:space="preserve">dong-san-da-nang-hoi-an-buoc-vao-chu-ky-vang-5ae86dafa.html)</w:t>
      </w:r>
      <w:r>
        <w:rPr>
          <w:i/>
          <w:iCs/>
          <w:lang w:val="pt-BR"/>
        </w:rPr>
      </w:r>
      <w:r>
        <w:rPr>
          <w:bCs/>
          <w:i/>
          <w:lang w:val="pt-BR"/>
        </w:rPr>
      </w:r>
    </w:p>
    <w:p>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76, tờ bản đồ số 26 có địa chỉ tại: Tổ 42, phường Mỹ An, quận Ngũ Hành Sơn, Thành phố Đà Nẵng </w:t>
            </w:r>
            <w:r>
              <w:rPr>
                <w:b/>
                <w:bCs/>
                <w:i/>
                <w:iCs/>
                <w:color w:val="000000"/>
              </w:rPr>
              <w:t xml:space="preserve">(Nay là phường Ngũ Hành </w:t>
            </w:r>
            <w:r>
              <w:rPr>
                <w:b/>
                <w:bCs/>
                <w:i/>
                <w:iCs/>
                <w:color w:val="000000"/>
              </w:rPr>
              <w:t xml:space="preserve">Sơn, thành phố Đà Nẵng) </w:t>
            </w:r>
            <w:r>
              <w:rPr>
                <w:b/>
                <w:bCs/>
                <w:color w:val="000000"/>
              </w:rPr>
              <w:t xml:space="preserve">theo Giấy chứng nhận quyền sử dụng đất quyền sở hữu nhà ở và tài sản khác gắn liền với đất số BE799654 số vào sổ cấp GCN CH01639 do UBDN quận Ngũ Hành Sơn cấp ngày 06/5/2011 cấp cho chủ sử dụng đất ông Phạm Mẫn và bà Trương Thị Liên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Tổ 42, Phường Mỹ An, Quận Ngũ Hành Sơn, Thành Phố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214,5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none"/>
              </w:rPr>
            </w:pPr>
            <w:r>
              <w:rPr>
                <w:color w:val="000000"/>
              </w:rPr>
              <w:t xml:space="preserve">riêng: 214.5 m2</w:t>
            </w:r>
            <w:r>
              <w:rPr>
                <w:color w:val="000000"/>
              </w:rPr>
            </w:r>
            <w:r>
              <w:rPr>
                <w:color w:val="000000"/>
                <w:highlight w:val="none"/>
              </w:rPr>
            </w:r>
          </w:p>
          <w:p>
            <w:pPr>
              <w:pBdr/>
              <w:spacing/>
              <w:ind/>
              <w:jc w:val="center"/>
              <w:rPr>
                <w:color w:val="000000"/>
              </w:rPr>
            </w:pPr>
            <w:r>
              <w:rPr>
                <w:color w:val="000000"/>
                <w:highlight w:val="none"/>
              </w:rPr>
              <w:t xml:space="preserve">chung: Không</w:t>
            </w:r>
            <w:r>
              <w:rPr>
                <w:color w:val="000000"/>
                <w:highlight w:val="none"/>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4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QSDĐ nhưng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tổ thẩm định chưa thu thập được thông tin quy hoạch của tài sản.</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Bà Huyện Thanh Quan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đường Bà Huyện Thanh Quan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Đông Nam giáp đường Bà Huyện Thanh Quan</w:t>
            </w:r>
            <w:r>
              <w:rPr>
                <w:color w:val="000000" w:themeColor="text1"/>
              </w:rPr>
            </w:r>
            <w:r>
              <w:rPr>
                <w:highlight w:val="none"/>
              </w:rPr>
            </w:r>
          </w:p>
          <w:p>
            <w:pPr>
              <w:pBdr/>
              <w:spacing/>
              <w:ind/>
              <w:rPr>
                <w:color w:val="000000" w:themeColor="text1"/>
              </w:rPr>
            </w:pPr>
            <w:r>
              <w:rPr>
                <w:highlight w:val="none"/>
              </w:rPr>
              <w:t xml:space="preserve">Các hướng còn lại tiếp giáp BĐS liền kề</w:t>
            </w:r>
            <w:r>
              <w:rPr>
                <w:highlight w:val="none"/>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16.0476897</w:t>
            </w:r>
            <w:r>
              <w:rPr>
                <w:color w:val="000000"/>
              </w:rPr>
              <w:t xml:space="preserve">, </w:t>
            </w:r>
            <w:r>
              <w:rPr>
                <w:color w:val="000000"/>
              </w:rPr>
              <w:t xml:space="preserve">108.2466488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361645" cy="275536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361644" cy="27553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18pt;height:216.96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214,5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5,8</w:t>
            </w:r>
            <w:r>
              <w:rPr>
                <w:color w:val="000000"/>
              </w:rPr>
            </w:r>
            <w:r>
              <w:rPr>
                <w:color w:val="000000"/>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khảo sát là 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Tổ 42, Phường Mỹ An, Quận Ngũ Hành Sơn, Thành Phố Đà Nẵng ✔</w:t>
            </w:r>
            <w:r/>
          </w:p>
        </w:tc>
        <w:tc>
          <w:tcPr>
            <w:tcBorders/>
            <w:tcW w:w="1605" w:type="dxa"/>
            <w:vAlign w:val="center"/>
            <w:textDirection w:val="lrTb"/>
            <w:noWrap w:val="false"/>
          </w:tcPr>
          <w:p>
            <w:pPr>
              <w:pBdr/>
              <w:spacing/>
              <w:ind/>
              <w:jc w:val="center"/>
              <w:rPr/>
            </w:pPr>
            <w:r>
              <w:t xml:space="preserve">Tổ 42, Phường Mỹ An, Quận Ngũ Hành Sơn, Thành Phố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Mỹ An, Quận Ngũ Hành Sơn, Thành phố Đà Nẵng</w:t>
            </w:r>
            <w:r/>
          </w:p>
        </w:tc>
        <w:tc>
          <w:tcPr>
            <w:tcBorders/>
            <w:tcW w:w="1605" w:type="dxa"/>
            <w:vAlign w:val="center"/>
            <w:textDirection w:val="lrTb"/>
            <w:noWrap w:val="false"/>
          </w:tcPr>
          <w:p>
            <w:pPr>
              <w:pBdr/>
              <w:spacing/>
              <w:ind/>
              <w:jc w:val="center"/>
              <w:rPr/>
            </w:pPr>
            <w:r>
              <w:t xml:space="preserve">Phường Ngũ Hành Sơn, Thành phố Đà Nẵng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sáp nhập</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214,5</w:t>
            </w:r>
            <w:r/>
          </w:p>
        </w:tc>
        <w:tc>
          <w:tcPr>
            <w:tcBorders/>
            <w:tcW w:w="1605" w:type="dxa"/>
            <w:vAlign w:val="center"/>
            <w:textDirection w:val="lrTb"/>
            <w:noWrap w:val="false"/>
          </w:tcPr>
          <w:p>
            <w:pPr>
              <w:pBdr/>
              <w:spacing/>
              <w:ind/>
              <w:jc w:val="center"/>
              <w:rPr/>
            </w:pPr>
            <w:r>
              <w:t xml:space="preserve">214,5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5,8</w:t>
            </w:r>
            <w:r/>
          </w:p>
        </w:tc>
        <w:tc>
          <w:tcPr>
            <w:tcBorders/>
            <w:tcW w:w="1605" w:type="dxa"/>
            <w:vAlign w:val="center"/>
            <w:textDirection w:val="lrTb"/>
            <w:noWrap w:val="false"/>
          </w:tcPr>
          <w:p>
            <w:pPr>
              <w:pBdr/>
              <w:spacing/>
              <w:ind/>
              <w:jc w:val="center"/>
              <w:rPr/>
            </w:pPr>
            <w:r>
              <w:t xml:space="preserve">5,8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Thóp hậu ✔</w:t>
            </w:r>
            <w:r/>
          </w:p>
        </w:tc>
        <w:tc>
          <w:tcPr>
            <w:tcBorders/>
            <w:tcW w:w="1605" w:type="dxa"/>
            <w:vAlign w:val="center"/>
            <w:textDirection w:val="lrTb"/>
            <w:noWrap w:val="false"/>
          </w:tcPr>
          <w:p>
            <w:pPr>
              <w:pBdr/>
              <w:spacing/>
              <w:ind/>
              <w:jc w:val="center"/>
              <w:rPr/>
            </w:pPr>
            <w:r>
              <w:t xml:space="preserve">Thóp hậu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Nam ✔</w:t>
            </w:r>
            <w:r/>
          </w:p>
        </w:tc>
        <w:tc>
          <w:tcPr>
            <w:tcBorders/>
            <w:tcW w:w="1605"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Height w:val="494"/>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 ✔</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Mỹ An, Quận Ngũ Hành Sơn,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Mỹ An, Quận Ngũ Hành Sơn,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Mỹ An, Quận Ngũ Hành Sơn,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Mỹ An, Quận Ngũ Hành Sơn, Thành phố Đà Nẵng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tiép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0942.776.978</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0942.776.978</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0935331677 </w:t>
            </w:r>
            <w:r>
              <w:rPr>
                <w:color w:val="000000" w:themeColor="text1"/>
                <w:sz w:val="22"/>
                <w:szCs w:val="22"/>
              </w:rPr>
              <w:t xml:space="preserve">(</w:t>
            </w:r>
            <w:r>
              <w:rPr>
                <w:color w:val="000000" w:themeColor="text1"/>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Mỹ An, Quận Ngũ Hành Sơn, Thành phố Đà Nẵng, đường Đường Bà Huyện Thanh Quan, độ rộng đường trước mặt tài sản 7m, mặt tiền 5.8m, 16.0476897, 108.2466488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Mỹ An, Quận Ngũ Hành Sơn, Thành phố Đà Nẵng, đường Đường Bà Huyện Thanh Quan, độ rộng đường trước mặt tài sản 7m, mặt tiền 9.5m, 16.043924909457985, 108.2452292441803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Mỹ An, Quận Ngũ Hành Sơn, Thành phố Đà Nẵng, đường Đường Bà Huyện Thanh Quan, độ rộng đường trước mặt tài sản 7m, mặt tiền 10.76m, 16.04324549251318, 108.24405435337293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Mỹ An, Quận Ngũ Hành Sơn, Thành phố Đà Nẵng, đường Đường Bà Huyện Thanh Quan, độ rộng đường trước mặt tài sản 7m, mặt tiền 10m, 16.042540937018217, 108.24268453003249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10</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10</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10</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31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w:t>
            </w:r>
            <w:r>
              <w:rPr>
                <w:color w:val="000000"/>
                <w:sz w:val="22"/>
                <w:szCs w:val="22"/>
              </w:rPr>
            </w:r>
            <w:r>
              <w:rPr>
                <w:color w:val="000000"/>
                <w:sz w:val="22"/>
                <w:szCs w:val="22"/>
              </w:rPr>
            </w:r>
          </w:p>
        </w:tc>
      </w:tr>
      <w:tr>
        <w:trPr>
          <w:trHeight w:val="13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1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50.328.000.000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38.232.000.000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Công trình xây dựng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Nhà 1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Nhà 2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1</w:t>
            </w:r>
            <w:r>
              <w:rPr>
                <w:highlight w:val="whit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2</w:t>
            </w:r>
            <w:r>
              <w:rPr>
                <w:highlight w:val="whit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w:t>
            </w:r>
            <w:r>
              <w:rPr>
                <w:color w:val="000000" w:themeColor="text1"/>
                <w:sz w:val="22"/>
                <w:szCs w:val="22"/>
              </w:rPr>
            </w:r>
            <w:r>
              <w:rPr>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372.8</w:t>
            </w:r>
            <w:r>
              <w:rPr>
                <w:highlight w:val="whit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 350</w:t>
            </w:r>
            <w:r>
              <w:rPr>
                <w:highlight w:val="whit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w:t>
            </w:r>
            <w:r>
              <w:rPr>
                <w:color w:val="000000" w:themeColor="text1"/>
                <w:sz w:val="22"/>
                <w:szCs w:val="22"/>
              </w:rPr>
            </w:r>
            <w:r>
              <w:rPr>
                <w:color w:val="000000" w:themeColor="text1"/>
                <w:sz w:val="22"/>
                <w:szCs w:val="22"/>
                <w14:ligatures w14:val="none"/>
              </w:rPr>
            </w:r>
          </w:p>
        </w:tc>
      </w:tr>
      <w:tr>
        <w:trPr>
          <w:trHeight w:val="42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50.328.000.000</w:t>
            </w:r>
            <w:r>
              <w:rPr>
                <w:b w:val="0"/>
                <w:bCs w:val="0"/>
                <w:color w:val="000000"/>
                <w:sz w:val="22"/>
                <w:szCs w:val="22"/>
              </w:rPr>
            </w:r>
            <w:r>
              <w:rPr>
                <w:b w:val="0"/>
                <w:bCs w:val="0"/>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38.232.000.000</w:t>
            </w:r>
            <w:r>
              <w:rPr>
                <w:b w:val="0"/>
                <w:bCs w:val="0"/>
                <w:color w:val="000000"/>
                <w:sz w:val="22"/>
                <w:szCs w:val="22"/>
              </w:rPr>
            </w:r>
            <w:r>
              <w:rPr>
                <w:b w:val="0"/>
                <w:bCs w:val="0"/>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47.500.000.000</w:t>
            </w:r>
            <w:r>
              <w:rPr>
                <w:b w:val="0"/>
                <w:bCs w:val="0"/>
                <w:color w:val="000000"/>
                <w:sz w:val="22"/>
                <w:szCs w:val="22"/>
              </w:rPr>
            </w:r>
            <w:r>
              <w:rPr>
                <w:b w:val="0"/>
                <w:bCs w:val="0"/>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42.778.800.000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32.497.200.000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40.375.000.000</w:t>
            </w:r>
            <w:r>
              <w:rPr>
                <w:b w:val="0"/>
                <w:bCs w:val="0"/>
                <w:color w:val="000000"/>
                <w:sz w:val="22"/>
                <w:szCs w:val="22"/>
              </w:rPr>
            </w:r>
            <w:r>
              <w:rPr>
                <w:b w:val="0"/>
                <w:bCs w:val="0"/>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14:ligatures w14:val="none"/>
              </w:rPr>
            </w:pPr>
            <w:r>
              <w:rPr>
                <w:b/>
                <w:bCs/>
              </w:rPr>
              <w:t xml:space="preserve">906.562.924</w:t>
            </w:r>
            <w:r>
              <w:rPr>
                <w:b/>
                <w:bCs/>
              </w:rPr>
            </w:r>
            <w:r>
              <w:rPr>
                <w:b/>
                <w:bCs/>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14:ligatures w14:val="none"/>
              </w:rPr>
            </w:pPr>
            <w:r>
              <w:rPr>
                <w:b/>
                <w:bCs/>
              </w:rPr>
              <w:t xml:space="preserve">2.160.632.600</w:t>
            </w:r>
            <w:r>
              <w:rPr>
                <w:b/>
                <w:bCs/>
              </w:rPr>
            </w:r>
            <w:r>
              <w:rPr>
                <w:b/>
                <w:bCs/>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14:ligatures w14:val="none"/>
              </w:rPr>
            </w:pPr>
            <w:r>
              <w:rPr>
                <w:b/>
                <w:bCs/>
              </w:rPr>
              <w:t xml:space="preserve">0</w:t>
            </w:r>
            <w:r>
              <w:rPr>
                <w:b/>
                <w:bCs/>
              </w:rPr>
            </w:r>
            <w:r>
              <w:rPr>
                <w:b/>
                <w:bCs/>
                <w14:ligatures w14:val="none"/>
              </w:rPr>
            </w:r>
          </w:p>
        </w:tc>
      </w:tr>
      <w:tr>
        <w:trPr>
          <w:trHeight w:val="267"/>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rPr>
                <w14:ligatures w14:val="none"/>
              </w:rPr>
            </w:pPr>
            <w:r>
              <w:t xml:space="preserve">-</w:t>
            </w:r>
            <w:r/>
            <w:r>
              <w:rPr>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rPr>
                <w14:ligatures w14:val="none"/>
              </w:rPr>
            </w:pPr>
            <w:r>
              <w:t xml:space="preserve">Đơn giá xây dựng theo Quyết định số 409/QĐ-BXD (đồng/m²)</w:t>
            </w: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rPr>
                <w14:ligatures w14:val="none"/>
              </w:rPr>
            </w:p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4.863.535  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7.716.545  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14:ligatures w14:val="none"/>
              </w:rPr>
            </w:pPr>
            <w:r>
              <w:t xml:space="preserve">-/-</w:t>
            </w:r>
            <w:r/>
            <w:r>
              <w:rPr>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rPr>
                <w14:ligatures w14:val="none"/>
              </w:rPr>
            </w:pPr>
            <w:r>
              <w:t xml:space="preserve">-</w:t>
            </w:r>
            <w:r/>
            <w:r>
              <w:rPr>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hd w:val="nil" w:color="auto"/>
              <w:spacing/>
              <w:ind/>
              <w:rPr>
                <w14:ligatures w14:val="none"/>
              </w:rPr>
            </w:pPr>
            <w:r>
              <w:t xml:space="preserve">Tỷ lệ % CLCL</w:t>
            </w: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rPr>
                <w14:ligatures w14:val="none"/>
              </w:rPr>
            </w:pPr>
            <w: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14:ligatures w14:val="none"/>
              </w:rPr>
            </w:pPr>
            <w:r>
              <w:t xml:space="preserve">50%</w:t>
            </w: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14:ligatures w14:val="none"/>
              </w:rPr>
            </w:pPr>
            <w:r>
              <w:t xml:space="preserve">20%</w:t>
            </w: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14:ligatures w14:val="none"/>
              </w:rPr>
            </w:pPr>
            <w:r>
              <w:t xml:space="preserve">-/-</w:t>
            </w:r>
            <w:r/>
            <w:r>
              <w:rPr>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000000"/>
              <w:spacing/>
              <w:ind/>
              <w:jc w:val="center"/>
              <w:rPr>
                <w:b/>
                <w:bCs/>
                <w14:ligatures w14:val="none"/>
              </w:rPr>
            </w:pPr>
            <w:r>
              <w:rPr>
                <w:b/>
                <w:bCs/>
              </w:rPr>
              <w:t xml:space="preserve">41.872.237.076</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000000"/>
              <w:spacing/>
              <w:ind/>
              <w:jc w:val="center"/>
              <w:rPr>
                <w:b/>
                <w:bCs/>
                <w14:ligatures w14:val="none"/>
              </w:rPr>
            </w:pPr>
            <w:r>
              <w:rPr>
                <w:b/>
                <w:bCs/>
              </w:rPr>
              <w:t xml:space="preserve">30.336.567.400</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000000"/>
              <w:spacing/>
              <w:ind/>
              <w:jc w:val="center"/>
              <w:rPr>
                <w:b/>
                <w:bCs/>
                <w14:ligatures w14:val="none"/>
              </w:rPr>
            </w:pPr>
            <w:r>
              <w:rPr>
                <w:b/>
                <w:bCs/>
              </w:rPr>
              <w:t xml:space="preserve">40.375.000.000</w:t>
            </w:r>
            <w:r>
              <w:rPr>
                <w:b/>
                <w:bCs/>
                <w14:ligatures w14:val="none"/>
              </w:rPr>
            </w:r>
            <w:r>
              <w:rPr>
                <w:b/>
                <w:bCs/>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nil" w:color="000000"/>
              <w:spacing/>
              <w:ind/>
              <w:jc w:val="center"/>
              <w:rPr>
                <w:b/>
                <w:bCs/>
                <w14:ligatures w14:val="none"/>
              </w:rPr>
            </w:pPr>
            <w:r>
              <w:rPr>
                <w:b/>
                <w:bCs/>
              </w:rPr>
              <w:t xml:space="preserve">112.318.233</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nil" w:color="000000"/>
              <w:spacing/>
              <w:ind/>
              <w:jc w:val="center"/>
              <w:rPr>
                <w:b/>
                <w:bCs/>
                <w14:ligatures w14:val="none"/>
              </w:rPr>
            </w:pPr>
            <w:r>
              <w:rPr>
                <w:b/>
                <w:bCs/>
              </w:rPr>
              <w:t xml:space="preserve">107.120.648</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nil" w:color="000000"/>
              <w:spacing/>
              <w:ind/>
              <w:jc w:val="center"/>
              <w:rPr>
                <w:b/>
                <w:bCs/>
                <w14:ligatures w14:val="none"/>
              </w:rPr>
            </w:pPr>
            <w:r>
              <w:rPr>
                <w:b/>
                <w:bCs/>
              </w:rPr>
              <w:t xml:space="preserve">130.241.935</w:t>
            </w:r>
            <w:r>
              <w:rPr>
                <w:b/>
                <w:bCs/>
                <w14:ligatures w14:val="none"/>
              </w:rPr>
            </w:r>
            <w:r>
              <w:rPr>
                <w:b/>
                <w:bCs/>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335"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650"/>
        <w:gridCol w:w="1788"/>
        <w:gridCol w:w="1628"/>
      </w:tblGrid>
      <w:tr>
        <w:trPr>
          <w:trHeight w:val="20"/>
          <w:tblHeader/>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41.872.237.076</w:t>
            </w:r>
            <w:r>
              <w:rPr>
                <w:color w:val="000000"/>
                <w:sz w:val="20"/>
                <w:szCs w:val="20"/>
              </w:rPr>
            </w:r>
            <w:r>
              <w:rPr>
                <w:color w:val="000000"/>
                <w:sz w:val="20"/>
                <w:szCs w:val="20"/>
              </w:rPr>
            </w:r>
          </w:p>
        </w:tc>
        <w:tc>
          <w:tcPr>
            <w:shd w:val="clear" w:color="000000" w:fill="ffffff"/>
            <w:tcBorders/>
            <w:tcW w:w="1788"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30.336.567.400</w:t>
            </w:r>
            <w:r>
              <w:rPr>
                <w:color w:val="000000"/>
                <w:sz w:val="20"/>
                <w:szCs w:val="20"/>
              </w:rPr>
            </w:r>
            <w:r>
              <w:rPr>
                <w:color w:val="000000"/>
                <w:sz w:val="20"/>
                <w:szCs w:val="20"/>
              </w:rPr>
            </w:r>
          </w:p>
        </w:tc>
        <w:tc>
          <w:tcPr>
            <w:shd w:val="clear" w:color="000000" w:fill="ffffff"/>
            <w:tcBorders/>
            <w:tcW w:w="1628"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40.375.000.000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112.318.233</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107.120.648</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130.241.935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88"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8"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119.068.233</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113.870.648</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130.241.935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119.068.233</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113.870.648</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130.241.935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119.068.233</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113.870.648</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130.241.935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Phường Ngũ Hành Sơn, Thành phố Đà Nẵng, đường Đường Bà Huyện Thanh Quan</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Phường Ngũ Hành Sơn, Thành phố Đà Nẵng, đường Đường Bà Huyện Thanh Quan</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Phường Ngũ Hành Sơn, Thành phố Đà Nẵng, đường Đường Bà Huyện Thanh Quan</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Phường Ngũ Hành Sơn, Thành phố Đà Nẵng, đường Đường Bà Huyện Thanh Quan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119.068.233</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113.870.648</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130.241.935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-13.024.194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119.068.233</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113.870.648</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117.217.741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119.068.233</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113.870.648</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117.217.741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119.068.233</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113.870.648</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117.217.741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214.5</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372.8</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283.2</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310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5.953.412</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3.416.119</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3.907.258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125.021.645</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117.286.767</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121.124.999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5.8</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10.76</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-11.906.823</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-11.387.065</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-13.024.194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113.114.822</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105.899.702</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108.100.805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-5.953.412</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-5.693.532</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107.161.410</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100.206.170</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108.100.805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-5.615.912</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-5.356.032</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-6.512.097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94.795.498</w:t>
            </w:r>
            <w:r>
              <w:rPr>
                <w:color w:val="000000"/>
                <w:sz w:val="22"/>
                <w:szCs w:val="22"/>
              </w:rPr>
            </w:r>
            <w:r>
              <w:rPr>
                <w:color w:val="000000"/>
                <w:sz w:val="22"/>
                <w:szCs w:val="22"/>
              </w:rPr>
            </w:r>
          </w:p>
        </w:tc>
        <w:tc>
          <w:tcPr>
            <w:shd w:val="clear" w:color="000000" w:fill="ffffff"/>
            <w:tcBorders/>
            <w:tcW w:w="178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88.100.138</w:t>
            </w:r>
            <w:r>
              <w:rPr>
                <w:color w:val="000000"/>
                <w:sz w:val="22"/>
                <w:szCs w:val="22"/>
              </w:rPr>
            </w:r>
            <w:r>
              <w:rPr>
                <w:color w:val="000000"/>
                <w:sz w:val="22"/>
                <w:szCs w:val="22"/>
              </w:rPr>
            </w:r>
          </w:p>
        </w:tc>
        <w:tc>
          <w:tcPr>
            <w:shd w:val="clear" w:color="000000" w:fill="ffffff"/>
            <w:tcBorders/>
            <w:tcW w:w="162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101.588.708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94.795.498</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88.100.138</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101.588.708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5066"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94.828.115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-0,03%</w:t>
            </w:r>
            <w:r>
              <w:rPr>
                <w:color w:val="000000"/>
                <w:sz w:val="22"/>
                <w:szCs w:val="22"/>
              </w:rPr>
            </w:r>
            <w:r>
              <w:rPr>
                <w:color w:val="000000"/>
                <w:sz w:val="22"/>
                <w:szCs w:val="22"/>
              </w:rPr>
            </w:r>
          </w:p>
        </w:tc>
        <w:tc>
          <w:tcPr>
            <w:shd w:val="clear" w:color="000000" w:fill="ffffff"/>
            <w:tcBorders/>
            <w:tcW w:w="178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-7,09%</w:t>
            </w:r>
            <w:r>
              <w:rPr>
                <w:color w:val="000000"/>
                <w:sz w:val="22"/>
                <w:szCs w:val="22"/>
              </w:rPr>
            </w:r>
            <w:r>
              <w:rPr>
                <w:color w:val="000000"/>
                <w:sz w:val="22"/>
                <w:szCs w:val="22"/>
              </w:rPr>
            </w:r>
          </w:p>
        </w:tc>
        <w:tc>
          <w:tcPr>
            <w:shd w:val="clear" w:color="000000" w:fill="ffffff"/>
            <w:tcBorders/>
            <w:tcW w:w="162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7,13%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3"/>
            <w:shd w:val="clear" w:color="000000" w:fill="ffffff"/>
            <w:tcBorders/>
            <w:tcW w:w="4317" w:type="dxa"/>
            <w:vAlign w:val="center"/>
            <w:textDirection w:val="lrTb"/>
            <w:noWrap w:val="false"/>
          </w:tcPr>
          <w:p>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r>
              <w:rPr>
                <w:b/>
                <w:bCs/>
                <w:color w:val="000000"/>
                <w:sz w:val="22"/>
                <w:szCs w:val="22"/>
              </w:rPr>
            </w:r>
            <w:r>
              <w:rPr>
                <w:b/>
                <w:bCs/>
                <w:color w:val="000000"/>
                <w:sz w:val="22"/>
                <w:szCs w:val="22"/>
              </w:rPr>
            </w:r>
            <w:r>
              <w:rPr>
                <w:b/>
                <w:bCs/>
                <w:color w:val="000000"/>
                <w:sz w:val="22"/>
                <w:szCs w:val="22"/>
              </w:rPr>
              <w:t xml:space="preserve"> </w:t>
            </w:r>
            <w:r>
              <w:rPr>
                <w:b/>
                <w:bCs/>
                <w:color w:val="000000"/>
                <w:sz w:val="22"/>
                <w:szCs w:val="22"/>
              </w:rPr>
            </w:r>
            <w:r>
              <w:rPr>
                <w:b/>
                <w:bCs/>
                <w:color w:val="000000"/>
                <w:sz w:val="22"/>
                <w:szCs w:val="22"/>
              </w:rPr>
            </w:r>
            <w:r>
              <w:rPr>
                <w:b/>
                <w:bCs/>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29.429.559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8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25.852.748</w:t>
            </w:r>
            <w:r>
              <w:rPr>
                <w:b/>
                <w:bCs/>
                <w:color w:val="000000"/>
                <w:sz w:val="22"/>
                <w:szCs w:val="22"/>
              </w:rPr>
            </w:r>
            <w:r>
              <w:rPr>
                <w:b/>
                <w:bCs/>
                <w:color w:val="000000"/>
                <w:sz w:val="22"/>
                <w:szCs w:val="22"/>
              </w:rPr>
            </w:r>
          </w:p>
        </w:tc>
        <w:tc>
          <w:tcPr>
            <w:shd w:val="clear" w:color="000000" w:fill="ffffff"/>
            <w:tcBorders/>
            <w:tcW w:w="162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36.467.743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788" w:type="dxa"/>
            <w:vAlign w:val="center"/>
            <w:textDirection w:val="lrTb"/>
            <w:noWrap/>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628" w:type="dxa"/>
            <w:vAlign w:val="center"/>
            <w:textDirection w:val="lrTb"/>
            <w:noWrap/>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788" w:type="dxa"/>
            <w:vAlign w:val="center"/>
            <w:textDirection w:val="lrTb"/>
            <w:noWrap/>
          </w:tcPr>
          <w:p>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628" w:type="dxa"/>
            <w:vAlign w:val="center"/>
            <w:textDirection w:val="lrTb"/>
            <w:noWrap/>
          </w:tcPr>
          <w:p>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50" w:type="dxa"/>
            <w:vAlign w:val="center"/>
            <w:textDirection w:val="lrTb"/>
            <w:noWrap/>
          </w:tcPr>
          <w:p>
            <w:pPr>
              <w:pBdr/>
              <w:spacing w:line="276" w:lineRule="auto"/>
              <w:ind/>
              <w:jc w:val="center"/>
              <w:rPr>
                <w:sz w:val="22"/>
                <w:szCs w:val="22"/>
              </w:rPr>
            </w:pPr>
            <w:r>
              <w:rPr>
                <w:color w:val="000000" w:themeColor="text1"/>
                <w:sz w:val="22"/>
                <w:szCs w:val="22"/>
              </w:rPr>
              <w:t xml:space="preserve">17.522.735</w:t>
            </w:r>
            <w:r>
              <w:rPr>
                <w:sz w:val="22"/>
                <w:szCs w:val="22"/>
              </w:rPr>
            </w:r>
            <w:r>
              <w:rPr>
                <w:sz w:val="22"/>
                <w:szCs w:val="22"/>
              </w:rPr>
            </w:r>
          </w:p>
        </w:tc>
        <w:tc>
          <w:tcPr>
            <w:shd w:val="clear" w:color="000000" w:fill="ffffff"/>
            <w:tcBorders/>
            <w:tcW w:w="1788" w:type="dxa"/>
            <w:vAlign w:val="center"/>
            <w:textDirection w:val="lrTb"/>
            <w:noWrap/>
          </w:tcPr>
          <w:p>
            <w:pPr>
              <w:pBdr/>
              <w:spacing w:line="276" w:lineRule="auto"/>
              <w:ind/>
              <w:jc w:val="center"/>
              <w:rPr>
                <w:sz w:val="22"/>
                <w:szCs w:val="22"/>
              </w:rPr>
            </w:pPr>
            <w:r>
              <w:rPr>
                <w:color w:val="000000" w:themeColor="text1"/>
                <w:sz w:val="22"/>
                <w:szCs w:val="22"/>
              </w:rPr>
              <w:t xml:space="preserve">19.020.510</w:t>
            </w:r>
            <w:r>
              <w:rPr>
                <w:sz w:val="22"/>
                <w:szCs w:val="22"/>
              </w:rPr>
            </w:r>
            <w:r>
              <w:rPr>
                <w:sz w:val="22"/>
                <w:szCs w:val="22"/>
              </w:rPr>
            </w:r>
          </w:p>
        </w:tc>
        <w:tc>
          <w:tcPr>
            <w:shd w:val="clear" w:color="000000" w:fill="ffffff"/>
            <w:tcBorders/>
            <w:tcW w:w="1628" w:type="dxa"/>
            <w:vAlign w:val="center"/>
            <w:textDirection w:val="lrTb"/>
            <w:noWrap/>
          </w:tcPr>
          <w:p>
            <w:pPr>
              <w:pBdr/>
              <w:spacing w:line="276" w:lineRule="auto"/>
              <w:ind/>
              <w:jc w:val="center"/>
              <w:rPr>
                <w:sz w:val="22"/>
                <w:szCs w:val="22"/>
              </w:rPr>
            </w:pPr>
            <w:r>
              <w:rPr>
                <w:color w:val="000000" w:themeColor="text1"/>
                <w:sz w:val="22"/>
                <w:szCs w:val="22"/>
              </w:rPr>
              <w:t xml:space="preserve">28.653.227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-7.09</w:t>
      </w:r>
      <w:r>
        <w:t xml:space="preserve">% </w:t>
      </w:r>
      <w:r>
        <w:t xml:space="preserve">đến</w:t>
      </w:r>
      <w:r>
        <w:t xml:space="preserve"> </w:t>
      </w:r>
      <w:r>
        <w:t xml:space="preserve"> </w:t>
      </w:r>
      <w:r>
        <w:t xml:space="preserve">7.13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94.795.498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28.438.649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88.100.138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26.430.041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101.588.708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40.635.483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95.504.173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95.500.000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95.500.000</w:t>
      </w:r>
      <w:r>
        <w:rPr>
          <w:b/>
          <w:bCs/>
          <w:color w:val="000000" w:themeColor="text1"/>
        </w:rPr>
        <w:t xml:space="preserve"> </w:t>
      </w:r>
      <w:r>
        <w:rPr>
          <w:b/>
          <w:bCs/>
        </w:rPr>
        <w:t xml:space="preserve">đồng</w:t>
      </w:r>
      <w:r>
        <w:rPr>
          <w:b/>
          <w:bCs/>
        </w:rPr>
        <w:t xml:space="preserve">/m².</w:t>
      </w:r>
      <w:r>
        <w:rPr>
          <w:b/>
          <w:bCs/>
        </w:rPr>
      </w:r>
      <w:r>
        <w:rPr>
          <w:b/>
          <w:bCs/>
        </w:rPr>
      </w:r>
    </w:p>
    <w:p>
      <w:pPr>
        <w:pStyle w:val="102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40"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40"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40"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40"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40" w:lineRule="auto"/>
              <w:ind/>
              <w:jc w:val="both"/>
              <w:rPr>
                <w:b/>
                <w:bCs/>
              </w:rPr>
            </w:pPr>
            <w:r>
              <w:rPr>
                <w:b/>
                <w:bCs/>
                <w:color w:val="000000"/>
              </w:rPr>
              <w:t xml:space="preserve">Quyền sử dụng đất tại thửa đất số 76, tờ bản đồ số 26 có địa chỉ tại: Tổ 42, phường Mỹ An, quận Ngũ Hành Sơn, Thành phố Đà Nẵng </w:t>
            </w:r>
            <w:r>
              <w:rPr>
                <w:b/>
                <w:bCs/>
                <w:i/>
                <w:iCs/>
                <w:color w:val="000000"/>
              </w:rPr>
              <w:t xml:space="preserve">(Nay là phường Ngũ Hành </w:t>
            </w:r>
            <w:r>
              <w:rPr>
                <w:b/>
                <w:bCs/>
                <w:i/>
                <w:iCs/>
                <w:color w:val="000000"/>
              </w:rPr>
              <w:t xml:space="preserve">Sơn, thành phố Đà Nẵng)</w:t>
            </w:r>
            <w:r>
              <w:rPr>
                <w:b/>
                <w:bCs/>
                <w:color w:val="000000"/>
              </w:rPr>
              <w:t xml:space="preserve"> theo Giấy chứng nhận quyền sử dụng đất quyền sở hữu nhà ở và tài sản khác gắn liền với đất số BE799654 số vào sổ cấp GCN CH01639 do UBDN quận Ngũ Hành Sơn cấp ngày 06/5/2011 cấp cho chủ sử dụng đất ông Phạm Mẫn và bà Trương Thị Liên</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40"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40"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40" w:lineRule="auto"/>
              <w:ind/>
              <w:jc w:val="center"/>
              <w:rPr>
                <w:color w:val="000000"/>
              </w:rPr>
            </w:pPr>
            <w:r>
              <w:rPr>
                <w:color w:val="000000" w:themeColor="text1"/>
              </w:rPr>
              <w:t xml:space="preserve">214,5</w:t>
            </w:r>
            <w:r>
              <w:rPr>
                <w:color w:val="000000"/>
              </w:rPr>
            </w:r>
            <w:r>
              <w:rPr>
                <w:color w:val="000000"/>
              </w:rPr>
            </w:r>
          </w:p>
        </w:tc>
        <w:tc>
          <w:tcPr>
            <w:shd w:val="clear" w:color="000000" w:fill="ffffff"/>
            <w:tcBorders/>
            <w:tcW w:w="1355" w:type="pct"/>
            <w:vAlign w:val="center"/>
            <w:textDirection w:val="lrTb"/>
            <w:noWrap w:val="false"/>
          </w:tcPr>
          <w:p>
            <w:pPr>
              <w:pBdr/>
              <w:spacing w:after="40" w:before="40" w:line="240" w:lineRule="auto"/>
              <w:ind/>
              <w:jc w:val="center"/>
              <w:rPr/>
            </w:pPr>
            <w:r>
              <w:rPr>
                <w:color w:val="000000" w:themeColor="text1"/>
              </w:rPr>
              <w:t xml:space="preserve">95.500.000</w:t>
            </w:r>
            <w:r/>
          </w:p>
        </w:tc>
        <w:tc>
          <w:tcPr>
            <w:shd w:val="clear" w:color="000000" w:fill="ffffff"/>
            <w:tcBorders/>
            <w:tcW w:w="1136" w:type="pct"/>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20.484.750.000</w:t>
            </w:r>
            <w:r/>
          </w:p>
        </w:tc>
      </w:tr>
      <w:tr>
        <w:trPr>
          <w:trHeight w:val="20"/>
        </w:trPr>
        <w:tc>
          <w:tcPr>
            <w:gridSpan w:val="4"/>
            <w:tcBorders/>
            <w:tcW w:w="3864" w:type="pct"/>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20.4</w:t>
            </w:r>
            <w:r>
              <w:rPr>
                <w:rFonts w:ascii="Times New Roman" w:hAnsi="Times New Roman" w:eastAsia="Times New Roman" w:cs="Times New Roman"/>
                <w:color w:val="000000"/>
                <w:sz w:val="24"/>
                <w:szCs w:val="24"/>
              </w:rPr>
              <w:t xml:space="preserve">8</w:t>
            </w:r>
            <w:r>
              <w:rPr>
                <w:rFonts w:ascii="Times New Roman" w:hAnsi="Times New Roman" w:eastAsia="Times New Roman" w:cs="Times New Roman"/>
                <w:color w:val="000000"/>
                <w:sz w:val="24"/>
              </w:rPr>
              <w:t xml:space="preserve">4.750.000</w:t>
            </w:r>
            <w:r/>
          </w:p>
        </w:tc>
      </w:tr>
      <w:tr>
        <w:trPr>
          <w:trHeight w:val="20"/>
        </w:trPr>
        <w:tc>
          <w:tcPr>
            <w:gridSpan w:val="4"/>
            <w:tcBorders/>
            <w:tcW w:w="3864" w:type="pct"/>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40" w:lineRule="auto"/>
              <w:ind/>
              <w:jc w:val="right"/>
              <w:rPr>
                <w:b/>
                <w:bCs/>
                <w:color w:val="000000"/>
              </w:rPr>
            </w:pPr>
            <w:r>
              <w:rPr>
                <w:b/>
                <w:bCs/>
                <w:color w:val="000000"/>
              </w:rPr>
              <w:t xml:space="preserve">20.485.000.000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40"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tỷ, bốn trăm tám mươi lăm triệu đồng chẵn</w:t>
            </w:r>
            <w:r>
              <w:rPr>
                <w:b/>
                <w:bCs/>
                <w:i/>
                <w:iCs/>
                <w:color w:val="000000"/>
              </w:rPr>
              <w:t xml:space="preserve">./.)</w:t>
            </w:r>
            <w:r>
              <w:rPr>
                <w:b/>
                <w:bCs/>
                <w:i/>
                <w:iCs/>
                <w:color w:val="000000"/>
              </w:rPr>
            </w:r>
            <w:r>
              <w:rPr>
                <w:b/>
                <w:bCs/>
                <w:i/>
                <w:iCs/>
                <w:color w:val="000000"/>
              </w:rPr>
            </w:r>
          </w:p>
        </w:tc>
      </w:tr>
    </w:tbl>
    <w:p>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275/2026/0278/VFI-CT.24.A</w:t>
      </w:r>
      <w:r>
        <w:rPr>
          <w:color w:val="ff0000"/>
          <w:lang w:val="vi-VN"/>
        </w:rPr>
        <w:t xml:space="preserve"> </w:t>
      </w:r>
      <w:r>
        <w:rPr>
          <w:color w:val="000000" w:themeColor="text1"/>
        </w:rPr>
        <w:t xml:space="preserve">ngày 05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275/2026/0278/VFI-BC.24.A</w:t>
      </w:r>
      <w:r>
        <w:rPr>
          <w:i/>
          <w:lang w:val="pt-BR"/>
        </w:rPr>
        <w:t xml:space="preserve"> </w:t>
      </w:r>
      <w:r>
        <w:rPr>
          <w:i/>
          <w:lang w:val="pt-BR"/>
        </w:rPr>
        <w:t xml:space="preserve">5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989"/>
        <w:gridCol w:w="4536"/>
      </w:tblGrid>
      <w:tr>
        <w:trPr/>
        <w:tc>
          <w:tcPr>
            <w:tcBorders/>
            <w:tcW w:w="4989"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536"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989"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50400" cy="23590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62645" name=""/>
                              <pic:cNvPicPr>
                                <a:picLocks noChangeAspect="1"/>
                              </pic:cNvPicPr>
                              <pic:nvPr/>
                            </pic:nvPicPr>
                            <pic:blipFill rotWithShape="1">
                              <a:blip r:embed="rId19"/>
                              <a:stretch/>
                            </pic:blipFill>
                            <pic:spPr bwMode="auto">
                              <a:xfrm flipH="0" flipV="0">
                                <a:off x="0" y="0"/>
                                <a:ext cx="2150400" cy="23590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9.32pt;height:185.7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536"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06062" cy="202954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4506" name=""/>
                              <pic:cNvPicPr>
                                <a:picLocks noChangeAspect="1"/>
                              </pic:cNvPicPr>
                              <pic:nvPr/>
                            </pic:nvPicPr>
                            <pic:blipFill rotWithShape="1">
                              <a:blip r:embed="rId20"/>
                              <a:stretch/>
                            </pic:blipFill>
                            <pic:spPr bwMode="auto">
                              <a:xfrm rot="0" flipH="0" flipV="0">
                                <a:off x="0" y="0"/>
                                <a:ext cx="2706061" cy="20295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3.08pt;height:159.81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989"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536"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989"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8382" cy="203541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998075" name=""/>
                              <pic:cNvPicPr>
                                <a:picLocks noChangeAspect="1"/>
                              </pic:cNvPicPr>
                              <pic:nvPr/>
                            </pic:nvPicPr>
                            <pic:blipFill rotWithShape="1">
                              <a:blip r:embed="rId21"/>
                              <a:stretch/>
                            </pic:blipFill>
                            <pic:spPr bwMode="auto">
                              <a:xfrm flipH="0" flipV="0">
                                <a:off x="0" y="0"/>
                                <a:ext cx="2588382" cy="20354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3.81pt;height:160.2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536"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75955" cy="200696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539374" name=""/>
                              <pic:cNvPicPr>
                                <a:picLocks noChangeAspect="1"/>
                              </pic:cNvPicPr>
                              <pic:nvPr/>
                            </pic:nvPicPr>
                            <pic:blipFill rotWithShape="1">
                              <a:blip r:embed="rId22"/>
                              <a:stretch/>
                            </pic:blipFill>
                            <pic:spPr bwMode="auto">
                              <a:xfrm flipH="0" flipV="0">
                                <a:off x="0" y="0"/>
                                <a:ext cx="2675954" cy="20069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71pt;height:158.0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989"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536"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989"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91167" cy="305489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40708" name=""/>
                              <pic:cNvPicPr>
                                <a:picLocks noChangeAspect="1"/>
                              </pic:cNvPicPr>
                              <pic:nvPr/>
                            </pic:nvPicPr>
                            <pic:blipFill rotWithShape="1">
                              <a:blip r:embed="rId23"/>
                              <a:stretch/>
                            </pic:blipFill>
                            <pic:spPr bwMode="auto">
                              <a:xfrm rot="0" flipH="0" flipV="0">
                                <a:off x="0" y="0"/>
                                <a:ext cx="2291167" cy="30548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41pt;height:240.54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536"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57434" cy="287657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53260" name=""/>
                              <pic:cNvPicPr>
                                <a:picLocks noChangeAspect="1"/>
                              </pic:cNvPicPr>
                              <pic:nvPr/>
                            </pic:nvPicPr>
                            <pic:blipFill rotWithShape="1">
                              <a:blip r:embed="rId24"/>
                              <a:stretch/>
                            </pic:blipFill>
                            <pic:spPr bwMode="auto">
                              <a:xfrm rot="0" flipH="0" flipV="0">
                                <a:off x="0" y="0"/>
                                <a:ext cx="2157433" cy="28765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9.88pt;height:226.50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275/2026/0278/VFI-BC.24.A</w:t>
      </w:r>
      <w:r>
        <w:rPr>
          <w:i/>
          <w:lang w:val="pt-BR"/>
        </w:rPr>
        <w:t xml:space="preserve"> ngày 0</w:t>
      </w:r>
      <w:r>
        <w:rPr>
          <w:i/>
          <w:lang w:val="pt-BR"/>
        </w:rPr>
        <w:t xml:space="preserve">5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0942.776.978</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50.328.000.000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42.778.800.000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(372.8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Mỹ An, Quận Ngũ Hành Sơn, Thành phố Đà Nẵng, đường Đường Bà Huyện Thanh Quan, độ rộng đường trước mặt tài sản 7m, mặt tiền 9.5m, 16.043924909457985, 108.2452292441803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83340" cy="2402935"/>
                      <wp:effectExtent l="0" t="0" r="0" b="0"/>
                      <wp:docPr id="12" name=""/>
                      <wp:cNvGraphicFramePr/>
                      <a:graphic xmlns:a="http://schemas.openxmlformats.org/drawingml/2006/main">
                        <a:graphicData uri="http://schemas.openxmlformats.org/drawingml/2006/picture">
                          <pic:pic xmlns:pic="http://schemas.openxmlformats.org/drawingml/2006/picture">
                            <pic:nvPicPr>
                              <pic:cNvPr id="727102331" name="" descr=""/>
                              <pic:cNvPicPr/>
                              <pic:nvPr/>
                            </pic:nvPicPr>
                            <pic:blipFill rotWithShape="1">
                              <a:blip r:embed="rId25"/>
                              <a:stretch/>
                            </pic:blipFill>
                            <pic:spPr bwMode="auto">
                              <a:xfrm rot="0" flipH="0" flipV="0">
                                <a:off x="0" y="0"/>
                                <a:ext cx="3683340" cy="24029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90.03pt;height:189.21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1333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91333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86.8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mc:AlternateContent>
                <mc:Choice Requires="wpg">
                  <w:drawing>
                    <wp:inline xmlns:wp="http://schemas.openxmlformats.org/drawingml/2006/wordprocessingDrawing" distT="0" distB="0" distL="0" distR="0">
                      <wp:extent cx="452972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453801048" name="" descr=""/>
                              <pic:cNvPicPr/>
                              <pic:nvPr/>
                            </pic:nvPicPr>
                            <pic:blipFill rotWithShape="1">
                              <a:blip r:embed="rId27"/>
                              <a:stretch/>
                            </pic:blipFill>
                            <pic:spPr bwMode="auto">
                              <a:xfrm>
                                <a:off x="0" y="0"/>
                                <a:ext cx="452972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56.6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0942.776.978</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38.232.000.000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32.497.200.000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(283.2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Mỹ An, Quận Ngũ Hành Sơn, Thành phố Đà Nẵng, đường Đường Bà Huyện Thanh Quan, độ rộng đường trước mặt tài sản 7m, mặt tiền 10.76m, 16.04324549251318, 108.24405435337293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89620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809310301" name="" descr=""/>
                              <pic:cNvPicPr/>
                              <pic:nvPr/>
                            </pic:nvPicPr>
                            <pic:blipFill rotWithShape="1">
                              <a:blip r:embed="rId28"/>
                              <a:stretch/>
                            </pic:blipFill>
                            <pic:spPr bwMode="auto">
                              <a:xfrm>
                                <a:off x="0" y="0"/>
                                <a:ext cx="489620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5.5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316462977" name="" descr=""/>
                              <pic:cNvPicPr/>
                              <pic:nvPr/>
                            </pic:nvPicPr>
                            <pic:blipFill rotWithShape="1">
                              <a:blip r:embed="rId29"/>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7152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4715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73.3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tiép</w:t>
            </w:r>
            <w:r>
              <w:rPr>
                <w:color w:val="000000" w:themeColor="text1"/>
                <w:sz w:val="22"/>
                <w:szCs w:val="22"/>
              </w:rPr>
              <w:br/>
            </w:r>
            <w:r>
              <w:rPr>
                <w:sz w:val="22"/>
                <w:szCs w:val="22"/>
              </w:rPr>
              <w:t xml:space="preserve">SĐT: </w:t>
            </w:r>
            <w:r>
              <w:rPr>
                <w:color w:val="000000" w:themeColor="text1"/>
                <w:sz w:val="22"/>
                <w:szCs w:val="22"/>
              </w:rPr>
              <w:t xml:space="preserve">𝟬𝟵𝟯𝟱𝟯𝟯𝟭𝟲𝟳𝟳</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40.375.000.000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(310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Mỹ An, Quận Ngũ Hành Sơn, Thành phố Đà Nẵng, đường Đường Bà Huyện Thanh Quan, độ rộng đường trước mặt tài sản 7m, mặt tiền 10m, 16.042540937018217, 108.24268453003249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87854"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7878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55.7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 </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566AAA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hanhtra.com.vn/thong-tin-doanh-nghiep-49F64E63D/sau-sap-nhap-bat-"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pn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272</cp:revision>
  <dcterms:created xsi:type="dcterms:W3CDTF">2025-09-15T09:58:00Z</dcterms:created>
  <dcterms:modified xsi:type="dcterms:W3CDTF">2026-02-06T08:17:44Z</dcterms:modified>
</cp:coreProperties>
</file>