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827055" cy="33349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827054" cy="33349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275/2026/0261/VFI-CT.17.A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ĐỖ THỊ THUẬN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tài sản gắn liền với đất tại thửa đất số: 3199, tờ bản đồ số: 03 có địa chỉ: SB10 - 52, khu đô thị sinh thái Dream City, xã Long Hưng, huyện Văn Giang, tỉnh Hưng Yên (nay là xã Nghĩa Trụ</w:t>
                            </w:r>
                            <w:r>
                              <w:rPr>
                                <w:color w:val="000000"/>
                              </w:rPr>
                              <w:t xml:space="preserve">, Tỉnh Hưng Yên)  theo Giấy chứng nhận quyền sử dụng đất quyền sở hữu nhà ở và tài sản khác gắn liền với đất số: DQ 967613, số vào sổ cấp GCN: VP 06233 do Văn phòng Đăng ký đất đai tỉnh Hưng Yên cấp ngày 27/12/2024 cho ông Đỗ Đình Quang và bà Đỗ Thị Thuận.</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58.82pt;height:262.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275/2026/0261/VFI-CT.17.A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ĐỖ THỊ THUẬN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tài sản gắn liền với đất tại thửa đất số: 3199, tờ bản đồ số: 03 có địa chỉ: SB10 - 52, khu đô thị sinh thái Dream City, xã Long Hưng, huyện Văn Giang, tỉnh Hưng Yên (nay là xã Nghĩa Trụ</w:t>
                      </w:r>
                      <w:r>
                        <w:rPr>
                          <w:color w:val="000000"/>
                        </w:rPr>
                        <w:t xml:space="preserve">, Tỉnh Hưng Yên)  theo Giấy chứng nhận quyền sử dụng đất quyền sở hữu nhà ở và tài sản khác gắn liền với đất số: DQ 967613, số vào sổ cấp GCN: VP 06233 do Văn phòng Đăng ký đất đai tỉnh Hưng Yên cấp ngày 27/12/2024 cho ông Đỗ Đình Quang và bà Đỗ Thị Thuận.</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1 - 3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4 - 17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và Pháp lý tài sản</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20 - 21</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22 - 27</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2" w:type="dxa"/>
        <w:tblBorders/>
        <w:tblLayout w:type="fixed"/>
        <w:tblLook w:val="04A0" w:firstRow="1" w:lastRow="0" w:firstColumn="1" w:lastColumn="0" w:noHBand="0" w:noVBand="1"/>
      </w:tblPr>
      <w:tblGrid>
        <w:gridCol w:w="1787"/>
        <w:gridCol w:w="2947"/>
        <w:gridCol w:w="5351"/>
        <w:gridCol w:w="6"/>
      </w:tblGrid>
      <w:tr>
        <w:trPr>
          <w:gridAfter w:val="1"/>
          <w:trHeight w:val="1152"/>
        </w:trPr>
        <w:tc>
          <w:tcPr>
            <w:tcBorders/>
            <w:tcW w:w="1787" w:type="dxa"/>
            <w:textDirection w:val="lrTb"/>
            <w:noWrap w:val="false"/>
          </w:tcPr>
          <w:p>
            <w:pPr>
              <w:pBdr/>
              <w:spacing w:line="360" w:lineRule="auto"/>
              <w:ind w:hanging="108"/>
              <w:jc w:val="center"/>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9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4734"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275/2026/0261/VFI-CT.17.A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5357"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3 tháng 2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ĐỖ THỊ THUẬN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275/2026/0261/VFI-HĐTĐ.17.A</w:t>
      </w:r>
      <w:r>
        <w:rPr>
          <w:spacing w:val="-4"/>
          <w:lang w:val="vi-VN"/>
        </w:rPr>
        <w:t xml:space="preserve"> ký ngày </w:t>
      </w:r>
      <w:r>
        <w:rPr>
          <w:color w:val="000000" w:themeColor="text1"/>
          <w:spacing w:val="-4"/>
        </w:rPr>
        <w:t xml:space="preserve">30 tháng 1 năm 2026</w:t>
      </w:r>
      <w:r>
        <w:rPr>
          <w:spacing w:val="-4"/>
          <w:lang w:val="vi-VN"/>
        </w:rPr>
        <w:t xml:space="preserve"> </w:t>
      </w:r>
      <w:r>
        <w:rPr>
          <w:spacing w:val="-4"/>
          <w:lang w:val="vi-VN"/>
        </w:rPr>
        <w:t xml:space="preserve">giữa bà Đỗ Thị Thuận</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275/2026/0261/VFI-BC.17.A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19" w:type="pct"/>
        <w:tblBorders/>
        <w:tblLayout w:type="fixed"/>
        <w:tblLook w:val="04A0" w:firstRow="1" w:lastRow="0" w:firstColumn="1" w:lastColumn="0" w:noHBand="0" w:noVBand="1"/>
      </w:tblPr>
      <w:tblGrid>
        <w:gridCol w:w="1872"/>
        <w:gridCol w:w="487"/>
        <w:gridCol w:w="7488"/>
      </w:tblGrid>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488"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ĐỖ THỊ THUẬN</w:t>
            </w:r>
            <w:r>
              <w:rPr>
                <w:b/>
                <w:bCs/>
              </w:rPr>
            </w: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48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033179004221</w:t>
            </w:r>
            <w:r>
              <w:rPr>
                <w:color w:val="ff0000"/>
                <w:lang w:val="pt-BR"/>
              </w:rPr>
            </w:r>
            <w:r>
              <w:rPr>
                <w:color w:val="ff0000"/>
                <w:lang w:val="pt-BR"/>
              </w:rP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48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17/03/1979</w:t>
            </w:r>
            <w:r>
              <w:rPr>
                <w:color w:val="ff0000"/>
                <w:lang w:val="pt-BR"/>
              </w:rPr>
            </w:r>
            <w:r>
              <w:rPr>
                <w:color w:val="ff0000"/>
                <w:lang w:val="pt-BR"/>
              </w:rP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48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nhà 10 ngõ 6 phố Lương Đình Của, phường Phố Hiến, tỉnh Hưng Yên</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866" w:type="dxa"/>
        <w:tblBorders/>
        <w:tblLayout w:type="fixed"/>
        <w:tblLook w:val="04A0" w:firstRow="1" w:lastRow="0" w:firstColumn="1" w:lastColumn="0" w:noHBand="0" w:noVBand="1"/>
      </w:tblPr>
      <w:tblGrid>
        <w:gridCol w:w="2269"/>
        <w:gridCol w:w="289"/>
        <w:gridCol w:w="7308"/>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08"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08" w:type="dxa"/>
            <w:vAlign w:val="center"/>
            <w:textDirection w:val="lrTb"/>
            <w:noWrap w:val="false"/>
          </w:tcPr>
          <w:p>
            <w:pPr>
              <w:pBdr/>
              <w:spacing w:after="40" w:before="4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308"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08"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08"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08"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308"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308"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3199, tờ bản đồ số: 03 có địa chỉ: SB10 - 52, khu đô thị sinh thái Dream City, xã Long Hưng, huyện Văn Giang, tỉnh Hưng Yên (nay là xã Nghĩa Trụ</w:t>
      </w:r>
      <w:r>
        <w:rPr>
          <w:color w:val="000000" w:themeColor="text1"/>
        </w:rPr>
        <w:t xml:space="preserve">, Tỉnh Hưng Yên)  theo Giấy chứng nhận quyền sử dụng đất quyền sở hữu nhà ở và tài sản khác gắn liền với đất số: DQ 967613, số vào sổ cấp GCN: VP 06233 do Văn phòng Đăng ký đất đai tỉnh Hưng Yên cấp ngày 27/12/2024 cho ông Đỗ Đình Quang và bà Đỗ Thị Thuận.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Ind w:w="-72" w:type="dxa"/>
        <w:tblW w:w="509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40"/>
        <w:gridCol w:w="2073"/>
        <w:gridCol w:w="1672"/>
        <w:gridCol w:w="2573"/>
        <w:gridCol w:w="1407"/>
        <w:gridCol w:w="1728"/>
      </w:tblGrid>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142"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28"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59"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453" w:type="dxa"/>
            <w:vAlign w:val="center"/>
            <w:textDirection w:val="lrTb"/>
            <w:noWrap w:val="false"/>
          </w:tcPr>
          <w:p>
            <w:pPr>
              <w:pBdr/>
              <w:spacing/>
              <w:ind/>
              <w:jc w:val="center"/>
              <w:rPr>
                <w:b/>
                <w:bCs/>
              </w:rPr>
            </w:pPr>
            <w:r>
              <w:rPr>
                <w:b/>
                <w:bCs/>
              </w:rPr>
              <w:t xml:space="preserve">Tỷ lệ CLCL (%)</w:t>
            </w:r>
            <w:r>
              <w:rPr>
                <w:b/>
                <w:bCs/>
              </w:rPr>
            </w:r>
            <w:r>
              <w:rPr>
                <w:b/>
                <w:bCs/>
              </w:rPr>
            </w:r>
          </w:p>
        </w:tc>
        <w:tc>
          <w:tcPr>
            <w:shd w:val="clear" w:color="000000" w:fill="ffffff"/>
            <w:tcBorders/>
            <w:tcW w:w="1785"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7622" w:type="dxa"/>
            <w:vAlign w:val="center"/>
            <w:textDirection w:val="lrTb"/>
            <w:noWrap w:val="false"/>
          </w:tcPr>
          <w:p>
            <w:pPr>
              <w:pBdr/>
              <w:spacing w:after="40" w:before="40" w:line="288" w:lineRule="auto"/>
              <w:ind/>
              <w:jc w:val="both"/>
              <w:rPr>
                <w:b/>
                <w:bCs/>
              </w:rPr>
            </w:pPr>
            <w:r>
              <w:rPr>
                <w:color w:val="000000"/>
              </w:rPr>
              <w:t xml:space="preserve">Quyền sử dụng đất và tài sản gắn liền với đất tại thửa đất số: 3199, tờ bản đồ số: 03 có địa chỉ: SB10 - 52, khu đô thị sinh thái Dream City, xã Long Hưng, huyện Văn Giang, tỉnh Hưng Yên (nay là xã Nghĩa Trụ</w:t>
            </w:r>
            <w:r>
              <w:rPr>
                <w:color w:val="000000"/>
              </w:rPr>
              <w:t xml:space="preserve">, Tỉnh Hưng Yên)  theo Giấy chứng nhận quyền sử dụng đất quyền sở hữu nhà ở và tài sản khác gắn liền với đất số: DQ 967613, số vào sổ cấp GCN: VP 06233 do Văn phòng Đăng ký đất đai tỉnh Hưng Yên cấp ngày 27/12/2024 cho ông Đỗ Đình Quang và bà Đỗ Thị Thuận.</w:t>
            </w:r>
            <w:r>
              <w:rPr>
                <w:b/>
                <w:bCs/>
              </w:rPr>
            </w:r>
            <w:r>
              <w:rPr>
                <w:b/>
                <w:bCs/>
              </w:rPr>
            </w:r>
          </w:p>
        </w:tc>
        <w:tc>
          <w:tcPr>
            <w:shd w:val="clear" w:color="000000" w:fill="ffffff"/>
            <w:tcBorders/>
            <w:tcW w:w="1785"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142" w:type="dxa"/>
            <w:vAlign w:val="center"/>
            <w:textDirection w:val="lrTb"/>
            <w:noWrap w:val="false"/>
          </w:tcPr>
          <w:p>
            <w:pPr>
              <w:pBdr/>
              <w:spacing w:after="40" w:before="40" w:line="288" w:lineRule="auto"/>
              <w:ind/>
              <w:jc w:val="both"/>
              <w:rPr>
                <w:b w:val="0"/>
                <w:bCs w:val="0"/>
              </w:rPr>
            </w:pPr>
            <w:r>
              <w:rPr>
                <w:b w:val="0"/>
                <w:bCs w:val="0"/>
              </w:rPr>
              <w:t xml:space="preserve">Đất ở tại đô thị</w:t>
            </w:r>
            <w:r>
              <w:rPr>
                <w:b w:val="0"/>
                <w:bCs w:val="0"/>
              </w:rPr>
            </w:r>
            <w:r>
              <w:rPr>
                <w:b w:val="0"/>
                <w:bCs w:val="0"/>
              </w:rPr>
            </w:r>
          </w:p>
        </w:tc>
        <w:tc>
          <w:tcPr>
            <w:tcBorders/>
            <w:tcW w:w="1728" w:type="dxa"/>
            <w:vAlign w:val="center"/>
            <w:textDirection w:val="lrTb"/>
            <w:noWrap/>
          </w:tcPr>
          <w:p>
            <w:pPr>
              <w:pBdr/>
              <w:spacing w:after="40" w:before="40" w:line="288" w:lineRule="auto"/>
              <w:ind/>
              <w:jc w:val="center"/>
              <w:rPr>
                <w:color w:val="000000"/>
              </w:rPr>
            </w:pPr>
            <w:r>
              <w:rPr>
                <w:color w:val="000000" w:themeColor="text1"/>
              </w:rPr>
              <w:t xml:space="preserve">58,5</w:t>
            </w:r>
            <w:r>
              <w:rPr>
                <w:color w:val="000000"/>
              </w:rPr>
            </w:r>
            <w:r>
              <w:rPr>
                <w:color w:val="000000"/>
              </w:rPr>
            </w:r>
          </w:p>
        </w:tc>
        <w:tc>
          <w:tcPr>
            <w:shd w:val="clear" w:color="000000" w:fill="ffffff"/>
            <w:tcBorders/>
            <w:tcW w:w="2659" w:type="dxa"/>
            <w:vAlign w:val="center"/>
            <w:textDirection w:val="lrTb"/>
            <w:noWrap w:val="false"/>
          </w:tcPr>
          <w:p>
            <w:pPr>
              <w:pBdr/>
              <w:spacing w:after="40" w:before="40" w:line="288" w:lineRule="auto"/>
              <w:ind/>
              <w:jc w:val="center"/>
              <w:rPr/>
            </w:pPr>
            <w:r>
              <w:rPr>
                <w:color w:val="000000" w:themeColor="text1"/>
              </w:rPr>
              <w:t xml:space="preserve">130.000.000</w:t>
            </w:r>
            <w:r/>
          </w:p>
        </w:tc>
        <w:tc>
          <w:tcPr>
            <w:shd w:val="clear" w:color="000000" w:fill="ffffff"/>
            <w:tcBorders/>
            <w:tcW w:w="1453"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shd w:val="clear" w:color="000000" w:fill="ffffff"/>
            <w:tcBorders/>
            <w:tcW w:w="1785" w:type="dxa"/>
            <w:vAlign w:val="center"/>
            <w:textDirection w:val="lrTb"/>
            <w:noWrap w:val="false"/>
          </w:tcPr>
          <w:p>
            <w:pPr>
              <w:pBdr/>
              <w:spacing w:after="40" w:before="40" w:line="288" w:lineRule="auto"/>
              <w:ind/>
              <w:jc w:val="right"/>
              <w:rPr/>
            </w:pPr>
            <w:r>
              <w:rPr>
                <w:color w:val="000000" w:themeColor="text1"/>
              </w:rPr>
              <w:t xml:space="preserve">7.605.000.000</w:t>
            </w: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142" w:type="dxa"/>
            <w:vAlign w:val="center"/>
            <w:textDirection w:val="lrTb"/>
            <w:noWrap w:val="false"/>
          </w:tcPr>
          <w:p>
            <w:pPr>
              <w:pBdr/>
              <w:spacing w:after="40" w:before="40" w:line="288" w:lineRule="auto"/>
              <w:ind/>
              <w:jc w:val="both"/>
              <w:rPr>
                <w:b w:val="0"/>
                <w:bCs w:val="0"/>
              </w:rPr>
            </w:pPr>
            <w:r>
              <w:rPr>
                <w:b w:val="0"/>
                <w:bCs w:val="0"/>
              </w:rPr>
              <w:t xml:space="preserve">Nhà liền kề 5 tầng</w:t>
            </w:r>
            <w:r>
              <w:rPr>
                <w:b w:val="0"/>
                <w:bCs w:val="0"/>
              </w:rPr>
            </w:r>
            <w:r>
              <w:rPr>
                <w:b w:val="0"/>
                <w:bCs w:val="0"/>
              </w:rPr>
            </w:r>
          </w:p>
        </w:tc>
        <w:tc>
          <w:tcPr>
            <w:tcBorders/>
            <w:tcW w:w="1728" w:type="dxa"/>
            <w:vAlign w:val="center"/>
            <w:textDirection w:val="lrTb"/>
            <w:noWrap/>
          </w:tcPr>
          <w:p>
            <w:pPr>
              <w:pBdr/>
              <w:spacing w:after="40" w:before="40" w:line="288" w:lineRule="auto"/>
              <w:ind/>
              <w:jc w:val="center"/>
              <w:rPr>
                <w:color w:val="000000"/>
              </w:rPr>
            </w:pPr>
            <w:r>
              <w:rPr>
                <w:color w:val="000000" w:themeColor="text1"/>
              </w:rPr>
              <w:t xml:space="preserve">240,4</w:t>
            </w:r>
            <w:r>
              <w:rPr>
                <w:color w:val="000000"/>
              </w:rPr>
            </w:r>
            <w:r>
              <w:rPr>
                <w:color w:val="000000"/>
              </w:rPr>
            </w:r>
          </w:p>
        </w:tc>
        <w:tc>
          <w:tcPr>
            <w:shd w:val="clear" w:color="000000" w:fill="ffffff"/>
            <w:tcBorders/>
            <w:tcW w:w="2659" w:type="dxa"/>
            <w:vAlign w:val="center"/>
            <w:textDirection w:val="lrTb"/>
            <w:noWrap w:val="false"/>
          </w:tcPr>
          <w:p>
            <w:pPr>
              <w:pBdr/>
              <w:spacing w:after="40" w:before="40" w:line="288" w:lineRule="auto"/>
              <w:ind/>
              <w:jc w:val="center"/>
              <w:rPr/>
            </w:pPr>
            <w:r>
              <w:rPr>
                <w:color w:val="000000" w:themeColor="text1"/>
              </w:rPr>
              <w:t xml:space="preserve">7.727.062</w:t>
            </w:r>
            <w:r/>
          </w:p>
        </w:tc>
        <w:tc>
          <w:tcPr>
            <w:shd w:val="clear" w:color="000000" w:fill="ffffff"/>
            <w:tcBorders/>
            <w:tcW w:w="1453"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85%</w:t>
            </w:r>
            <w:r>
              <w:rPr>
                <w:color w:val="000000" w:themeColor="text1"/>
              </w:rPr>
            </w:r>
            <w:r>
              <w:rPr>
                <w:color w:val="000000" w:themeColor="text1"/>
              </w:rPr>
            </w:r>
          </w:p>
        </w:tc>
        <w:tc>
          <w:tcPr>
            <w:shd w:val="clear" w:color="000000" w:fill="ffffff"/>
            <w:tcBorders/>
            <w:tcW w:w="1785" w:type="dxa"/>
            <w:vAlign w:val="center"/>
            <w:textDirection w:val="lrTb"/>
            <w:noWrap w:val="false"/>
          </w:tcPr>
          <w:p>
            <w:pPr>
              <w:pBdr/>
              <w:spacing w:after="40" w:before="40" w:line="288" w:lineRule="auto"/>
              <w:ind/>
              <w:jc w:val="right"/>
              <w:rPr/>
            </w:pPr>
            <w:r>
              <w:rPr>
                <w:color w:val="000000" w:themeColor="text1"/>
              </w:rPr>
              <w:t xml:space="preserve">1.578.947.849</w:t>
            </w:r>
            <w:r/>
          </w:p>
        </w:tc>
      </w:tr>
      <w:tr>
        <w:trPr>
          <w:trHeight w:val="20"/>
        </w:trPr>
        <w:tc>
          <w:tcPr>
            <w:gridSpan w:val="4"/>
            <w:tcBorders/>
            <w:tcW w:w="663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453" w:type="dxa"/>
            <w:vAlign w:val="center"/>
            <w:textDirection w:val="lrTb"/>
            <w:noWrap/>
          </w:tcPr>
          <w:p>
            <w:pPr>
              <w:pBdr/>
              <w:spacing/>
              <w:ind/>
              <w:rPr/>
            </w:pPr>
            <w:r/>
            <w:r/>
          </w:p>
        </w:tc>
        <w:tc>
          <w:tcPr>
            <w:tcBorders/>
            <w:tcW w:w="1785" w:type="dxa"/>
            <w:vAlign w:val="center"/>
            <w:textDirection w:val="lrTb"/>
            <w:noWrap/>
          </w:tcPr>
          <w:p>
            <w:pPr>
              <w:pBdr/>
              <w:spacing w:after="40" w:before="40" w:line="288" w:lineRule="auto"/>
              <w:ind/>
              <w:jc w:val="right"/>
              <w:rPr>
                <w:b/>
                <w:bCs/>
                <w:color w:val="000000"/>
              </w:rPr>
            </w:pPr>
            <w:r>
              <w:rPr>
                <w:b/>
                <w:bCs/>
              </w:rPr>
              <w:t xml:space="preserve">9.183.947.849</w:t>
            </w:r>
            <w:r>
              <w:rPr>
                <w:b/>
                <w:bCs/>
                <w:color w:val="000000"/>
              </w:rPr>
            </w:r>
            <w:r>
              <w:rPr>
                <w:b/>
                <w:bCs/>
                <w:color w:val="000000"/>
              </w:rPr>
            </w:r>
          </w:p>
        </w:tc>
      </w:tr>
      <w:tr>
        <w:trPr>
          <w:trHeight w:val="20"/>
        </w:trPr>
        <w:tc>
          <w:tcPr>
            <w:gridSpan w:val="4"/>
            <w:tcBorders/>
            <w:tcW w:w="6630"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453"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1785" w:type="dxa"/>
            <w:vAlign w:val="center"/>
            <w:textDirection w:val="lrTb"/>
            <w:noWrap/>
          </w:tcPr>
          <w:p>
            <w:pPr>
              <w:pBdr/>
              <w:spacing w:after="40" w:before="40" w:line="288" w:lineRule="auto"/>
              <w:ind/>
              <w:jc w:val="right"/>
              <w:rPr>
                <w:b/>
                <w:bCs/>
                <w:color w:val="000000"/>
              </w:rPr>
            </w:pPr>
            <w:r>
              <w:rPr>
                <w:b/>
                <w:bCs/>
                <w:color w:val="000000"/>
              </w:rPr>
              <w:t xml:space="preserve">9.184.000.000</w:t>
            </w:r>
            <w:r>
              <w:rPr>
                <w:b/>
                <w:bCs/>
                <w:color w:val="000000"/>
              </w:rPr>
            </w:r>
            <w:r>
              <w:rPr>
                <w:b/>
                <w:bCs/>
                <w:color w:val="000000"/>
              </w:rPr>
            </w:r>
          </w:p>
        </w:tc>
      </w:tr>
      <w:tr>
        <w:trPr>
          <w:trHeight w:val="20"/>
        </w:trPr>
        <w:tc>
          <w:tcPr>
            <w:gridSpan w:val="6"/>
            <w:tcBorders/>
            <w:tcW w:w="9993" w:type="dxa"/>
            <w:vAlign w:val="center"/>
            <w:vMerge w:val="restart"/>
            <w:textDirection w:val="lrTb"/>
            <w:noWrap/>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một trăm tám mươi tư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highlight w:val="none"/>
          <w:lang w:val="vi-VN"/>
        </w:rPr>
      </w:r>
      <w:r>
        <w:rPr>
          <w:lang w:val="pt-BR"/>
        </w:rPr>
      </w:r>
      <w:r>
        <w:rPr>
          <w:lang w:val="pt-BR"/>
        </w:rPr>
      </w:r>
    </w:p>
    <w:p>
      <w:pPr>
        <w:pBdr/>
        <w:spacing w:after="120" w:before="120" w:line="312" w:lineRule="auto"/>
        <w:ind/>
        <w:rPr>
          <w:rFonts w:eastAsia="Calibri"/>
          <w:b/>
          <w:bCs/>
          <w:spacing w:val="-4"/>
          <w:highlight w:val="none"/>
          <w:lang w:val="vi-VN"/>
        </w:rPr>
      </w:pPr>
      <w:r>
        <w:rPr>
          <w:rFonts w:eastAsia="Calibri"/>
          <w:b/>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120" w:before="120" w:line="312" w:lineRule="auto"/>
        <w:ind/>
        <w:rPr>
          <w:rFonts w:eastAsia="Calibri"/>
          <w:b/>
          <w:bCs/>
          <w:spacing w:val="-4"/>
          <w:highlight w:val="none"/>
          <w:lang w:val="vi-VN"/>
        </w:rPr>
      </w:pPr>
      <w:r>
        <w:rPr>
          <w:rFonts w:eastAsia="Calibri"/>
          <w:b/>
          <w:bCs/>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120" w:before="120" w:line="312" w:lineRule="auto"/>
        <w:ind/>
        <w:rPr>
          <w:rFonts w:eastAsia="Calibri"/>
          <w:b/>
          <w:bCs/>
          <w:spacing w:val="-4"/>
          <w:highlight w:val="none"/>
          <w:lang w:val="vi-VN"/>
        </w:rPr>
      </w:pPr>
      <w:r>
        <w:rPr>
          <w:rFonts w:eastAsia="Calibri"/>
          <w:b/>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120" w:before="120" w:line="312" w:lineRule="auto"/>
        <w:ind/>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highlight w:val="none"/>
          <w:lang w:val="vi-VN"/>
        </w:rPr>
      </w:r>
      <w:r>
        <w:rPr>
          <w:rFonts w:eastAsia="Calibri"/>
          <w:b/>
          <w:bCs/>
          <w:spacing w:val="-4"/>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9" w:type="pct"/>
        <w:tblBorders/>
        <w:tblLayout w:type="fixed"/>
        <w:tblLook w:val="01E0" w:firstRow="1" w:lastRow="1" w:firstColumn="1" w:lastColumn="1" w:noHBand="0" w:noVBand="0"/>
      </w:tblPr>
      <w:tblGrid>
        <w:gridCol w:w="4698"/>
        <w:gridCol w:w="5130"/>
      </w:tblGrid>
      <w:tr>
        <w:trPr>
          <w:trHeight w:val="20"/>
        </w:trPr>
        <w:tc>
          <w:tcPr>
            <w:tcBorders/>
            <w:tcW w:w="469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3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469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513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98"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130"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116"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156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4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70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275/2026/0261/VFI-CT.17.A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408"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3 tháng 2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275/2026/0261/VFI-CT.17.A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865" w:type="dxa"/>
        <w:tblBorders/>
        <w:tblLayout w:type="fixed"/>
        <w:tblLook w:val="04A0" w:firstRow="1" w:lastRow="0" w:firstColumn="1" w:lastColumn="0" w:noHBand="0" w:noVBand="1"/>
      </w:tblPr>
      <w:tblGrid>
        <w:gridCol w:w="1998"/>
        <w:gridCol w:w="289"/>
        <w:gridCol w:w="7578"/>
      </w:tblGrid>
      <w:tr>
        <w:trPr>
          <w:trHeight w:val="20"/>
        </w:trPr>
        <w:tc>
          <w:tcPr>
            <w:tcBorders/>
            <w:tcW w:w="1998"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78"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78"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578"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78"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78"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78"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78"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Ind w:w="-60" w:type="dxa"/>
        <w:tblW w:w="9930" w:type="dxa"/>
        <w:tblBorders/>
        <w:tblLayout w:type="fixed"/>
        <w:tblLook w:val="04A0" w:firstRow="1" w:lastRow="0" w:firstColumn="1" w:lastColumn="0" w:noHBand="0" w:noVBand="1"/>
      </w:tblPr>
      <w:tblGrid>
        <w:gridCol w:w="2518"/>
        <w:gridCol w:w="284"/>
        <w:gridCol w:w="7128"/>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28"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ĐỖ THỊ THUẬN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2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033179004221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2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17/03/1979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2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nhà 10 ngõ 6 phố Lương Đình Của, phường Phố Hiến, tỉnh Hưng Yên</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3199, tờ bản đồ số: 03 có địa chỉ: SB10 - 52, khu đô thị sinh thái Dream City, xã Long Hưng, huyện Văn Giang, tỉnh Hưng Yên (nay là xã Nghĩa Trụ</w:t>
            </w:r>
            <w:r>
              <w:rPr>
                <w:bCs/>
                <w:color w:val="000000" w:themeColor="text1"/>
                <w:lang w:val="pt-BR"/>
              </w:rPr>
              <w:t xml:space="preserve">, Tỉnh Hưng Yên)  theo Giấy chứng nhận quyền sử dụng đất quyền sở hữu nhà ở và tài sản khác gắn liền với đất số: DQ 967613, số vào sổ cấp GCN: VP 06233 do Văn phòng Đăng ký đất đai tỉnh Hưng Yên cấp ngày 27/12/2024 cho ông Đỗ Đình Quang và bà Đỗ Thị Thuận.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SB10-52, khu đô thị sinh thái Dream City, xã Long Hưng, huyện Văn Giang, tỉnh Hưng Yên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(20.9482897, 105.9729386)</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DQ 967613, số vào sổ cấp GCN: VP 06233 do Văn phòng Đăng ký đất đai tỉnh Hưng Yên cấp ngày 27/12/2024 cho ông Đỗ Đình Quang và bà Đỗ Thị Thuận.</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275/2026/0261/VFI-HĐTĐ.17.A</w:t>
      </w:r>
      <w:r>
        <w:rPr>
          <w:spacing w:val="-4"/>
          <w:lang w:val="vi-VN"/>
        </w:rPr>
        <w:t xml:space="preserve"> ký ngày </w:t>
      </w:r>
      <w:r>
        <w:rPr>
          <w:color w:val="000000" w:themeColor="text1"/>
          <w:spacing w:val="-4"/>
        </w:rPr>
        <w:t xml:space="preserve">30 tháng 1 năm 2026</w:t>
      </w:r>
      <w:r>
        <w:rPr>
          <w:spacing w:val="-4"/>
          <w:lang w:val="vi-VN"/>
        </w:rPr>
        <w:t xml:space="preserve"> </w:t>
      </w:r>
      <w:r>
        <w:rPr>
          <w:spacing w:val="-4"/>
          <w:lang w:val="vi-VN"/>
        </w:rPr>
        <w:t xml:space="preserve">giữa bà Đỗ Thị Thuận</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shd w:val="clear" w:color="auto" w:fill="ffffff"/>
        </w:rPr>
        <w:t xml:space="preserve">Giá đất nền tại Hưng Yên</w:t>
      </w:r>
      <w:r>
        <w:rPr>
          <w:shd w:val="clear" w:color="auto" w:fill="ffffff"/>
        </w:rPr>
        <w:t xml:space="preserve"> tiếp tục có xu hướng tăng giá trong hai tháng gần đây.</w:t>
        <w:br/>
        <w:t xml:space="preserve">Dữ liệu thị trường bất động sản quý II/2025 tiếp tục ghi nhận Hưng Yên là thị trường đất nền sáng giá ở khu vực phía Bắc với mức tăng trưởng về giá đạt 75% so với quý I/2025.</w:t>
      </w:r>
      <w:r>
        <w:rPr>
          <w:iCs/>
        </w:rPr>
      </w:r>
      <w:r>
        <w:rPr>
          <w:iCs/>
        </w:rPr>
      </w:r>
    </w:p>
    <w:p>
      <w:pPr>
        <w:pBdr/>
        <w:tabs>
          <w:tab w:val="left" w:leader="none" w:pos="426"/>
        </w:tabs>
        <w:spacing w:after="120" w:before="120" w:line="276" w:lineRule="auto"/>
        <w:ind/>
        <w:jc w:val="both"/>
        <w:rPr/>
      </w:pPr>
      <w:r>
        <w:rPr>
          <w:shd w:val="clear" w:color="auto" w:fill="ffffff"/>
        </w:rPr>
        <w:t xml:space="preserve">Trước đó, trong quý I/202</w:t>
      </w:r>
      <w:r>
        <w:rPr>
          <w:shd w:val="clear" w:color="auto" w:fill="ffffff"/>
        </w:rPr>
        <w:t xml:space="preserve">5, Hưng Yên nằm trong top đầu những tỉnh có lượng người tìm kiếm nhiều nhất. So với đầu năm 2025, thị trường đất nền Hưng Yên tiếp tục có sự đi lên về giá bán.</w:t>
        <w:br/>
        <w:t xml:space="preserve">Tại xã Văn Giang (được sáp nhập từ thị trấn Văn Giang, xã Liên Nghĩa và xã Tân Tiến), những lô đ</w:t>
      </w:r>
      <w:r>
        <w:rPr>
          <w:shd w:val="clear" w:color="auto" w:fill="ffffff"/>
        </w:rPr>
        <w:t xml:space="preserve">ất thuộc khu vực vòng xuyến (bùng binh) Văn Giang đã tăng giá từ 125 - 150 triệu đồng/m2 lên mức 135 - 160 triệu đồng/m2.</w:t>
      </w:r>
      <w:r/>
    </w:p>
    <w:p>
      <w:pPr>
        <w:pBdr/>
        <w:tabs>
          <w:tab w:val="left" w:leader="none" w:pos="426"/>
        </w:tabs>
        <w:spacing w:after="120" w:before="120" w:line="276" w:lineRule="auto"/>
        <w:ind/>
        <w:jc w:val="both"/>
        <w:rPr/>
      </w:pPr>
      <w:r>
        <w:rPr>
          <w:shd w:val="clear" w:color="auto" w:fill="ffffff"/>
        </w:rPr>
        <w:t xml:space="preserve">Với những vị trí kém đẹp hơn, các lô đất mặt tiền thuộc trục đường chính có thể kinh doanh tại xã Văn Giang cũng đã thiết lập mặt bằng</w:t>
      </w:r>
      <w:r>
        <w:rPr>
          <w:shd w:val="clear" w:color="auto" w:fill="ffffff"/>
        </w:rPr>
        <w:t xml:space="preserve"> giá mới, đạt 65 - 78 triệu đồng/m2, thay cho mức giá 50 - 60 triệu đồng/m2 hồi đầu năm.</w:t>
      </w:r>
      <w:r/>
    </w:p>
    <w:p>
      <w:pPr>
        <w:pBdr/>
        <w:tabs>
          <w:tab w:val="left" w:leader="none" w:pos="426"/>
        </w:tabs>
        <w:spacing w:after="120" w:before="120" w:line="276" w:lineRule="auto"/>
        <w:ind/>
        <w:jc w:val="both"/>
        <w:rPr/>
      </w:pPr>
      <w:r>
        <w:rPr>
          <w:shd w:val="clear" w:color="auto" w:fill="ffffff"/>
        </w:rPr>
        <w:t xml:space="preserve">Đất nền tại các khu vực Phụng Công, Xuân Cao và Cửu Cao (cũ) cũng ghi nhận mức tăng, từ 40 - 55 triệu đồng/m2 lên 44 - 58 triệu đồng/m2. Đất dịch vụ tại xã Văn Giang k</w:t>
      </w:r>
      <w:r>
        <w:rPr>
          <w:shd w:val="clear" w:color="auto" w:fill="ffffff"/>
        </w:rPr>
        <w:t xml:space="preserve">hông kém cạnh đất thổ cư khi giá rao bán đã tăng từ 78 - 120 triệu đồng/m2 lên mức 84 - 126 triệu đồng/m2. Đối với những lô đất dịch vụ có vị trí không sầm uất, mặt bằng giá mới cũng đã hình thành, tăng trung bình từ 3 - 5 giá so với cuối năm ngoái, dao độ</w:t>
      </w:r>
      <w:r>
        <w:rPr>
          <w:shd w:val="clear" w:color="auto" w:fill="ffffff"/>
        </w:rPr>
        <w:t xml:space="preserve">ng từ 40 - 55 triệu đồng/m2.</w:t>
      </w:r>
      <w:r/>
    </w:p>
    <w:p>
      <w:pPr>
        <w:pBdr/>
        <w:tabs>
          <w:tab w:val="left" w:leader="none" w:pos="426"/>
        </w:tabs>
        <w:spacing w:after="120" w:before="120" w:line="276" w:lineRule="auto"/>
        <w:ind/>
        <w:jc w:val="both"/>
        <w:rPr/>
      </w:pPr>
      <w:r>
        <w:rPr>
          <w:shd w:val="clear" w:color="auto" w:fill="ffffff"/>
        </w:rPr>
        <w:t xml:space="preserve">Không chỉ Văn Giang, đất nền tại thành phố Hưng Yên cũng tăng giá đáng chú ý. Đơn cử, đất kinh doanh trên các tuyến đường Lương Định Của, Tạ Quang Bửu, Tôn Thất Tùng thuộc phường Phố Hiến (thành phố Hưng Yên) đã tăng giá từ 30 </w:t>
      </w:r>
      <w:r>
        <w:rPr>
          <w:shd w:val="clear" w:color="auto" w:fill="ffffff"/>
        </w:rPr>
        <w:t xml:space="preserve">- 35 triệu đồng/m2 lên 33 - 38 triệu đồng/m2. Tại các tuyến đường An Vũ, Nguyễn Biểu, Nguyễn Văn Linh thuộc phường Phố Hiến (phường Hiến Nam cũ), giá bán cũng tăng từ 26 - 32 triệu đồng/m2 lên 28 - 35 triệu đồng/m2.</w:t>
      </w:r>
      <w:r/>
    </w:p>
    <w:p>
      <w:pPr>
        <w:pBdr/>
        <w:tabs>
          <w:tab w:val="left" w:leader="none" w:pos="426"/>
        </w:tabs>
        <w:spacing w:after="120" w:before="120" w:line="276" w:lineRule="auto"/>
        <w:ind/>
        <w:jc w:val="both"/>
        <w:rPr/>
      </w:pPr>
      <w:r>
        <w:rPr>
          <w:shd w:val="clear" w:color="auto" w:fill="ffffff"/>
        </w:rPr>
        <w:t xml:space="preserve">Đất mặt đường Huỳnh Thúc Kháng (phường S</w:t>
      </w:r>
      <w:r>
        <w:rPr>
          <w:shd w:val="clear" w:color="auto" w:fill="ffffff"/>
        </w:rPr>
        <w:t xml:space="preserve">ơn Nam) được chào bán từ 33 - 36 triệu đồng/m2, tăng khoảng 10% so với 3 tháng trước. Riêng những lô đất đẹp ở khu vực này hiện đang được rao bán với mức giá dao động từ 44 - 47 triệu đồng/m2.</w:t>
      </w:r>
      <w:r/>
    </w:p>
    <w:p>
      <w:pPr>
        <w:pBdr/>
        <w:tabs>
          <w:tab w:val="left" w:leader="none" w:pos="426"/>
        </w:tabs>
        <w:spacing w:after="120" w:before="120" w:line="276" w:lineRule="auto"/>
        <w:ind/>
        <w:jc w:val="both"/>
        <w:rPr/>
      </w:pPr>
      <w:r>
        <w:rPr>
          <w:shd w:val="clear" w:color="auto" w:fill="ffffff"/>
        </w:rPr>
        <w:t xml:space="preserve">Nhận định thị trường đất nền từ nay đến cuối năm 2025, ông Lê Đ</w:t>
      </w:r>
      <w:r>
        <w:rPr>
          <w:shd w:val="clear" w:color="auto" w:fill="ffffff"/>
        </w:rPr>
        <w:t xml:space="preserve">ình Chung - Thành viên Tổ công tác nghiên cứu thị trường VARS, Tổng Giám đốc SGO Homes - cho rằng, về mặt tâm lý, các nhà đầu tư Việt Nam nói chung vẫn dành nhiều sự quan tâm cho phân khúc đất nền.</w:t>
      </w:r>
      <w:r/>
    </w:p>
    <w:p>
      <w:pPr>
        <w:pBdr/>
        <w:tabs>
          <w:tab w:val="left" w:leader="none" w:pos="426"/>
        </w:tabs>
        <w:spacing w:after="120" w:before="120" w:line="276" w:lineRule="auto"/>
        <w:ind/>
        <w:jc w:val="both"/>
        <w:rPr/>
      </w:pPr>
      <w:r>
        <w:rPr>
          <w:shd w:val="clear" w:color="auto" w:fill="ffffff"/>
        </w:rPr>
        <w:t xml:space="preserve">"Do tổng giá trị của một lô đất thường vừa phải, không đòi</w:t>
      </w:r>
      <w:r>
        <w:rPr>
          <w:shd w:val="clear" w:color="auto" w:fill="ffffff"/>
        </w:rPr>
        <w:t xml:space="preserve"> hỏi phải xây dựng ngay. Bên cạnh đó, nhiều người mua đất để dành, với mong muốn sau 3 - 5 năm mới xây dựng, nên đây là lựa chọn phù hợp cả với nhu cầu an cư lẫn đầu tư" - ông Chung nói.</w:t>
      </w:r>
      <w:r/>
    </w:p>
    <w:p>
      <w:pPr>
        <w:pBdr/>
        <w:tabs>
          <w:tab w:val="left" w:leader="none" w:pos="426"/>
        </w:tabs>
        <w:spacing w:after="120" w:before="120" w:line="276" w:lineRule="auto"/>
        <w:ind/>
        <w:jc w:val="both"/>
        <w:rPr/>
      </w:pPr>
      <w:r>
        <w:rPr>
          <w:shd w:val="clear" w:color="auto" w:fill="ffffff"/>
        </w:rPr>
        <w:t xml:space="preserve">Yếu tố quan trọng khác là hạ tầng. Khi hạ tầng giao thông được đầu tư</w:t>
      </w:r>
      <w:r>
        <w:rPr>
          <w:shd w:val="clear" w:color="auto" w:fill="ffffff"/>
        </w:rPr>
        <w:t xml:space="preserve">, mở rộng, việc kết nối trở nên thuận lợi, người dân sẵn sàng dịch chuyển ra xa trung tâm để sở hữu bất động sản với mức giá hợp lý hơn. Đồng thời, doanh nghiệp, cơ sở sản xuất cũng có xu hướng dịch chuyển theo hạ tầng, tạo động lực cho phát triển kinh tế </w:t>
      </w:r>
      <w:r>
        <w:rPr>
          <w:shd w:val="clear" w:color="auto" w:fill="ffffff"/>
        </w:rPr>
        <w:t xml:space="preserve">- xã hội tại những khu vực này.</w:t>
      </w:r>
      <w:r/>
    </w:p>
    <w:p>
      <w:pPr>
        <w:pBdr/>
        <w:tabs>
          <w:tab w:val="left" w:leader="none" w:pos="426"/>
        </w:tabs>
        <w:spacing w:after="120" w:before="120" w:line="276" w:lineRule="auto"/>
        <w:ind/>
        <w:jc w:val="both"/>
        <w:rPr/>
      </w:pPr>
      <w:r>
        <w:rPr>
          <w:shd w:val="clear" w:color="auto" w:fill="ffffff"/>
        </w:rPr>
        <w:t xml:space="preserve">Đánh giá về các thị trường cụ thể, ông Chung cho biết, Bắc Ninh và Hưng Yên đang là những địa phương nổi bật, nhận được sự quan tâm rất lớn từ nhà đầu tư. Đặc biệt, Hưng Yên thời gian qua liên tục xuất hiện nhiều dự án quy m</w:t>
      </w:r>
      <w:r>
        <w:rPr>
          <w:shd w:val="clear" w:color="auto" w:fill="ffffff"/>
        </w:rPr>
        <w:t xml:space="preserve">ô lớn của các tập đoàn bất động sản hàng đầu, khiến khu vực này trở thành tâm điểm của giới đầu tư.</w:t>
      </w:r>
      <w:r/>
    </w:p>
    <w:p>
      <w:pPr>
        <w:pBdr/>
        <w:tabs>
          <w:tab w:val="left" w:leader="none" w:pos="426"/>
        </w:tabs>
        <w:spacing w:after="120" w:before="120" w:line="276" w:lineRule="auto"/>
        <w:ind/>
        <w:jc w:val="both"/>
        <w:rPr/>
      </w:pPr>
      <w:r>
        <w:rPr>
          <w:shd w:val="clear" w:color="auto" w:fill="ffffff"/>
        </w:rPr>
        <w:t xml:space="preserve">Để đảm bảo hiệu quả và hạn chế rủi ro khi đầu tư đất nền, ông Chung khuyến cáo các nhà đầu tư cần tránh chạy theo tâm lý đám đông.</w:t>
      </w:r>
      <w:r/>
    </w:p>
    <w:p>
      <w:pPr>
        <w:pBdr/>
        <w:tabs>
          <w:tab w:val="left" w:leader="none" w:pos="426"/>
        </w:tabs>
        <w:spacing w:after="120" w:before="120" w:line="276" w:lineRule="auto"/>
        <w:ind/>
        <w:jc w:val="both"/>
        <w:rPr/>
      </w:pPr>
      <w:r>
        <w:rPr>
          <w:shd w:val="clear" w:color="auto" w:fill="ffffff"/>
        </w:rPr>
        <w:t xml:space="preserve">Bên cạnh đó, việc đầu tư </w:t>
      </w:r>
      <w:r>
        <w:rPr>
          <w:shd w:val="clear" w:color="auto" w:fill="ffffff"/>
        </w:rPr>
        <w:t xml:space="preserve">đất nền cần có tầm nhìn trung hạn, với thời gian thu hồi vốn ít nhất từ 1 đến 3 năm, thay vì kỳ vọng "lướt sóng" nhanh chóng.</w:t>
      </w:r>
      <w:r/>
    </w:p>
    <w:p>
      <w:pPr>
        <w:pBdr/>
        <w:tabs>
          <w:tab w:val="left" w:leader="none" w:pos="426"/>
        </w:tabs>
        <w:spacing w:after="120" w:before="120" w:line="276" w:lineRule="auto"/>
        <w:ind/>
        <w:jc w:val="center"/>
        <w:rPr>
          <w:bCs/>
          <w:i/>
          <w:lang w:val="pt-BR"/>
        </w:rPr>
      </w:pPr>
      <w:r>
        <w:rPr>
          <w:shd w:val="clear" w:color="auto" w:fill="ffffff"/>
        </w:rPr>
        <w:br/>
        <w:t xml:space="preserve">(Nguồn tham khảo: https://laodong.vn/bat-dong-san/dat-nen-hung-yen-tiep-tuc-tang-gia-co-noi-cham-muc-160-trieu-dongm2-1569008.ldo)</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Ind w:w="-32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48"/>
        <w:gridCol w:w="2522"/>
        <w:gridCol w:w="2126"/>
        <w:gridCol w:w="2126"/>
        <w:gridCol w:w="2842"/>
      </w:tblGrid>
      <w:tr>
        <w:trPr>
          <w:trHeight w:val="20"/>
        </w:trPr>
        <w:tc>
          <w:tcPr>
            <w:tcBorders/>
            <w:tcW w:w="648"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9616" w:type="dxa"/>
            <w:vAlign w:val="center"/>
            <w:textDirection w:val="lrTb"/>
            <w:noWrap w:val="false"/>
          </w:tcPr>
          <w:p>
            <w:pPr>
              <w:pBdr/>
              <w:spacing/>
              <w:ind/>
              <w:jc w:val="both"/>
              <w:rPr>
                <w:b/>
                <w:bCs/>
                <w:color w:val="000000"/>
              </w:rPr>
            </w:pPr>
            <w:r>
              <w:rPr>
                <w:b/>
                <w:bCs/>
                <w:color w:val="000000"/>
              </w:rPr>
              <w:t xml:space="preserve">Quyền sử dụng đất và tài sản gắn liền với đất tại thửa đất số: 3199, tờ bản đồ số: 03 có địa chỉ: SB10 - 52, khu đô thị sinh thái Dream City, xã Long Hưng, huyện Văn Giang, tỉnh Hưng Yên (nay là xã Nghĩa Trụ</w:t>
            </w:r>
            <w:r>
              <w:rPr>
                <w:b/>
                <w:bCs/>
                <w:color w:val="000000"/>
              </w:rPr>
              <w:t xml:space="preserve">, Tỉnh Hưng Yên)  theo Giấy chứng nhận quyền sử dụng đất quyền sở hữu nhà ở và tài sản khác gắn liền với đất số: DQ 967613, số vào sổ cấp GCN: VP 06233 do Văn phòng Đăng ký đất đai tỉnh Hưng Yên cấp ngày 27/12/2024 cho ông Đỗ Đình Quang và bà Đỗ Thị Thuận.</w:t>
            </w:r>
            <w:r>
              <w:rPr>
                <w:b/>
                <w:bCs/>
                <w:color w:val="000000"/>
              </w:rPr>
            </w:r>
            <w:r>
              <w:rPr>
                <w:b/>
                <w:bCs/>
                <w:color w:val="000000"/>
              </w:rPr>
            </w:r>
          </w:p>
        </w:tc>
      </w:tr>
      <w:tr>
        <w:trPr>
          <w:trHeight w:val="20"/>
        </w:trPr>
        <w:tc>
          <w:tcPr>
            <w:tcBorders/>
            <w:tcW w:w="648"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9616"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3199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842" w:type="dxa"/>
            <w:vAlign w:val="center"/>
            <w:textDirection w:val="lrTb"/>
            <w:noWrap w:val="false"/>
          </w:tcPr>
          <w:p>
            <w:pPr>
              <w:pBdr/>
              <w:spacing/>
              <w:ind/>
              <w:jc w:val="center"/>
              <w:rPr>
                <w:color w:val="ee0000"/>
              </w:rPr>
            </w:pPr>
            <w:r>
              <w:rPr>
                <w:color w:val="000000" w:themeColor="text1"/>
              </w:rPr>
              <w:t xml:space="preserve">03</w:t>
            </w:r>
            <w:r>
              <w:rPr>
                <w:color w:val="ee0000"/>
              </w:rPr>
            </w:r>
            <w:r>
              <w:rPr>
                <w:color w:val="ee0000"/>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7094" w:type="dxa"/>
            <w:vAlign w:val="center"/>
            <w:textDirection w:val="lrTb"/>
            <w:noWrap w:val="false"/>
          </w:tcPr>
          <w:p>
            <w:pPr>
              <w:pBdr/>
              <w:spacing/>
              <w:ind/>
              <w:jc w:val="both"/>
              <w:rPr>
                <w:color w:val="000000"/>
              </w:rPr>
            </w:pPr>
            <w:r>
              <w:rPr>
                <w:color w:val="000000"/>
              </w:rPr>
              <w:t xml:space="preserve">SB10-52, khu đô thị sinh thái Dream City, xã Long Hưng, huyện Văn Giáng, tỉnh Hưng Yên</w:t>
            </w:r>
            <w:r>
              <w:rPr>
                <w:color w:val="000000"/>
              </w:rPr>
            </w:r>
            <w:r>
              <w:rPr>
                <w:color w:val="000000"/>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58,5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842" w:type="dxa"/>
            <w:vAlign w:val="center"/>
            <w:textDirection w:val="lrTb"/>
            <w:noWrap w:val="false"/>
          </w:tcPr>
          <w:p>
            <w:pPr>
              <w:pBdr/>
              <w:spacing/>
              <w:ind/>
              <w:jc w:val="center"/>
              <w:rPr>
                <w:color w:val="000000"/>
              </w:rPr>
            </w:pPr>
            <w:r>
              <w:rPr>
                <w:color w:val="000000"/>
              </w:rPr>
              <w:t xml:space="preserve">Sử dụng chung</w:t>
            </w:r>
            <w:r>
              <w:rPr>
                <w:color w:val="000000"/>
              </w:rPr>
            </w:r>
            <w:r>
              <w:rPr>
                <w:color w:val="000000"/>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842"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7094" w:type="dxa"/>
            <w:vAlign w:val="center"/>
            <w:textDirection w:val="lrTb"/>
            <w:noWrap w:val="false"/>
          </w:tcPr>
          <w:p>
            <w:pPr>
              <w:pBdr/>
              <w:spacing/>
              <w:ind/>
              <w:jc w:val="both"/>
              <w:rPr>
                <w:color w:val="000000"/>
              </w:rPr>
            </w:pPr>
            <w:r>
              <w:rPr>
                <w:color w:val="000000"/>
              </w:rPr>
              <w:t xml:space="preserve">Nhận chuyển nhượng đất được Nhà nước giao đất có thu tiền sử dụng đất</w:t>
            </w:r>
            <w:r>
              <w:rPr>
                <w:color w:val="000000"/>
              </w:rPr>
            </w:r>
            <w:r>
              <w:rPr>
                <w:color w:val="000000"/>
              </w:rPr>
            </w:r>
          </w:p>
        </w:tc>
      </w:tr>
      <w:tr>
        <w:trPr>
          <w:trHeight w:val="20"/>
        </w:trPr>
        <w:tc>
          <w:tcPr>
            <w:tcBorders/>
            <w:tcW w:w="648"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9616"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648"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9616"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Asphalt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842"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842"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7094" w:type="dxa"/>
            <w:vAlign w:val="center"/>
            <w:textDirection w:val="lrTb"/>
            <w:noWrap w:val="false"/>
          </w:tcPr>
          <w:p>
            <w:pPr>
              <w:pBdr/>
              <w:spacing/>
              <w:ind/>
              <w:jc w:val="both"/>
              <w:rPr>
                <w:color w:val="000000"/>
              </w:rPr>
            </w:pPr>
            <w:r>
              <w:rPr>
                <w:color w:val="000000"/>
              </w:rPr>
              <w:t xml:space="preserve">Cách khu công viên bể bơi khoảng 250m</w:t>
            </w:r>
            <w:r>
              <w:rPr>
                <w:color w:val="000000"/>
              </w:rPr>
            </w:r>
            <w:r>
              <w:rPr>
                <w:color w:val="000000"/>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7094" w:type="dxa"/>
            <w:vAlign w:val="center"/>
            <w:textDirection w:val="lrTb"/>
            <w:noWrap w:val="false"/>
          </w:tcPr>
          <w:p>
            <w:pPr>
              <w:pBdr/>
              <w:spacing/>
              <w:ind/>
              <w:rPr>
                <w:color w:val="000000" w:themeColor="text1"/>
              </w:rPr>
            </w:pPr>
            <w:r>
              <w:rPr>
                <w:color w:val="000000" w:themeColor="text1"/>
              </w:rPr>
              <w:t xml:space="preserve">Hướng Đông Bắc: Tiếp giáp đường giao thông.</w:t>
              <w:br/>
              <w:t xml:space="preserve">Hướng Các hướng khác: Tiếp giáp thửa đất khác.</w:t>
            </w:r>
            <w:r>
              <w:rPr>
                <w:color w:val="000000" w:themeColor="text1"/>
              </w:rPr>
            </w:r>
            <w:r>
              <w:rPr>
                <w:color w:val="000000" w:themeColor="text1"/>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616"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(20.9482897, 105.9729386)</w:t>
            </w:r>
            <w:r>
              <w:rPr>
                <w:color w:val="000000"/>
              </w:rPr>
            </w:r>
            <w:r>
              <w:rPr>
                <w:color w:val="000000"/>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616"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05765" cy="2733904"/>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05764" cy="27339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7.78pt;height:215.27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648"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9616"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58,5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842"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4,5</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842" w:type="dxa"/>
            <w:vAlign w:val="center"/>
            <w:textDirection w:val="lrTb"/>
            <w:noWrap w:val="false"/>
          </w:tcPr>
          <w:p>
            <w:pPr>
              <w:pBdr/>
              <w:spacing/>
              <w:ind/>
              <w:jc w:val="center"/>
              <w:rPr>
                <w:color w:val="000000" w:themeColor="text1"/>
              </w:rPr>
            </w:pPr>
            <w:r>
              <w:rPr>
                <w:color w:val="000000" w:themeColor="text1"/>
              </w:rPr>
              <w:t xml:space="preserve">13</w:t>
            </w:r>
            <w:r>
              <w:rPr>
                <w:color w:val="000000" w:themeColor="text1"/>
              </w:rPr>
            </w:r>
            <w:r>
              <w:rPr>
                <w:color w:val="000000" w:themeColor="text1"/>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842"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648"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9616"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7094"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7094" w:type="dxa"/>
            <w:vAlign w:val="center"/>
            <w:textDirection w:val="lrTb"/>
            <w:noWrap w:val="false"/>
          </w:tcPr>
          <w:p>
            <w:pPr>
              <w:pBdr/>
              <w:spacing/>
              <w:ind/>
              <w:rPr>
                <w:color w:val="000000"/>
              </w:rPr>
            </w:pPr>
            <w:r>
              <w:rPr>
                <w:color w:val="000000"/>
              </w:rPr>
              <w:t xml:space="preserve">Đầy đủ, đồng bộ</w:t>
            </w:r>
            <w:r>
              <w:rPr>
                <w:color w:val="000000"/>
              </w:rPr>
            </w:r>
            <w:r>
              <w:rPr>
                <w:color w:val="000000"/>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842"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842"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648"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9616"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648"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9616" w:type="dxa"/>
            <w:textDirection w:val="lrTb"/>
            <w:noWrap w:val="false"/>
          </w:tcPr>
          <w:p>
            <w:pPr>
              <w:pBdr/>
              <w:spacing/>
              <w:ind/>
              <w:jc w:val="both"/>
              <w:rPr>
                <w:b w:val="0"/>
                <w:bCs w:val="0"/>
                <w:color w:val="000000"/>
              </w:rPr>
            </w:pPr>
            <w:r>
              <w:rPr>
                <w:color w:val="000000"/>
              </w:rPr>
              <w:t xml:space="preserve">+ </w:t>
            </w:r>
            <w:r>
              <w:rPr>
                <w:color w:val="000000"/>
              </w:rPr>
              <w:t xml:space="preserve">Theo </w:t>
            </w:r>
            <w:r>
              <w:rPr>
                <w:b w:val="0"/>
                <w:bCs w:val="0"/>
                <w:color w:val="000000"/>
              </w:rPr>
              <w:t xml:space="preserve">Giấy chứng nhận quyền sử dụng đất quyền sở hữu nhà </w:t>
            </w:r>
            <w:r>
              <w:rPr>
                <w:b w:val="0"/>
                <w:bCs w:val="0"/>
                <w:color w:val="000000"/>
              </w:rPr>
              <w:t xml:space="preserve">ở và tài sản khác gắn liền với đất số: DQ 967613, trên đất có 01 công trình xây dựng là Nhà liền kề 5 tầng có diện tích xây dựng là: 49,1m2, diện tích sử dụng là: 240,4m2. Kết cấu BTCT chịu lực. Công trình đã được hoàn thiện hiện đang sử dụng bình thường. </w:t>
            </w:r>
            <w:r>
              <w:rPr>
                <w:b w:val="0"/>
                <w:bCs w:val="0"/>
                <w:color w:val="000000"/>
              </w:rPr>
            </w:r>
            <w:r>
              <w:rPr>
                <w:b w:val="0"/>
                <w:bCs w:val="0"/>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648"/>
        <w:gridCol w:w="1663"/>
        <w:gridCol w:w="2387"/>
        <w:gridCol w:w="2250"/>
        <w:gridCol w:w="1382"/>
        <w:gridCol w:w="1620"/>
      </w:tblGrid>
      <w:tr>
        <w:trPr>
          <w:jc w:val="center"/>
        </w:trPr>
        <w:tc>
          <w:tcPr>
            <w:tcBorders/>
            <w:tcW w:w="648" w:type="dxa"/>
            <w:vAlign w:val="center"/>
            <w:textDirection w:val="lrTb"/>
            <w:noWrap w:val="false"/>
          </w:tcPr>
          <w:p>
            <w:pPr>
              <w:pBdr/>
              <w:spacing/>
              <w:ind/>
              <w:jc w:val="center"/>
              <w:rPr>
                <w:b/>
                <w:bCs/>
              </w:rPr>
            </w:pPr>
            <w:r>
              <w:rPr>
                <w:b/>
                <w:bCs/>
              </w:rPr>
              <w:t xml:space="preserve">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387"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250"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82"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620"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648"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2387" w:type="dxa"/>
            <w:vAlign w:val="center"/>
            <w:textDirection w:val="lrTb"/>
            <w:noWrap w:val="false"/>
          </w:tcPr>
          <w:p>
            <w:pPr>
              <w:pBdr/>
              <w:spacing/>
              <w:ind/>
              <w:jc w:val="center"/>
              <w:rPr/>
            </w:pPr>
            <w:r>
              <w:t xml:space="preserve">SB10-52, khu đô thị sinh thái Dream City, xã Long Hưng, huyện Văn Giáng, tỉnh Hưng Yên </w:t>
            </w:r>
            <w:r/>
          </w:p>
        </w:tc>
        <w:tc>
          <w:tcPr>
            <w:tcBorders/>
            <w:tcW w:w="2250" w:type="dxa"/>
            <w:vAlign w:val="center"/>
            <w:textDirection w:val="lrTb"/>
            <w:noWrap w:val="false"/>
          </w:tcPr>
          <w:p>
            <w:pPr>
              <w:pBdr/>
              <w:spacing/>
              <w:ind/>
              <w:jc w:val="center"/>
              <w:rPr/>
            </w:pPr>
            <w:r>
              <w:t xml:space="preserve">SB10-52, khu đô thị sinh thái Dream City, xã Long Hưng, huyện Văn Giáng, tỉnh Hưng Yên ✔</w:t>
            </w:r>
            <w:r/>
          </w:p>
        </w:tc>
        <w:tc>
          <w:tcPr>
            <w:tcBorders/>
            <w:tcW w:w="1382" w:type="dxa"/>
            <w:vAlign w:val="center"/>
            <w:textDirection w:val="lrTb"/>
            <w:noWrap w:val="false"/>
          </w:tcPr>
          <w:p>
            <w:pPr>
              <w:pBdr/>
              <w:spacing/>
              <w:ind/>
              <w:jc w:val="center"/>
              <w:rPr/>
            </w:pPr>
            <w:r>
              <w:t xml:space="preserve">Không</w:t>
            </w:r>
            <w:r/>
          </w:p>
        </w:tc>
        <w:tc>
          <w:tcPr>
            <w:tcBorders/>
            <w:tcW w:w="1620"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2387" w:type="dxa"/>
            <w:vAlign w:val="center"/>
            <w:textDirection w:val="lrTb"/>
            <w:noWrap w:val="false"/>
          </w:tcPr>
          <w:p>
            <w:pPr>
              <w:pBdr/>
              <w:spacing/>
              <w:ind/>
              <w:jc w:val="center"/>
              <w:rPr/>
            </w:pPr>
            <w:r>
              <w:t xml:space="preserve">Xã Long Hưng, Huyện Văn Giang, Tỉnh Hưng Yên</w:t>
            </w:r>
            <w:r/>
          </w:p>
        </w:tc>
        <w:tc>
          <w:tcPr>
            <w:tcBorders/>
            <w:tcW w:w="2250" w:type="dxa"/>
            <w:vAlign w:val="center"/>
            <w:textDirection w:val="lrTb"/>
            <w:noWrap w:val="false"/>
          </w:tcPr>
          <w:p>
            <w:pPr>
              <w:pBdr/>
              <w:spacing/>
              <w:ind/>
              <w:jc w:val="center"/>
              <w:rPr/>
            </w:pPr>
            <w:r>
              <w:t xml:space="preserve">Xã Long Hưng, Huyện Văn Giang, Tỉnh Hưng Yên ✔</w:t>
            </w:r>
            <w:r/>
          </w:p>
        </w:tc>
        <w:tc>
          <w:tcPr>
            <w:tcBorders/>
            <w:tcW w:w="1382" w:type="dxa"/>
            <w:vAlign w:val="center"/>
            <w:textDirection w:val="lrTb"/>
            <w:noWrap w:val="false"/>
          </w:tcPr>
          <w:p>
            <w:pPr>
              <w:pBdr/>
              <w:spacing/>
              <w:ind/>
              <w:jc w:val="center"/>
              <w:rPr/>
            </w:pPr>
            <w:r>
              <w:t xml:space="preserve">Không</w:t>
            </w:r>
            <w:r/>
          </w:p>
        </w:tc>
        <w:tc>
          <w:tcPr>
            <w:tcBorders/>
            <w:tcW w:w="1620"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2387"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250"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82" w:type="dxa"/>
            <w:vAlign w:val="center"/>
            <w:textDirection w:val="lrTb"/>
            <w:noWrap w:val="false"/>
          </w:tcPr>
          <w:p>
            <w:pPr>
              <w:pBdr/>
              <w:spacing/>
              <w:ind/>
              <w:jc w:val="center"/>
              <w:rPr/>
            </w:pPr>
            <w:r>
              <w:t xml:space="preserve">Không</w:t>
            </w:r>
            <w:r/>
          </w:p>
        </w:tc>
        <w:tc>
          <w:tcPr>
            <w:tcBorders/>
            <w:tcW w:w="1620"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2387" w:type="dxa"/>
            <w:vAlign w:val="center"/>
            <w:textDirection w:val="lrTb"/>
            <w:noWrap w:val="false"/>
          </w:tcPr>
          <w:p>
            <w:pPr>
              <w:pBdr/>
              <w:spacing/>
              <w:ind/>
              <w:jc w:val="center"/>
              <w:rPr/>
            </w:pPr>
            <w:r>
              <w:t xml:space="preserve">Đất ở tại đô thị</w:t>
            </w:r>
            <w:r/>
          </w:p>
        </w:tc>
        <w:tc>
          <w:tcPr>
            <w:tcBorders/>
            <w:tcW w:w="2250" w:type="dxa"/>
            <w:vAlign w:val="center"/>
            <w:textDirection w:val="lrTb"/>
            <w:noWrap w:val="false"/>
          </w:tcPr>
          <w:p>
            <w:pPr>
              <w:pBdr/>
              <w:spacing/>
              <w:ind/>
              <w:jc w:val="center"/>
              <w:rPr/>
            </w:pPr>
            <w:r>
              <w:t xml:space="preserve">Đất ở tại đô thị ✔</w:t>
            </w:r>
            <w:r/>
          </w:p>
        </w:tc>
        <w:tc>
          <w:tcPr>
            <w:tcBorders/>
            <w:tcW w:w="1382" w:type="dxa"/>
            <w:vAlign w:val="center"/>
            <w:textDirection w:val="lrTb"/>
            <w:noWrap w:val="false"/>
          </w:tcPr>
          <w:p>
            <w:pPr>
              <w:pBdr/>
              <w:spacing/>
              <w:ind/>
              <w:jc w:val="center"/>
              <w:rPr/>
            </w:pPr>
            <w:r>
              <w:t xml:space="preserve">Không</w:t>
            </w:r>
            <w:r/>
          </w:p>
        </w:tc>
        <w:tc>
          <w:tcPr>
            <w:tcBorders/>
            <w:tcW w:w="1620"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2387" w:type="dxa"/>
            <w:vAlign w:val="center"/>
            <w:textDirection w:val="lrTb"/>
            <w:noWrap w:val="false"/>
          </w:tcPr>
          <w:p>
            <w:pPr>
              <w:pBdr/>
              <w:spacing/>
              <w:ind/>
              <w:jc w:val="center"/>
              <w:rPr/>
            </w:pPr>
            <w:r>
              <w:t xml:space="preserve">Lâu dài</w:t>
            </w:r>
            <w:r/>
          </w:p>
        </w:tc>
        <w:tc>
          <w:tcPr>
            <w:tcBorders/>
            <w:tcW w:w="2250" w:type="dxa"/>
            <w:vAlign w:val="center"/>
            <w:textDirection w:val="lrTb"/>
            <w:noWrap w:val="false"/>
          </w:tcPr>
          <w:p>
            <w:pPr>
              <w:pBdr/>
              <w:spacing/>
              <w:ind/>
              <w:jc w:val="center"/>
              <w:rPr/>
            </w:pPr>
            <w:r>
              <w:t xml:space="preserve">Lâu dài ✔</w:t>
            </w:r>
            <w:r/>
          </w:p>
        </w:tc>
        <w:tc>
          <w:tcPr>
            <w:tcBorders/>
            <w:tcW w:w="1382" w:type="dxa"/>
            <w:vAlign w:val="center"/>
            <w:textDirection w:val="lrTb"/>
            <w:noWrap w:val="false"/>
          </w:tcPr>
          <w:p>
            <w:pPr>
              <w:pBdr/>
              <w:spacing/>
              <w:ind/>
              <w:jc w:val="center"/>
              <w:rPr/>
            </w:pPr>
            <w:r>
              <w:t xml:space="preserve">Không</w:t>
            </w:r>
            <w:r/>
          </w:p>
        </w:tc>
        <w:tc>
          <w:tcPr>
            <w:tcBorders/>
            <w:tcW w:w="1620"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2387" w:type="dxa"/>
            <w:vAlign w:val="center"/>
            <w:textDirection w:val="lrTb"/>
            <w:noWrap w:val="false"/>
          </w:tcPr>
          <w:p>
            <w:pPr>
              <w:pBdr/>
              <w:spacing/>
              <w:ind/>
              <w:jc w:val="center"/>
              <w:rPr/>
            </w:pPr>
            <w:r>
              <w:t xml:space="preserve">VT2</w:t>
            </w:r>
            <w:r/>
          </w:p>
        </w:tc>
        <w:tc>
          <w:tcPr>
            <w:tcBorders/>
            <w:tcW w:w="2250" w:type="dxa"/>
            <w:vAlign w:val="center"/>
            <w:textDirection w:val="lrTb"/>
            <w:noWrap w:val="false"/>
          </w:tcPr>
          <w:p>
            <w:pPr>
              <w:pBdr/>
              <w:spacing/>
              <w:ind/>
              <w:jc w:val="center"/>
              <w:rPr/>
            </w:pPr>
            <w:r>
              <w:t xml:space="preserve">VT2 ✔</w:t>
            </w:r>
            <w:r/>
          </w:p>
        </w:tc>
        <w:tc>
          <w:tcPr>
            <w:tcBorders/>
            <w:tcW w:w="1382" w:type="dxa"/>
            <w:vAlign w:val="center"/>
            <w:textDirection w:val="lrTb"/>
            <w:noWrap w:val="false"/>
          </w:tcPr>
          <w:p>
            <w:pPr>
              <w:pBdr/>
              <w:spacing/>
              <w:ind/>
              <w:jc w:val="center"/>
              <w:rPr/>
            </w:pPr>
            <w:r>
              <w:t xml:space="preserve">Không</w:t>
            </w:r>
            <w:r/>
          </w:p>
        </w:tc>
        <w:tc>
          <w:tcPr>
            <w:tcBorders/>
            <w:tcW w:w="1620"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2387" w:type="dxa"/>
            <w:vAlign w:val="center"/>
            <w:textDirection w:val="lrTb"/>
            <w:noWrap w:val="false"/>
          </w:tcPr>
          <w:p>
            <w:pPr>
              <w:pBdr/>
              <w:spacing/>
              <w:ind/>
              <w:jc w:val="center"/>
              <w:rPr/>
            </w:pPr>
            <w:r>
              <w:t xml:space="preserve">Đường nhựa có vỉa hè</w:t>
            </w:r>
            <w:r/>
          </w:p>
        </w:tc>
        <w:tc>
          <w:tcPr>
            <w:tcBorders/>
            <w:tcW w:w="2250" w:type="dxa"/>
            <w:vAlign w:val="center"/>
            <w:textDirection w:val="lrTb"/>
            <w:noWrap w:val="false"/>
          </w:tcPr>
          <w:p>
            <w:pPr>
              <w:pBdr/>
              <w:spacing/>
              <w:ind/>
              <w:jc w:val="center"/>
              <w:rPr/>
            </w:pPr>
            <w:r>
              <w:t xml:space="preserve">Đường nhựa có vỉa hè ✔</w:t>
            </w:r>
            <w:r/>
          </w:p>
        </w:tc>
        <w:tc>
          <w:tcPr>
            <w:tcBorders/>
            <w:tcW w:w="1382" w:type="dxa"/>
            <w:vAlign w:val="center"/>
            <w:textDirection w:val="lrTb"/>
            <w:noWrap w:val="false"/>
          </w:tcPr>
          <w:p>
            <w:pPr>
              <w:pBdr/>
              <w:spacing/>
              <w:ind/>
              <w:jc w:val="center"/>
              <w:rPr/>
            </w:pPr>
            <w:r>
              <w:t xml:space="preserve">Không</w:t>
            </w:r>
            <w:r/>
          </w:p>
        </w:tc>
        <w:tc>
          <w:tcPr>
            <w:tcBorders/>
            <w:tcW w:w="1620"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2387" w:type="dxa"/>
            <w:vAlign w:val="center"/>
            <w:textDirection w:val="lrTb"/>
            <w:noWrap w:val="false"/>
          </w:tcPr>
          <w:p>
            <w:pPr>
              <w:pBdr/>
              <w:spacing/>
              <w:ind/>
              <w:jc w:val="center"/>
              <w:rPr/>
            </w:pPr>
            <w:r>
              <w:t xml:space="preserve">6</w:t>
            </w:r>
            <w:r/>
          </w:p>
        </w:tc>
        <w:tc>
          <w:tcPr>
            <w:tcBorders/>
            <w:tcW w:w="2250" w:type="dxa"/>
            <w:vAlign w:val="center"/>
            <w:textDirection w:val="lrTb"/>
            <w:noWrap w:val="false"/>
          </w:tcPr>
          <w:p>
            <w:pPr>
              <w:pBdr/>
              <w:spacing/>
              <w:ind/>
              <w:jc w:val="center"/>
              <w:rPr/>
            </w:pPr>
            <w:r>
              <w:t xml:space="preserve">6 ✔</w:t>
            </w:r>
            <w:r/>
          </w:p>
        </w:tc>
        <w:tc>
          <w:tcPr>
            <w:tcBorders/>
            <w:tcW w:w="1382" w:type="dxa"/>
            <w:vAlign w:val="center"/>
            <w:textDirection w:val="lrTb"/>
            <w:noWrap w:val="false"/>
          </w:tcPr>
          <w:p>
            <w:pPr>
              <w:pBdr/>
              <w:spacing/>
              <w:ind/>
              <w:jc w:val="center"/>
              <w:rPr/>
            </w:pPr>
            <w:r>
              <w:t xml:space="preserve">0</w:t>
            </w:r>
            <w:r/>
          </w:p>
        </w:tc>
        <w:tc>
          <w:tcPr>
            <w:tcBorders/>
            <w:tcW w:w="1620"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2387" w:type="dxa"/>
            <w:vAlign w:val="center"/>
            <w:textDirection w:val="lrTb"/>
            <w:noWrap w:val="false"/>
          </w:tcPr>
          <w:p>
            <w:pPr>
              <w:pBdr/>
              <w:spacing/>
              <w:ind/>
              <w:jc w:val="center"/>
              <w:rPr/>
            </w:pPr>
            <w:r>
              <w:t xml:space="preserve">Hạ tầng khu đô thị, khu phân lô/tái định cư</w:t>
            </w:r>
            <w:r/>
          </w:p>
        </w:tc>
        <w:tc>
          <w:tcPr>
            <w:tcBorders/>
            <w:tcW w:w="2250" w:type="dxa"/>
            <w:vAlign w:val="center"/>
            <w:textDirection w:val="lrTb"/>
            <w:noWrap w:val="false"/>
          </w:tcPr>
          <w:p>
            <w:pPr>
              <w:pBdr/>
              <w:spacing/>
              <w:ind/>
              <w:jc w:val="center"/>
              <w:rPr/>
            </w:pPr>
            <w:r>
              <w:t xml:space="preserve">Hạ tầng khu đô thị, khu phân lô/tái định cư ✔</w:t>
            </w:r>
            <w:r/>
          </w:p>
        </w:tc>
        <w:tc>
          <w:tcPr>
            <w:tcBorders/>
            <w:tcW w:w="1382" w:type="dxa"/>
            <w:vAlign w:val="center"/>
            <w:textDirection w:val="lrTb"/>
            <w:noWrap w:val="false"/>
          </w:tcPr>
          <w:p>
            <w:pPr>
              <w:pBdr/>
              <w:spacing/>
              <w:ind/>
              <w:jc w:val="center"/>
              <w:rPr/>
            </w:pPr>
            <w:r>
              <w:t xml:space="preserve">Không</w:t>
            </w:r>
            <w:r/>
          </w:p>
        </w:tc>
        <w:tc>
          <w:tcPr>
            <w:tcBorders/>
            <w:tcW w:w="1620"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2387" w:type="dxa"/>
            <w:vAlign w:val="center"/>
            <w:textDirection w:val="lrTb"/>
            <w:noWrap w:val="false"/>
          </w:tcPr>
          <w:p>
            <w:pPr>
              <w:pBdr/>
              <w:spacing/>
              <w:ind/>
              <w:jc w:val="center"/>
              <w:rPr/>
            </w:pPr>
            <w:r>
              <w:t xml:space="preserve">Tốt</w:t>
            </w:r>
            <w:r/>
          </w:p>
        </w:tc>
        <w:tc>
          <w:tcPr>
            <w:tcBorders/>
            <w:tcW w:w="2250" w:type="dxa"/>
            <w:vAlign w:val="center"/>
            <w:textDirection w:val="lrTb"/>
            <w:noWrap w:val="false"/>
          </w:tcPr>
          <w:p>
            <w:pPr>
              <w:pBdr/>
              <w:spacing/>
              <w:ind/>
              <w:jc w:val="center"/>
              <w:rPr/>
            </w:pPr>
            <w:r>
              <w:t xml:space="preserve">Tốt ✔</w:t>
            </w:r>
            <w:r/>
          </w:p>
        </w:tc>
        <w:tc>
          <w:tcPr>
            <w:tcBorders/>
            <w:tcW w:w="1382" w:type="dxa"/>
            <w:vAlign w:val="center"/>
            <w:textDirection w:val="lrTb"/>
            <w:noWrap w:val="false"/>
          </w:tcPr>
          <w:p>
            <w:pPr>
              <w:pBdr/>
              <w:spacing/>
              <w:ind/>
              <w:jc w:val="center"/>
              <w:rPr/>
            </w:pPr>
            <w:r>
              <w:t xml:space="preserve">Không</w:t>
            </w:r>
            <w:r/>
          </w:p>
        </w:tc>
        <w:tc>
          <w:tcPr>
            <w:tcBorders/>
            <w:tcW w:w="1620"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2387" w:type="dxa"/>
            <w:vAlign w:val="center"/>
            <w:textDirection w:val="lrTb"/>
            <w:noWrap w:val="false"/>
          </w:tcPr>
          <w:p>
            <w:pPr>
              <w:pBdr/>
              <w:spacing/>
              <w:ind/>
              <w:jc w:val="center"/>
              <w:rPr/>
            </w:pPr>
            <w:r>
              <w:t xml:space="preserve">58.5</w:t>
            </w:r>
            <w:r/>
          </w:p>
        </w:tc>
        <w:tc>
          <w:tcPr>
            <w:tcBorders/>
            <w:tcW w:w="2250" w:type="dxa"/>
            <w:vAlign w:val="center"/>
            <w:textDirection w:val="lrTb"/>
            <w:noWrap w:val="false"/>
          </w:tcPr>
          <w:p>
            <w:pPr>
              <w:pBdr/>
              <w:spacing/>
              <w:ind/>
              <w:jc w:val="center"/>
              <w:rPr/>
            </w:pPr>
            <w:r>
              <w:t xml:space="preserve">58.5 ✔</w:t>
            </w:r>
            <w:r/>
          </w:p>
        </w:tc>
        <w:tc>
          <w:tcPr>
            <w:tcBorders/>
            <w:tcW w:w="1382" w:type="dxa"/>
            <w:vAlign w:val="center"/>
            <w:textDirection w:val="lrTb"/>
            <w:noWrap w:val="false"/>
          </w:tcPr>
          <w:p>
            <w:pPr>
              <w:pBdr/>
              <w:spacing/>
              <w:ind/>
              <w:jc w:val="center"/>
              <w:rPr/>
            </w:pPr>
            <w:r>
              <w:t xml:space="preserve">0</w:t>
            </w:r>
            <w:r/>
          </w:p>
        </w:tc>
        <w:tc>
          <w:tcPr>
            <w:tcBorders/>
            <w:tcW w:w="1620"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2387" w:type="dxa"/>
            <w:vAlign w:val="center"/>
            <w:textDirection w:val="lrTb"/>
            <w:noWrap w:val="false"/>
          </w:tcPr>
          <w:p>
            <w:pPr>
              <w:pBdr/>
              <w:spacing/>
              <w:ind/>
              <w:jc w:val="center"/>
              <w:rPr/>
            </w:pPr>
            <w:r>
              <w:t xml:space="preserve">4.5</w:t>
            </w:r>
            <w:r/>
          </w:p>
        </w:tc>
        <w:tc>
          <w:tcPr>
            <w:tcBorders/>
            <w:tcW w:w="2250" w:type="dxa"/>
            <w:vAlign w:val="center"/>
            <w:textDirection w:val="lrTb"/>
            <w:noWrap w:val="false"/>
          </w:tcPr>
          <w:p>
            <w:pPr>
              <w:pBdr/>
              <w:spacing/>
              <w:ind/>
              <w:jc w:val="center"/>
              <w:rPr/>
            </w:pPr>
            <w:r>
              <w:t xml:space="preserve">4.5 ✔</w:t>
            </w:r>
            <w:r/>
          </w:p>
        </w:tc>
        <w:tc>
          <w:tcPr>
            <w:tcBorders/>
            <w:tcW w:w="1382" w:type="dxa"/>
            <w:vAlign w:val="center"/>
            <w:textDirection w:val="lrTb"/>
            <w:noWrap w:val="false"/>
          </w:tcPr>
          <w:p>
            <w:pPr>
              <w:pBdr/>
              <w:spacing/>
              <w:ind/>
              <w:jc w:val="center"/>
              <w:rPr/>
            </w:pPr>
            <w:r>
              <w:t xml:space="preserve">0</w:t>
            </w:r>
            <w:r/>
          </w:p>
        </w:tc>
        <w:tc>
          <w:tcPr>
            <w:tcBorders/>
            <w:tcW w:w="1620"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2387" w:type="dxa"/>
            <w:vAlign w:val="center"/>
            <w:textDirection w:val="lrTb"/>
            <w:noWrap w:val="false"/>
          </w:tcPr>
          <w:p>
            <w:pPr>
              <w:pBdr/>
              <w:spacing/>
              <w:ind/>
              <w:jc w:val="center"/>
              <w:rPr/>
            </w:pPr>
            <w:r>
              <w:t xml:space="preserve">Tiếp giáp 1 mặt tiền</w:t>
            </w:r>
            <w:r/>
          </w:p>
        </w:tc>
        <w:tc>
          <w:tcPr>
            <w:tcBorders/>
            <w:tcW w:w="2250" w:type="dxa"/>
            <w:vAlign w:val="center"/>
            <w:textDirection w:val="lrTb"/>
            <w:noWrap w:val="false"/>
          </w:tcPr>
          <w:p>
            <w:pPr>
              <w:pBdr/>
              <w:spacing/>
              <w:ind/>
              <w:jc w:val="center"/>
              <w:rPr/>
            </w:pPr>
            <w:r>
              <w:t xml:space="preserve">Tiếp giáp 1 mặt tiền ✔</w:t>
            </w:r>
            <w:r/>
          </w:p>
        </w:tc>
        <w:tc>
          <w:tcPr>
            <w:tcBorders/>
            <w:tcW w:w="1382" w:type="dxa"/>
            <w:vAlign w:val="center"/>
            <w:textDirection w:val="lrTb"/>
            <w:noWrap w:val="false"/>
          </w:tcPr>
          <w:p>
            <w:pPr>
              <w:pBdr/>
              <w:spacing/>
              <w:ind/>
              <w:jc w:val="center"/>
              <w:rPr/>
            </w:pPr>
            <w:r>
              <w:t xml:space="preserve">Không</w:t>
            </w:r>
            <w:r/>
          </w:p>
        </w:tc>
        <w:tc>
          <w:tcPr>
            <w:tcBorders/>
            <w:tcW w:w="1620"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2387" w:type="dxa"/>
            <w:vAlign w:val="center"/>
            <w:textDirection w:val="lrTb"/>
            <w:noWrap w:val="false"/>
          </w:tcPr>
          <w:p>
            <w:pPr>
              <w:pBdr/>
              <w:spacing/>
              <w:ind/>
              <w:jc w:val="center"/>
              <w:rPr/>
            </w:pPr>
            <w:r>
              <w:t xml:space="preserve">Hình chữ nhật</w:t>
            </w:r>
            <w:r/>
          </w:p>
        </w:tc>
        <w:tc>
          <w:tcPr>
            <w:tcBorders/>
            <w:tcW w:w="2250" w:type="dxa"/>
            <w:vAlign w:val="center"/>
            <w:textDirection w:val="lrTb"/>
            <w:noWrap w:val="false"/>
          </w:tcPr>
          <w:p>
            <w:pPr>
              <w:pBdr/>
              <w:spacing/>
              <w:ind/>
              <w:jc w:val="center"/>
              <w:rPr/>
            </w:pPr>
            <w:r>
              <w:t xml:space="preserve">Hình chữ nhật ✔</w:t>
            </w:r>
            <w:r/>
          </w:p>
        </w:tc>
        <w:tc>
          <w:tcPr>
            <w:tcBorders/>
            <w:tcW w:w="1382" w:type="dxa"/>
            <w:vAlign w:val="center"/>
            <w:textDirection w:val="lrTb"/>
            <w:noWrap w:val="false"/>
          </w:tcPr>
          <w:p>
            <w:pPr>
              <w:pBdr/>
              <w:spacing/>
              <w:ind/>
              <w:jc w:val="center"/>
              <w:rPr/>
            </w:pPr>
            <w:r>
              <w:t xml:space="preserve">Không</w:t>
            </w:r>
            <w:r/>
          </w:p>
        </w:tc>
        <w:tc>
          <w:tcPr>
            <w:tcBorders/>
            <w:tcW w:w="1620"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33"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3"/>
        <w:gridCol w:w="6932"/>
        <w:gridCol w:w="1010"/>
        <w:gridCol w:w="135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01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35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sz w:val="14"/>
          <w:szCs w:val="14"/>
          <w:u w:val="single"/>
        </w:rPr>
      </w:pPr>
      <w:r>
        <w:rPr>
          <w:sz w:val="14"/>
          <w:szCs w:val="14"/>
          <w:u w:val="single"/>
        </w:rPr>
      </w:r>
      <w:r>
        <w:rPr>
          <w:sz w:val="14"/>
          <w:szCs w:val="14"/>
          <w:u w:val="single"/>
        </w:rPr>
      </w:r>
      <w:r>
        <w:rPr>
          <w:sz w:val="14"/>
          <w:szCs w:val="14"/>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33"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3"/>
        <w:gridCol w:w="6932"/>
        <w:gridCol w:w="1010"/>
        <w:gridCol w:w="135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01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35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6932" w:type="dxa"/>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1010"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25"/>
        <w:pBdr/>
        <w:spacing w:after="120" w:before="120" w:line="276" w:lineRule="auto"/>
        <w:ind w:left="0"/>
        <w:jc w:val="both"/>
        <w:rPr>
          <w:lang w:val="de-DE"/>
        </w:rPr>
      </w:pPr>
      <w:r>
        <w:rPr>
          <w:b/>
          <w:bCs/>
          <w:highlight w:val="none"/>
          <w:lang w:val="pt-BR"/>
        </w:rPr>
      </w:r>
      <w:r>
        <w:rPr>
          <w:b/>
          <w:bCs/>
          <w:highlight w:val="none"/>
          <w:lang w:val="pt-BR"/>
        </w:rPr>
      </w:r>
      <w:r>
        <w:rPr>
          <w:lang w:val="de-DE"/>
        </w:rPr>
      </w:r>
    </w:p>
    <w:p>
      <w:pPr>
        <w:pStyle w:val="1025"/>
        <w:pBdr/>
        <w:spacing w:after="120" w:before="120" w:line="276" w:lineRule="auto"/>
        <w:ind w:left="0"/>
        <w:jc w:val="both"/>
        <w:rPr>
          <w:b/>
          <w:bCs/>
          <w:highlight w:val="none"/>
          <w:lang w:val="pt-BR"/>
        </w:rPr>
      </w:pPr>
      <w:r>
        <w:rPr>
          <w:b/>
          <w:bCs/>
          <w:highlight w:val="none"/>
          <w:lang w:val="pt-BR"/>
        </w:rPr>
      </w:r>
      <w:r>
        <w:rPr>
          <w:b/>
          <w:bCs/>
          <w:highlight w:val="none"/>
          <w:lang w:val="pt-BR"/>
        </w:rPr>
      </w:r>
      <w:r>
        <w:rPr>
          <w:b/>
          <w:bCs/>
          <w:highlight w:val="none"/>
          <w:lang w:val="pt-BR"/>
        </w:rPr>
      </w:r>
    </w:p>
    <w:p>
      <w:pPr>
        <w:pStyle w:val="1025"/>
        <w:pBdr/>
        <w:spacing w:after="120" w:before="120" w:line="276" w:lineRule="auto"/>
        <w:ind w:left="0"/>
        <w:jc w:val="both"/>
        <w:rPr>
          <w:b/>
          <w:bCs/>
          <w:highlight w:val="none"/>
          <w:lang w:val="pt-BR"/>
        </w:rPr>
      </w:pPr>
      <w:r>
        <w:rPr>
          <w:b/>
          <w:bCs/>
          <w:highlight w:val="none"/>
          <w:lang w:val="pt-BR"/>
        </w:rPr>
      </w:r>
      <w:r>
        <w:rPr>
          <w:b/>
          <w:bCs/>
          <w:highlight w:val="none"/>
          <w:lang w:val="pt-BR"/>
        </w:rPr>
      </w:r>
      <w:r>
        <w:rPr>
          <w:b/>
          <w:bCs/>
          <w:highlight w:val="none"/>
          <w:lang w:val="pt-BR"/>
        </w:rPr>
      </w:r>
    </w:p>
    <w:p>
      <w:pPr>
        <w:pStyle w:val="1025"/>
        <w:pBdr/>
        <w:spacing w:after="120" w:before="120" w:line="276" w:lineRule="auto"/>
        <w:ind w:left="0"/>
        <w:jc w:val="both"/>
        <w:rPr>
          <w:b/>
          <w:bCs/>
          <w:highlight w:val="none"/>
          <w:lang w:val="pt-BR"/>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b/>
          <w:bCs/>
          <w:highlight w:val="none"/>
          <w:lang w:val="pt-BR"/>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Ind w:w="-252" w:type="dxa"/>
        <w:tblW w:w="0" w:type="auto"/>
        <w:tblBorders/>
        <w:tblLayout w:type="fixed"/>
        <w:tblLook w:val="04A0" w:firstRow="1" w:lastRow="0" w:firstColumn="1" w:lastColumn="0" w:noHBand="0" w:noVBand="1"/>
      </w:tblPr>
      <w:tblGrid>
        <w:gridCol w:w="542"/>
        <w:gridCol w:w="2268"/>
        <w:gridCol w:w="1829"/>
        <w:gridCol w:w="1829"/>
        <w:gridCol w:w="1829"/>
        <w:gridCol w:w="1829"/>
      </w:tblGrid>
      <w:tr>
        <w:trPr>
          <w:trHeight w:val="0"/>
          <w:tblHeader/>
        </w:trPr>
        <w:tc>
          <w:tcPr>
            <w:tcBorders>
              <w:top w:val="single" w:color="auto" w:sz="4" w:space="0"/>
              <w:left w:val="single" w:color="auto" w:sz="4" w:space="0"/>
              <w:bottom w:val="single" w:color="auto" w:sz="4" w:space="0"/>
              <w:right w:val="single" w:color="auto" w:sz="4" w:space="0"/>
            </w:tcBorders>
            <w:tcW w:w="542"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68" w:type="dxa"/>
            <w:textDirection w:val="lrTb"/>
            <w:noWrap w:val="false"/>
          </w:tcPr>
          <w:p>
            <w:pPr>
              <w:pBdr/>
              <w:spacing/>
              <w:ind/>
              <w:jc w:val="both"/>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color w:val="000000" w:themeColor="text1"/>
                <w:sz w:val="22"/>
                <w:szCs w:val="22"/>
              </w:rPr>
              <w:t xml:space="preserve">Xã Long Hưng, Huyện Văn Giang,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color w:val="000000" w:themeColor="text1"/>
                <w:sz w:val="22"/>
                <w:szCs w:val="22"/>
              </w:rPr>
              <w:t xml:space="preserve">Xã Long Hưng, Huyện Văn Giang,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color w:val="000000" w:themeColor="text1"/>
                <w:sz w:val="22"/>
                <w:szCs w:val="22"/>
              </w:rPr>
              <w:t xml:space="preserve">Xã Long Hưng, Huyện Văn Giang,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color w:val="000000" w:themeColor="text1"/>
                <w:sz w:val="22"/>
                <w:szCs w:val="22"/>
              </w:rPr>
              <w:t xml:space="preserve">Xã Long Hưng, Huyện Văn Giang, Tỉnh Hưng Yên</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0915533768</w:t>
            </w:r>
            <w:r>
              <w:rPr>
                <w:sz w:val="22"/>
                <w:szCs w:val="22"/>
              </w:rPr>
              <w:t xml:space="preserve"> </w:t>
            </w:r>
            <w:r>
              <w:rPr>
                <w:sz w:val="22"/>
                <w:szCs w:val="22"/>
              </w:rPr>
              <w:br/>
              <w:t xml:space="preserve">(</w:t>
            </w:r>
            <w:r>
              <w:rPr>
                <w:sz w:val="22"/>
                <w:szCs w:val="22"/>
              </w:rPr>
              <w:t xml:space="preserve">Quỳnh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0965646446</w:t>
            </w:r>
            <w:r>
              <w:rPr>
                <w:sz w:val="22"/>
                <w:szCs w:val="22"/>
              </w:rPr>
              <w:br/>
            </w:r>
            <w:r>
              <w:rPr>
                <w:sz w:val="22"/>
                <w:szCs w:val="22"/>
              </w:rPr>
              <w:t xml:space="preserve">(</w:t>
            </w:r>
            <w:r>
              <w:rPr>
                <w:sz w:val="22"/>
                <w:szCs w:val="22"/>
              </w:rPr>
              <w:t xml:space="preserve">Tuấn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0985013752</w:t>
            </w:r>
            <w:r>
              <w:rPr>
                <w:sz w:val="22"/>
                <w:szCs w:val="22"/>
              </w:rPr>
              <w:br/>
            </w:r>
            <w:r>
              <w:rPr>
                <w:sz w:val="22"/>
                <w:szCs w:val="22"/>
              </w:rPr>
              <w:t xml:space="preserve">(</w:t>
            </w:r>
            <w:r>
              <w:rPr>
                <w:sz w:val="22"/>
                <w:szCs w:val="22"/>
              </w:rPr>
              <w:t xml:space="preserve">Dũng</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Long Hưng, Huyện Văn Giang, Tỉnh Hưng Yên, đường Cách khu công viên bể bơi khoảng 250m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Long Hưng, Huyện Văn Giang, Tỉnh Hưng Yên, đường Cách khu công viên bể bơi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Long Hưng, Huyện Văn Giang, Tỉnh Hưng Yên, đường Cách công viên bể bơi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Long Hưng, Huyện Văn Giang, Tỉnh Hưng Yên, đường Cách khu công viên bể bơi khoảng 550m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58.5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58.5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58.5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58.5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9.300.000.000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9.300.000.000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9.250.000.000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8.370.000.000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8.370.000.000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8.325.000.000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1.086.687.572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1.086.687.572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1.086.687.572</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Đơn</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theo</w:t>
            </w:r>
            <w:r>
              <w:rPr>
                <w:color w:val="000000"/>
                <w:sz w:val="22"/>
                <w:szCs w:val="22"/>
              </w:rPr>
              <w:t xml:space="preserve"> </w:t>
            </w:r>
            <w:r>
              <w:rPr>
                <w:color w:val="000000"/>
                <w:sz w:val="22"/>
                <w:szCs w:val="22"/>
              </w:rPr>
              <w:t xml:space="preserve">Quyết</w:t>
            </w:r>
            <w:r>
              <w:rPr>
                <w:color w:val="000000"/>
                <w:sz w:val="22"/>
                <w:szCs w:val="22"/>
              </w:rPr>
              <w:t xml:space="preserve"> </w:t>
            </w:r>
            <w:r>
              <w:rPr>
                <w:color w:val="000000"/>
                <w:sz w:val="22"/>
                <w:szCs w:val="22"/>
              </w:rPr>
              <w:t xml:space="preserve">định</w:t>
            </w:r>
            <w:r>
              <w:rPr>
                <w:color w:val="000000"/>
                <w:sz w:val="22"/>
                <w:szCs w:val="22"/>
              </w:rPr>
              <w:t xml:space="preserve"> </w:t>
            </w:r>
            <w:r>
              <w:rPr>
                <w:color w:val="000000"/>
                <w:sz w:val="22"/>
                <w:szCs w:val="22"/>
              </w:rPr>
              <w:t xml:space="preserve">số</w:t>
            </w:r>
            <w:r>
              <w:rPr>
                <w:color w:val="000000"/>
                <w:sz w:val="22"/>
                <w:szCs w:val="22"/>
              </w:rPr>
              <w:t xml:space="preserve"> 409/QĐ-BXD </w:t>
            </w:r>
            <w:r>
              <w:rPr>
                <w:color w:val="000000"/>
                <w:sz w:val="22"/>
                <w:szCs w:val="22"/>
              </w:rPr>
              <w:t xml:space="preserve">ngày</w:t>
            </w:r>
            <w:r>
              <w:rPr>
                <w:color w:val="000000"/>
                <w:sz w:val="22"/>
                <w:szCs w:val="22"/>
              </w:rPr>
              <w:t xml:space="preserve"> 11/4/2025 </w:t>
            </w:r>
            <w:r>
              <w:rPr>
                <w:color w:val="000000"/>
                <w:sz w:val="22"/>
                <w:szCs w:val="22"/>
              </w:rPr>
              <w:t xml:space="preserve">của</w:t>
            </w:r>
            <w:r>
              <w:rPr>
                <w:color w:val="000000"/>
                <w:sz w:val="22"/>
                <w:szCs w:val="22"/>
              </w:rPr>
              <w:t xml:space="preserve"> </w:t>
            </w:r>
            <w:r>
              <w:rPr>
                <w:color w:val="000000"/>
                <w:sz w:val="22"/>
                <w:szCs w:val="22"/>
              </w:rPr>
              <w:t xml:space="preserve">Bộ</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5.022.590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5.022.590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5.022.590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 </w:t>
            </w: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tcPr>
          <w:p>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w:t>
            </w:r>
            <w:r>
              <w:rPr>
                <w:color w:val="000000"/>
                <w:sz w:val="22"/>
                <w:szCs w:val="22"/>
              </w:rPr>
              <w:t xml:space="preserve">hoàn</w:t>
            </w:r>
            <w:r>
              <w:rPr>
                <w:color w:val="000000"/>
                <w:sz w:val="22"/>
                <w:szCs w:val="22"/>
              </w:rPr>
              <w:t xml:space="preserve"> </w:t>
            </w:r>
            <w:r>
              <w:rPr>
                <w:color w:val="000000"/>
                <w:sz w:val="22"/>
                <w:szCs w:val="22"/>
              </w:rPr>
              <w:t xml:space="preserve">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7.283.312.428</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7.283.312.428</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7.238.312.428</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b/>
                <w:bCs/>
                <w:color w:val="000000"/>
                <w:sz w:val="22"/>
                <w:szCs w:val="22"/>
              </w:rPr>
            </w:pPr>
            <w:r>
              <w:rPr>
                <w:b/>
                <w:bCs/>
                <w:color w:val="000000" w:themeColor="text1"/>
                <w:sz w:val="22"/>
                <w:szCs w:val="22"/>
              </w:rPr>
              <w:t xml:space="preserve">124.501.067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b/>
                <w:bCs/>
                <w:color w:val="000000"/>
                <w:sz w:val="22"/>
                <w:szCs w:val="22"/>
              </w:rPr>
            </w:pPr>
            <w:r>
              <w:rPr>
                <w:b/>
                <w:bCs/>
                <w:color w:val="000000" w:themeColor="text1"/>
                <w:sz w:val="22"/>
                <w:szCs w:val="22"/>
              </w:rPr>
              <w:t xml:space="preserve">124.501.067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b/>
                <w:bCs/>
                <w:color w:val="000000"/>
                <w:sz w:val="22"/>
                <w:szCs w:val="22"/>
              </w:rPr>
            </w:pPr>
            <w:r>
              <w:rPr>
                <w:b/>
                <w:bCs/>
                <w:color w:val="000000" w:themeColor="text1"/>
                <w:sz w:val="22"/>
                <w:szCs w:val="22"/>
              </w:rPr>
              <w:t xml:space="preserve">123.731.836</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42"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2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250"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2268"/>
        <w:gridCol w:w="1030"/>
        <w:gridCol w:w="1541"/>
        <w:gridCol w:w="1541"/>
        <w:gridCol w:w="1541"/>
        <w:gridCol w:w="1541"/>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ĐVT</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0"/>
                <w:szCs w:val="20"/>
              </w:rPr>
            </w:pPr>
            <w:r>
              <w:rPr>
                <w:color w:val="000000" w:themeColor="text1"/>
                <w:sz w:val="22"/>
                <w:szCs w:val="22"/>
              </w:rPr>
              <w:t xml:space="preserve">7.283.312.428</w:t>
            </w:r>
            <w:r>
              <w:rPr>
                <w:color w:val="000000"/>
                <w:sz w:val="20"/>
                <w:szCs w:val="20"/>
              </w:rPr>
            </w:r>
            <w:r>
              <w:rPr>
                <w:color w:val="000000"/>
                <w:sz w:val="20"/>
                <w:szCs w:val="20"/>
              </w:rPr>
            </w:r>
          </w:p>
        </w:tc>
        <w:tc>
          <w:tcPr>
            <w:shd w:val="clear" w:color="000000" w:fill="ffffff"/>
            <w:tcBorders/>
            <w:tcW w:w="1541" w:type="dxa"/>
            <w:vAlign w:val="center"/>
            <w:textDirection w:val="lrTb"/>
            <w:noWrap w:val="false"/>
          </w:tcPr>
          <w:p>
            <w:pPr>
              <w:pBdr/>
              <w:spacing/>
              <w:ind/>
              <w:jc w:val="center"/>
              <w:rPr>
                <w:color w:val="000000"/>
                <w:sz w:val="20"/>
                <w:szCs w:val="20"/>
              </w:rPr>
            </w:pPr>
            <w:r>
              <w:rPr>
                <w:color w:val="000000" w:themeColor="text1"/>
                <w:sz w:val="22"/>
                <w:szCs w:val="22"/>
              </w:rPr>
              <w:t xml:space="preserve">7.283.312.428</w:t>
            </w:r>
            <w:r>
              <w:rPr>
                <w:color w:val="000000"/>
                <w:sz w:val="20"/>
                <w:szCs w:val="20"/>
              </w:rPr>
            </w:r>
            <w:r>
              <w:rPr>
                <w:color w:val="000000"/>
                <w:sz w:val="20"/>
                <w:szCs w:val="20"/>
              </w:rPr>
            </w:r>
          </w:p>
        </w:tc>
        <w:tc>
          <w:tcPr>
            <w:shd w:val="clear" w:color="000000" w:fill="ffffff"/>
            <w:tcBorders/>
            <w:tcW w:w="1541" w:type="dxa"/>
            <w:vAlign w:val="center"/>
            <w:textDirection w:val="lrTb"/>
            <w:noWrap w:val="false"/>
          </w:tcPr>
          <w:p>
            <w:pPr>
              <w:pBdr/>
              <w:spacing/>
              <w:ind/>
              <w:jc w:val="center"/>
              <w:rPr>
                <w:color w:val="000000"/>
                <w:sz w:val="20"/>
                <w:szCs w:val="20"/>
              </w:rPr>
            </w:pPr>
            <w:r>
              <w:rPr>
                <w:color w:val="000000" w:themeColor="text1"/>
                <w:sz w:val="22"/>
                <w:szCs w:val="22"/>
              </w:rPr>
              <w:t xml:space="preserve">7.238.312.428</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124.501.067</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124.501.067</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123.731.836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41"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41"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41"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124.501.067</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124.501.067</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123.731.836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Long Hưng, Huyện Văn Giang, Tỉnh Hưng Yên, đường Cách khu công viên bể bơi khoảng 250m</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Long Hưng, Huyện Văn Giang, Tỉnh Hưng Yên, đường Cách khu công viên bể bơi khoảng 400m</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Long Hưng, Huyện Văn Giang, Tỉnh Hưng Yên, đường Cách công viên bể bơi khoảng 300m</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Long Hưng, Huyện Văn Giang, Tỉnh Hưng Yên, đường Cách khu công viên bể bơi khoảng 550m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6.225.053</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3.735.032</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8.661.229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130.726.120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128.236.099</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132.393.065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130.726.120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128.236.099</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132.393.065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130.726.120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128.236.099</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132.393.065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58.5</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58.5</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58.5</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58.5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130.726.120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128.236.099</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132.393.065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130.726.120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128.236.099</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132.393.065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130.726.120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128.236.099</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132.393.065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130.726.120</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128.236.099</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themeColor="text1"/>
                <w:sz w:val="22"/>
                <w:szCs w:val="22"/>
              </w:rPr>
              <w:t xml:space="preserve">132.393.065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2268" w:type="dxa"/>
            <w:vAlign w:val="center"/>
            <w:textDirection w:val="lrTb"/>
            <w:noWrap/>
          </w:tcPr>
          <w:p>
            <w:pPr>
              <w:pBdr/>
              <w:spacing/>
              <w:ind/>
              <w:jc w:val="both"/>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41"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130.726.120</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128.236.099</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132.393.065</w:t>
            </w:r>
            <w:r>
              <w:rPr>
                <w:b/>
                <w:bCs/>
                <w:color w:val="000000"/>
                <w:sz w:val="22"/>
                <w:szCs w:val="22"/>
              </w:rPr>
            </w:r>
            <w:r>
              <w:rPr>
                <w:b/>
                <w:bCs/>
                <w:color w:val="000000"/>
                <w:sz w:val="22"/>
                <w:szCs w:val="22"/>
              </w:rPr>
            </w:r>
          </w:p>
        </w:tc>
      </w:tr>
      <w:tr>
        <w:trPr>
          <w:gridAfter w:val="2"/>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130.451.761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0.21%</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themeColor="text1"/>
                <w:sz w:val="22"/>
                <w:szCs w:val="22"/>
              </w:rPr>
              <w:t xml:space="preserve">1.49%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461" w:type="dxa"/>
            <w:vAlign w:val="center"/>
            <w:textDirection w:val="lrTb"/>
            <w:noWrap w:val="false"/>
          </w:tcPr>
          <w:p>
            <w:pPr>
              <w:pBdr/>
              <w:spacing/>
              <w:ind/>
              <w:jc w:val="both"/>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6.225.053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3.735.032</w:t>
            </w:r>
            <w:r>
              <w:rPr>
                <w:b/>
                <w:bCs/>
                <w:color w:val="000000"/>
                <w:sz w:val="22"/>
                <w:szCs w:val="22"/>
              </w:rPr>
            </w:r>
            <w:r>
              <w:rPr>
                <w:b/>
                <w:bCs/>
                <w:color w:val="000000"/>
                <w:sz w:val="22"/>
                <w:szCs w:val="22"/>
              </w:rPr>
            </w:r>
          </w:p>
        </w:tc>
        <w:tc>
          <w:tcPr>
            <w:shd w:val="clear" w:color="000000" w:fill="ffffff"/>
            <w:tcBorders/>
            <w:tcW w:w="1541" w:type="dxa"/>
            <w:vAlign w:val="center"/>
            <w:textDirection w:val="lrTb"/>
            <w:noWrap w:val="false"/>
          </w:tcPr>
          <w:p>
            <w:pPr>
              <w:pBdr/>
              <w:spacing/>
              <w:ind/>
              <w:jc w:val="center"/>
              <w:rPr>
                <w:b/>
                <w:bCs/>
                <w:color w:val="000000"/>
                <w:sz w:val="22"/>
                <w:szCs w:val="22"/>
              </w:rPr>
            </w:pPr>
            <w:r>
              <w:rPr>
                <w:color w:val="000000" w:themeColor="text1"/>
                <w:sz w:val="22"/>
                <w:szCs w:val="22"/>
              </w:rPr>
              <w:t xml:space="preserve">8.661.229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41"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41"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4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41"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41"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226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41" w:type="dxa"/>
            <w:vAlign w:val="center"/>
            <w:textDirection w:val="lrTb"/>
            <w:noWrap/>
          </w:tcPr>
          <w:p>
            <w:pPr>
              <w:pBdr/>
              <w:spacing/>
              <w:ind/>
              <w:jc w:val="center"/>
              <w:rPr>
                <w:sz w:val="22"/>
                <w:szCs w:val="22"/>
              </w:rPr>
            </w:pPr>
            <w:r>
              <w:rPr>
                <w:color w:val="000000" w:themeColor="text1"/>
                <w:sz w:val="22"/>
                <w:szCs w:val="22"/>
              </w:rPr>
              <w:t xml:space="preserve">6.225.053</w:t>
            </w:r>
            <w:r>
              <w:rPr>
                <w:sz w:val="22"/>
                <w:szCs w:val="22"/>
              </w:rPr>
            </w:r>
            <w:r>
              <w:rPr>
                <w:sz w:val="22"/>
                <w:szCs w:val="22"/>
              </w:rPr>
            </w:r>
          </w:p>
        </w:tc>
        <w:tc>
          <w:tcPr>
            <w:shd w:val="clear" w:color="000000" w:fill="ffffff"/>
            <w:tcBorders/>
            <w:tcW w:w="1541" w:type="dxa"/>
            <w:vAlign w:val="center"/>
            <w:textDirection w:val="lrTb"/>
            <w:noWrap/>
          </w:tcPr>
          <w:p>
            <w:pPr>
              <w:pBdr/>
              <w:spacing/>
              <w:ind/>
              <w:jc w:val="center"/>
              <w:rPr>
                <w:sz w:val="22"/>
                <w:szCs w:val="22"/>
              </w:rPr>
            </w:pPr>
            <w:r>
              <w:rPr>
                <w:color w:val="000000" w:themeColor="text1"/>
                <w:sz w:val="22"/>
                <w:szCs w:val="22"/>
              </w:rPr>
              <w:t xml:space="preserve">3.735.032</w:t>
            </w:r>
            <w:r>
              <w:rPr>
                <w:sz w:val="22"/>
                <w:szCs w:val="22"/>
              </w:rPr>
            </w:r>
            <w:r>
              <w:rPr>
                <w:sz w:val="22"/>
                <w:szCs w:val="22"/>
              </w:rPr>
            </w:r>
          </w:p>
        </w:tc>
        <w:tc>
          <w:tcPr>
            <w:shd w:val="clear" w:color="000000" w:fill="ffffff"/>
            <w:tcBorders/>
            <w:tcW w:w="1541" w:type="dxa"/>
            <w:vAlign w:val="center"/>
            <w:textDirection w:val="lrTb"/>
            <w:noWrap/>
          </w:tcPr>
          <w:p>
            <w:pPr>
              <w:pBdr/>
              <w:spacing/>
              <w:ind/>
              <w:jc w:val="center"/>
              <w:rPr>
                <w:sz w:val="22"/>
                <w:szCs w:val="22"/>
              </w:rPr>
            </w:pPr>
            <w:r>
              <w:rPr>
                <w:color w:val="000000" w:themeColor="text1"/>
                <w:sz w:val="22"/>
                <w:szCs w:val="22"/>
              </w:rPr>
              <w:t xml:space="preserve">8.661.229</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highlight w:val="none"/>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-1.7</w:t>
      </w:r>
      <w:r>
        <w:t xml:space="preserve">% </w:t>
      </w:r>
      <w:r>
        <w:t xml:space="preserve">đến</w:t>
      </w:r>
      <w:r>
        <w:t xml:space="preserve"> </w:t>
      </w:r>
      <w:r>
        <w:t xml:space="preserve">1.49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highlight w:val="none"/>
          <w:u w:val="single"/>
        </w:rPr>
      </w:r>
    </w:p>
    <w:p>
      <w:pPr>
        <w:pBdr/>
        <w:spacing w:after="120" w:before="120" w:line="276" w:lineRule="auto"/>
        <w:ind/>
        <w:jc w:val="both"/>
        <w:rPr>
          <w:b/>
          <w:bCs/>
          <w:u w:val="single"/>
        </w:rPr>
      </w:pPr>
      <w:r>
        <w:rPr>
          <w:b/>
          <w:bCs/>
          <w:highlight w:val="none"/>
          <w:u w:val="single"/>
        </w:rPr>
      </w:r>
      <w:r>
        <w:rPr>
          <w:b/>
          <w:bCs/>
          <w:highlight w:val="none"/>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Ind w:w="-72" w:type="dxa"/>
        <w:tblW w:w="5055" w:type="pct"/>
        <w:tblBorders/>
        <w:tblLayout w:type="fixed"/>
        <w:tblLook w:val="04A0" w:firstRow="1" w:lastRow="0" w:firstColumn="1" w:lastColumn="0" w:noHBand="0" w:noVBand="1"/>
      </w:tblPr>
      <w:tblGrid>
        <w:gridCol w:w="648"/>
        <w:gridCol w:w="1890"/>
        <w:gridCol w:w="1890"/>
        <w:gridCol w:w="2340"/>
        <w:gridCol w:w="3150"/>
      </w:tblGrid>
      <w:tr>
        <w:trPr>
          <w:trHeight w:val="0"/>
        </w:trPr>
        <w:tc>
          <w:tcPr>
            <w:tcBorders>
              <w:top w:val="single" w:color="auto"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130.726.120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color w:val="000000"/>
              </w:rPr>
            </w:pPr>
            <w:r>
              <w:rPr>
                <w:color w:val="000000"/>
              </w:rPr>
              <w:t xml:space="preserve">43.584.088</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128.236.099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color w:val="000000"/>
              </w:rPr>
            </w:pPr>
            <w:r>
              <w:rPr>
                <w:color w:val="000000"/>
              </w:rPr>
              <w:t xml:space="preserve">42.741.092</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132.393.065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color w:val="000000"/>
              </w:rPr>
            </w:pPr>
            <w:r>
              <w:rPr>
                <w:color w:val="000000"/>
              </w:rPr>
              <w:t xml:space="preserve">44.126.609</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768"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b/>
                <w:bCs/>
                <w:color w:val="000000"/>
              </w:rPr>
            </w:pPr>
            <w:r>
              <w:rPr>
                <w:b/>
                <w:bCs/>
                <w:color w:val="000000" w:themeColor="text1"/>
                <w:lang w:val="vi-VN"/>
              </w:rPr>
              <w:t xml:space="preserve">130.451.789</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768" w:type="dxa"/>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b/>
                <w:bCs/>
                <w:color w:val="000000"/>
              </w:rPr>
            </w:pPr>
            <w:r>
              <w:rPr>
                <w:b/>
                <w:bCs/>
                <w:color w:val="000000" w:themeColor="text1"/>
                <w:lang w:val="vi-VN"/>
              </w:rPr>
              <w:t xml:space="preserve">130.000.000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130.000.000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bCs/>
          <w:highlight w:val="none"/>
        </w:rPr>
      </w:pPr>
      <w:r>
        <w:rPr>
          <w:b/>
          <w:bCs/>
          <w:highlight w:val="none"/>
        </w:rPr>
        <w:t xml:space="preserve">Xác</w:t>
      </w:r>
      <w:r>
        <w:rPr>
          <w:b/>
          <w:bCs/>
          <w:highlight w:val="none"/>
        </w:rPr>
        <w:t xml:space="preserve"> </w:t>
      </w:r>
      <w:r>
        <w:rPr>
          <w:b/>
          <w:bCs/>
          <w:highlight w:val="none"/>
        </w:rPr>
        <w:t xml:space="preserve">định</w:t>
      </w:r>
      <w:r>
        <w:rPr>
          <w:b/>
          <w:bCs/>
          <w:highlight w:val="none"/>
        </w:rPr>
        <w:t xml:space="preserve"> </w:t>
      </w:r>
      <w:r>
        <w:rPr>
          <w:b/>
          <w:bCs/>
          <w:highlight w:val="none"/>
        </w:rPr>
        <w:t xml:space="preserve">giá</w:t>
      </w:r>
      <w:r>
        <w:rPr>
          <w:b/>
          <w:bCs/>
          <w:highlight w:val="none"/>
        </w:rPr>
        <w:t xml:space="preserve"> </w:t>
      </w:r>
      <w:r>
        <w:rPr>
          <w:b/>
          <w:bCs/>
          <w:highlight w:val="none"/>
        </w:rPr>
        <w:t xml:space="preserve">trị</w:t>
      </w:r>
      <w:r>
        <w:rPr>
          <w:b/>
          <w:bCs/>
          <w:highlight w:val="none"/>
        </w:rPr>
        <w:t xml:space="preserve"> </w:t>
      </w:r>
      <w:r>
        <w:rPr>
          <w:b/>
          <w:bCs/>
          <w:highlight w:val="none"/>
        </w:rPr>
        <w:t xml:space="preserve">tài</w:t>
      </w:r>
      <w:r>
        <w:rPr>
          <w:b/>
          <w:bCs/>
          <w:highlight w:val="none"/>
        </w:rPr>
        <w:t xml:space="preserve"> </w:t>
      </w:r>
      <w:r>
        <w:rPr>
          <w:b/>
          <w:bCs/>
          <w:highlight w:val="none"/>
        </w:rPr>
        <w:t xml:space="preserve">sản</w:t>
      </w:r>
      <w:r>
        <w:rPr>
          <w:b/>
          <w:bCs/>
          <w:highlight w:val="none"/>
        </w:rPr>
        <w:t xml:space="preserve"> </w:t>
      </w:r>
      <w:r>
        <w:rPr>
          <w:b/>
          <w:bCs/>
          <w:highlight w:val="none"/>
        </w:rPr>
        <w:t xml:space="preserve">gắn</w:t>
      </w:r>
      <w:r>
        <w:rPr>
          <w:b/>
          <w:bCs/>
          <w:highlight w:val="none"/>
        </w:rPr>
        <w:t xml:space="preserve"> </w:t>
      </w:r>
      <w:r>
        <w:rPr>
          <w:b/>
          <w:bCs/>
          <w:highlight w:val="none"/>
        </w:rPr>
        <w:t xml:space="preserve">liền</w:t>
      </w:r>
      <w:r>
        <w:rPr>
          <w:b/>
          <w:bCs/>
          <w:highlight w:val="none"/>
        </w:rPr>
        <w:t xml:space="preserve"> </w:t>
      </w:r>
      <w:r>
        <w:rPr>
          <w:b/>
          <w:bCs/>
          <w:highlight w:val="none"/>
        </w:rPr>
        <w:t xml:space="preserve">với</w:t>
      </w:r>
      <w:r>
        <w:rPr>
          <w:b/>
          <w:bCs/>
          <w:highlight w:val="none"/>
        </w:rPr>
        <w:t xml:space="preserve"> </w:t>
      </w:r>
      <w:r>
        <w:rPr>
          <w:b/>
          <w:bCs/>
          <w:highlight w:val="none"/>
        </w:rPr>
        <w:t xml:space="preserve">đất</w:t>
      </w:r>
      <w:r>
        <w:rPr>
          <w:b/>
          <w:bCs/>
          <w:highlight w:val="none"/>
        </w:rPr>
      </w:r>
      <w:r>
        <w:rPr>
          <w:b/>
          <w:bCs/>
          <w:highlight w:val="none"/>
        </w:rPr>
      </w:r>
    </w:p>
    <w:tbl>
      <w:tblPr>
        <w:tblInd w:w="-65" w:type="dxa"/>
        <w:tblW w:w="99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018"/>
        <w:gridCol w:w="1560"/>
        <w:gridCol w:w="1508"/>
        <w:gridCol w:w="1067"/>
        <w:gridCol w:w="1368"/>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Tài</w:t>
            </w:r>
            <w:r>
              <w:rPr>
                <w:b/>
                <w:bCs/>
                <w:sz w:val="22"/>
                <w:szCs w:val="22"/>
              </w:rPr>
              <w:t xml:space="preserve"> </w:t>
            </w:r>
            <w:r>
              <w:rPr>
                <w:b/>
                <w:bCs/>
                <w:sz w:val="22"/>
                <w:szCs w:val="22"/>
              </w:rPr>
              <w:t xml:space="preserve">sản</w:t>
            </w:r>
            <w:r>
              <w:rPr>
                <w:b/>
                <w:bCs/>
                <w:sz w:val="22"/>
                <w:szCs w:val="22"/>
              </w:rPr>
            </w:r>
            <w:r>
              <w:rPr>
                <w:b/>
                <w:bCs/>
                <w:sz w:val="22"/>
                <w:szCs w:val="22"/>
              </w:rPr>
            </w:r>
          </w:p>
        </w:tc>
        <w:tc>
          <w:tcPr>
            <w:shd w:val="clear" w:color="000000" w:fill="ffffff"/>
            <w:tcBorders/>
            <w:tcW w:w="1018" w:type="dxa"/>
            <w:vAlign w:val="center"/>
            <w:textDirection w:val="lrTb"/>
            <w:noWrap w:val="false"/>
          </w:tcPr>
          <w:p>
            <w:pPr>
              <w:pBdr/>
              <w:spacing w:after="60" w:before="60"/>
              <w:ind/>
              <w:jc w:val="center"/>
              <w:rPr>
                <w:b/>
                <w:bCs/>
                <w:sz w:val="22"/>
                <w:szCs w:val="22"/>
              </w:rPr>
            </w:pPr>
            <w:r>
              <w:rPr>
                <w:b/>
                <w:bCs/>
                <w:sz w:val="22"/>
                <w:szCs w:val="22"/>
              </w:rPr>
              <w:t xml:space="preserve">Diện</w:t>
            </w:r>
            <w:r>
              <w:rPr>
                <w:b/>
                <w:bCs/>
                <w:sz w:val="22"/>
                <w:szCs w:val="22"/>
              </w:rPr>
              <w:t xml:space="preserve"> </w:t>
            </w:r>
            <w:r>
              <w:rPr>
                <w:b/>
                <w:bCs/>
                <w:sz w:val="22"/>
                <w:szCs w:val="22"/>
              </w:rPr>
              <w:t xml:space="preserve">tích</w:t>
            </w:r>
            <w:r>
              <w:rPr>
                <w:b/>
                <w:bCs/>
                <w:sz w:val="22"/>
                <w:szCs w:val="22"/>
              </w:rPr>
              <w:t xml:space="preserve"> </w:t>
            </w:r>
            <w:r>
              <w:rPr>
                <w:b/>
                <w:bCs/>
                <w:sz w:val="22"/>
                <w:szCs w:val="22"/>
              </w:rPr>
              <w:t xml:space="preserve">sàn</w:t>
            </w:r>
            <w:r>
              <w:rPr>
                <w:b/>
                <w:bCs/>
                <w:sz w:val="22"/>
                <w:szCs w:val="22"/>
              </w:rPr>
              <w:t xml:space="preserve"> (m²)</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xây</w:t>
            </w:r>
            <w:r>
              <w:rPr>
                <w:b/>
                <w:bCs/>
                <w:sz w:val="22"/>
                <w:szCs w:val="22"/>
              </w:rPr>
              <w:t xml:space="preserve"> </w:t>
            </w:r>
            <w:r>
              <w:rPr>
                <w:b/>
                <w:bCs/>
                <w:sz w:val="22"/>
                <w:szCs w:val="22"/>
              </w:rPr>
              <w:t xml:space="preserve">dựng</w:t>
            </w:r>
            <w:r>
              <w:rPr>
                <w:b/>
                <w:bCs/>
                <w:sz w:val="22"/>
                <w:szCs w:val="22"/>
              </w:rPr>
              <w:t xml:space="preserve"> </w:t>
            </w:r>
            <w:r>
              <w:rPr>
                <w:b/>
                <w:bCs/>
                <w:sz w:val="22"/>
                <w:szCs w:val="22"/>
              </w:rPr>
              <w:t xml:space="preserve">mới</w:t>
            </w:r>
            <w:r>
              <w:rPr>
                <w:b/>
                <w:bCs/>
                <w:sz w:val="22"/>
                <w:szCs w:val="22"/>
              </w:rPr>
              <w:t xml:space="preserve"> (</w:t>
            </w:r>
            <w:r>
              <w:rPr>
                <w:b/>
                <w:bCs/>
                <w:sz w:val="22"/>
                <w:szCs w:val="22"/>
              </w:rPr>
              <w:t xml:space="preserve">đồng</w:t>
            </w:r>
            <w:r>
              <w:rPr>
                <w:b/>
                <w:bCs/>
                <w:sz w:val="22"/>
                <w:szCs w:val="22"/>
              </w:rPr>
              <w:t xml:space="preserve">/m² </w:t>
            </w:r>
            <w:r>
              <w:rPr>
                <w:b/>
                <w:bCs/>
                <w:sz w:val="22"/>
                <w:szCs w:val="22"/>
              </w:rPr>
              <w:t xml:space="preserve">sàn</w:t>
            </w:r>
            <w:r>
              <w:rPr>
                <w:b/>
                <w:bCs/>
                <w:sz w:val="22"/>
                <w:szCs w:val="22"/>
              </w:rPr>
              <w:t xml:space="preserve">)</w:t>
            </w:r>
            <w:r>
              <w:rPr>
                <w:b/>
                <w:bCs/>
                <w:sz w:val="22"/>
                <w:szCs w:val="22"/>
              </w:rPr>
            </w:r>
            <w:r>
              <w:rPr>
                <w:b/>
                <w:bCs/>
                <w:sz w:val="22"/>
                <w:szCs w:val="22"/>
              </w:rPr>
            </w:r>
          </w:p>
        </w:tc>
        <w:tc>
          <w:tcPr>
            <w:shd w:val="clear" w:color="000000" w:fill="ffffff"/>
            <w:tcBorders/>
            <w:tcW w:w="1508" w:type="dxa"/>
            <w:vAlign w:val="center"/>
            <w:textDirection w:val="lrTb"/>
            <w:noWrap w:val="false"/>
          </w:tcPr>
          <w:p>
            <w:pPr>
              <w:pBdr/>
              <w:spacing w:after="60" w:before="60"/>
              <w:ind/>
              <w:jc w:val="center"/>
              <w:rPr>
                <w:b/>
                <w:bCs/>
                <w:sz w:val="22"/>
                <w:szCs w:val="22"/>
              </w:rPr>
            </w:pPr>
            <w:r>
              <w:rPr>
                <w:b/>
                <w:bCs/>
                <w:sz w:val="22"/>
                <w:szCs w:val="22"/>
              </w:rPr>
              <w:t xml:space="preserve">Chi </w:t>
            </w:r>
            <w:r>
              <w:rPr>
                <w:b/>
                <w:bCs/>
                <w:sz w:val="22"/>
                <w:szCs w:val="22"/>
              </w:rPr>
              <w:t xml:space="preserve">phí</w:t>
            </w:r>
            <w:r>
              <w:rPr>
                <w:b/>
                <w:bCs/>
                <w:sz w:val="22"/>
                <w:szCs w:val="22"/>
              </w:rPr>
              <w:t xml:space="preserve"> </w:t>
            </w:r>
            <w:r>
              <w:rPr>
                <w:b/>
                <w:bCs/>
                <w:sz w:val="22"/>
                <w:szCs w:val="22"/>
              </w:rPr>
              <w:t xml:space="preserve">thay</w:t>
            </w:r>
            <w:r>
              <w:rPr>
                <w:b/>
                <w:bCs/>
                <w:sz w:val="22"/>
                <w:szCs w:val="22"/>
              </w:rPr>
              <w:t xml:space="preserve"> </w:t>
            </w:r>
            <w:r>
              <w:rPr>
                <w:b/>
                <w:bCs/>
                <w:sz w:val="22"/>
                <w:szCs w:val="22"/>
              </w:rPr>
              <w:t xml:space="preserve">thế</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1067" w:type="dxa"/>
            <w:vAlign w:val="center"/>
            <w:textDirection w:val="lrTb"/>
            <w:noWrap w:val="false"/>
          </w:tcPr>
          <w:p>
            <w:pPr>
              <w:pBdr/>
              <w:spacing w:after="60" w:before="60"/>
              <w:ind/>
              <w:jc w:val="center"/>
              <w:rPr>
                <w:b/>
                <w:bCs/>
                <w:sz w:val="22"/>
                <w:szCs w:val="22"/>
              </w:rPr>
            </w:pPr>
            <w:r>
              <w:rPr>
                <w:b/>
                <w:bCs/>
                <w:sz w:val="22"/>
                <w:szCs w:val="22"/>
              </w:rPr>
              <w:t xml:space="preserve">Tỷ</w:t>
            </w:r>
            <w:r>
              <w:rPr>
                <w:b/>
                <w:bCs/>
                <w:sz w:val="22"/>
                <w:szCs w:val="22"/>
              </w:rPr>
              <w:t xml:space="preserve"> </w:t>
            </w:r>
            <w:r>
              <w:rPr>
                <w:b/>
                <w:bCs/>
                <w:sz w:val="22"/>
                <w:szCs w:val="22"/>
              </w:rPr>
              <w:t xml:space="preserve">lệ</w:t>
            </w:r>
            <w:r>
              <w:rPr>
                <w:b/>
                <w:bCs/>
                <w:sz w:val="22"/>
                <w:szCs w:val="22"/>
              </w:rPr>
              <w:t xml:space="preserve"> hao </w:t>
            </w:r>
            <w:r>
              <w:rPr>
                <w:b/>
                <w:bCs/>
                <w:sz w:val="22"/>
                <w:szCs w:val="22"/>
              </w:rPr>
              <w:t xml:space="preserve">mòn</w:t>
            </w:r>
            <w:r>
              <w:rPr>
                <w:b/>
                <w:bCs/>
                <w:sz w:val="22"/>
                <w:szCs w:val="22"/>
              </w:rPr>
              <w:t xml:space="preserve"> (%)</w:t>
            </w:r>
            <w:r>
              <w:rPr>
                <w:b/>
                <w:bCs/>
                <w:sz w:val="22"/>
                <w:szCs w:val="22"/>
              </w:rPr>
            </w:r>
            <w:r>
              <w:rPr>
                <w:b/>
                <w:bCs/>
                <w:sz w:val="22"/>
                <w:szCs w:val="22"/>
              </w:rPr>
            </w:r>
          </w:p>
        </w:tc>
        <w:tc>
          <w:tcPr>
            <w:shd w:val="clear" w:color="000000" w:fill="ffffff"/>
            <w:tcBorders/>
            <w:tcW w:w="1368" w:type="dxa"/>
            <w:vAlign w:val="center"/>
            <w:textDirection w:val="lrTb"/>
            <w:noWrap w:val="false"/>
          </w:tcPr>
          <w:p>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hao </w:t>
            </w:r>
            <w:r>
              <w:rPr>
                <w:b/>
                <w:bCs/>
                <w:sz w:val="22"/>
                <w:szCs w:val="22"/>
              </w:rPr>
              <w:t xml:space="preserve">mòn</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tại</w:t>
            </w:r>
            <w:r>
              <w:rPr>
                <w:b/>
                <w:bCs/>
                <w:sz w:val="22"/>
                <w:szCs w:val="22"/>
              </w:rPr>
              <w:t xml:space="preserve"> </w:t>
            </w:r>
            <w:r>
              <w:rPr>
                <w:b/>
                <w:bCs/>
                <w:sz w:val="22"/>
                <w:szCs w:val="22"/>
              </w:rPr>
              <w:t xml:space="preserve">thời</w:t>
            </w:r>
            <w:r>
              <w:rPr>
                <w:b/>
                <w:bCs/>
                <w:sz w:val="22"/>
                <w:szCs w:val="22"/>
              </w:rPr>
              <w:t xml:space="preserve"> </w:t>
            </w:r>
            <w:r>
              <w:rPr>
                <w:b/>
                <w:bCs/>
                <w:sz w:val="22"/>
                <w:szCs w:val="22"/>
              </w:rPr>
              <w:t xml:space="preserve">điểm</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018"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508"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067"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3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418" w:type="dxa"/>
            <w:vAlign w:val="center"/>
            <w:textDirection w:val="lrTb"/>
            <w:noWrap w:val="false"/>
          </w:tcPr>
          <w:p>
            <w:pPr>
              <w:pBdr/>
              <w:spacing w:after="60" w:before="60"/>
              <w:ind/>
              <w:jc w:val="center"/>
              <w:rPr>
                <w:sz w:val="22"/>
                <w:szCs w:val="22"/>
              </w:rPr>
            </w:pPr>
            <w:r>
              <w:rPr>
                <w:sz w:val="22"/>
                <w:szCs w:val="22"/>
              </w:rPr>
              <w:t xml:space="preserve">Nhà liền kề 5 tầng</w:t>
            </w:r>
            <w:r>
              <w:rPr>
                <w:sz w:val="22"/>
                <w:szCs w:val="22"/>
              </w:rPr>
            </w:r>
            <w:r>
              <w:rPr>
                <w:sz w:val="22"/>
                <w:szCs w:val="22"/>
              </w:rPr>
            </w:r>
          </w:p>
        </w:tc>
        <w:tc>
          <w:tcPr>
            <w:tcBorders/>
            <w:tcW w:w="1018" w:type="dxa"/>
            <w:vAlign w:val="center"/>
            <w:textDirection w:val="lrTb"/>
            <w:noWrap/>
          </w:tcPr>
          <w:p>
            <w:pPr>
              <w:pBdr/>
              <w:spacing w:after="60" w:before="60"/>
              <w:ind/>
              <w:jc w:val="center"/>
              <w:rPr>
                <w:sz w:val="22"/>
                <w:szCs w:val="22"/>
              </w:rPr>
            </w:pPr>
            <w:r>
              <w:rPr>
                <w:sz w:val="22"/>
                <w:szCs w:val="22"/>
              </w:rPr>
              <w:t xml:space="preserve">240,4</w:t>
            </w:r>
            <w:r>
              <w:rPr>
                <w:sz w:val="22"/>
                <w:szCs w:val="22"/>
              </w:rPr>
            </w:r>
            <w:r>
              <w:rPr>
                <w:sz w:val="22"/>
                <w:szCs w:val="22"/>
              </w:rPr>
            </w:r>
          </w:p>
        </w:tc>
        <w:tc>
          <w:tcPr>
            <w:tcBorders/>
            <w:tcW w:w="1560" w:type="dxa"/>
            <w:vAlign w:val="center"/>
            <w:textDirection w:val="lrTb"/>
            <w:noWrap/>
          </w:tcPr>
          <w:p>
            <w:pPr>
              <w:pBdr/>
              <w:spacing w:after="60" w:before="60"/>
              <w:ind/>
              <w:jc w:val="center"/>
              <w:rPr>
                <w:sz w:val="22"/>
                <w:szCs w:val="22"/>
              </w:rPr>
            </w:pPr>
            <w:r>
              <w:rPr>
                <w:sz w:val="22"/>
                <w:szCs w:val="22"/>
              </w:rPr>
              <w:t xml:space="preserve">7.727.062</w:t>
            </w:r>
            <w:r>
              <w:rPr>
                <w:sz w:val="22"/>
                <w:szCs w:val="22"/>
              </w:rPr>
            </w:r>
            <w:r>
              <w:rPr>
                <w:sz w:val="22"/>
                <w:szCs w:val="22"/>
              </w:rPr>
            </w:r>
          </w:p>
        </w:tc>
        <w:tc>
          <w:tcPr>
            <w:tcBorders/>
            <w:tcW w:w="1508" w:type="dxa"/>
            <w:vAlign w:val="center"/>
            <w:textDirection w:val="lrTb"/>
            <w:noWrap/>
          </w:tcPr>
          <w:p>
            <w:pPr>
              <w:pBdr/>
              <w:spacing w:after="60" w:before="60"/>
              <w:ind/>
              <w:jc w:val="center"/>
              <w:rPr>
                <w:sz w:val="22"/>
                <w:szCs w:val="22"/>
              </w:rPr>
            </w:pPr>
            <w:r>
              <w:rPr>
                <w:sz w:val="22"/>
                <w:szCs w:val="22"/>
              </w:rPr>
              <w:t xml:space="preserve">1.857.585.705</w:t>
            </w:r>
            <w:r>
              <w:rPr>
                <w:sz w:val="22"/>
                <w:szCs w:val="22"/>
              </w:rPr>
            </w:r>
            <w:r>
              <w:rPr>
                <w:sz w:val="22"/>
                <w:szCs w:val="22"/>
              </w:rPr>
            </w:r>
          </w:p>
        </w:tc>
        <w:tc>
          <w:tcPr>
            <w:tcBorders/>
            <w:tcW w:w="1067" w:type="dxa"/>
            <w:vAlign w:val="center"/>
            <w:textDirection w:val="lrTb"/>
            <w:noWrap w:val="false"/>
          </w:tcPr>
          <w:p>
            <w:pPr>
              <w:pBdr/>
              <w:spacing w:after="60" w:before="60"/>
              <w:ind/>
              <w:jc w:val="center"/>
              <w:rPr>
                <w:sz w:val="22"/>
                <w:szCs w:val="22"/>
              </w:rPr>
            </w:pPr>
            <w:r>
              <w:rPr>
                <w:sz w:val="22"/>
                <w:szCs w:val="22"/>
              </w:rPr>
              <w:t xml:space="preserve">15%</w:t>
            </w:r>
            <w:r>
              <w:rPr>
                <w:sz w:val="22"/>
                <w:szCs w:val="22"/>
              </w:rPr>
            </w:r>
            <w:r>
              <w:rPr>
                <w:sz w:val="22"/>
                <w:szCs w:val="22"/>
              </w:rPr>
            </w:r>
          </w:p>
        </w:tc>
        <w:tc>
          <w:tcPr>
            <w:tcBorders/>
            <w:tcW w:w="1368" w:type="dxa"/>
            <w:vAlign w:val="center"/>
            <w:textDirection w:val="lrTb"/>
            <w:noWrap/>
          </w:tcPr>
          <w:p>
            <w:pPr>
              <w:pBdr/>
              <w:spacing w:after="60" w:before="60"/>
              <w:ind/>
              <w:jc w:val="center"/>
              <w:rPr>
                <w:sz w:val="22"/>
                <w:szCs w:val="22"/>
              </w:rPr>
            </w:pPr>
            <w:r>
              <w:rPr>
                <w:sz w:val="22"/>
                <w:szCs w:val="22"/>
              </w:rPr>
              <w:t xml:space="preserve">278.637.856</w:t>
            </w:r>
            <w:r>
              <w:rPr>
                <w:sz w:val="22"/>
                <w:szCs w:val="22"/>
              </w:rPr>
            </w:r>
            <w:r>
              <w:rPr>
                <w:sz w:val="22"/>
                <w:szCs w:val="22"/>
              </w:rPr>
            </w:r>
          </w:p>
        </w:tc>
        <w:tc>
          <w:tcPr>
            <w:tcBorders/>
            <w:tcW w:w="1968" w:type="dxa"/>
            <w:vAlign w:val="center"/>
            <w:textDirection w:val="lrTb"/>
            <w:noWrap w:val="false"/>
          </w:tcPr>
          <w:p>
            <w:pPr>
              <w:pBdr/>
              <w:spacing w:after="60" w:before="60"/>
              <w:ind/>
              <w:jc w:val="center"/>
              <w:rPr>
                <w:sz w:val="22"/>
                <w:szCs w:val="22"/>
              </w:rPr>
            </w:pPr>
            <w:r>
              <w:rPr>
                <w:sz w:val="22"/>
                <w:szCs w:val="22"/>
              </w:rPr>
              <w:t xml:space="preserve">1.578.947.849</w:t>
            </w:r>
            <w:r>
              <w:rPr>
                <w:sz w:val="22"/>
                <w:szCs w:val="22"/>
              </w:rPr>
            </w:r>
            <w:r>
              <w:rPr>
                <w:sz w:val="22"/>
                <w:szCs w:val="22"/>
              </w:rPr>
            </w:r>
          </w:p>
        </w:tc>
      </w:tr>
    </w:tbl>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p>
    <w:tbl>
      <w:tblPr>
        <w:tblInd w:w="-72" w:type="dxa"/>
        <w:tblW w:w="5093"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40"/>
        <w:gridCol w:w="2073"/>
        <w:gridCol w:w="1672"/>
        <w:gridCol w:w="2573"/>
        <w:gridCol w:w="1407"/>
        <w:gridCol w:w="1728"/>
      </w:tblGrid>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142"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28"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59"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453" w:type="dxa"/>
            <w:vAlign w:val="center"/>
            <w:textDirection w:val="lrTb"/>
            <w:noWrap w:val="false"/>
          </w:tcPr>
          <w:p>
            <w:pPr>
              <w:pBdr/>
              <w:spacing/>
              <w:ind/>
              <w:jc w:val="center"/>
              <w:rPr>
                <w:b/>
                <w:bCs/>
              </w:rPr>
            </w:pPr>
            <w:r>
              <w:rPr>
                <w:b/>
                <w:bCs/>
              </w:rPr>
              <w:t xml:space="preserve">Tỷ lệ CLCL (%)</w:t>
            </w:r>
            <w:r>
              <w:rPr>
                <w:b/>
                <w:bCs/>
              </w:rPr>
            </w:r>
            <w:r>
              <w:rPr>
                <w:b/>
                <w:bCs/>
              </w:rPr>
            </w:r>
          </w:p>
        </w:tc>
        <w:tc>
          <w:tcPr>
            <w:shd w:val="clear" w:color="000000" w:fill="ffffff"/>
            <w:tcBorders/>
            <w:tcW w:w="1785"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7622" w:type="dxa"/>
            <w:vAlign w:val="center"/>
            <w:textDirection w:val="lrTb"/>
            <w:noWrap w:val="false"/>
          </w:tcPr>
          <w:p>
            <w:pPr>
              <w:pBdr/>
              <w:spacing w:after="40" w:before="40" w:line="288" w:lineRule="auto"/>
              <w:ind/>
              <w:jc w:val="both"/>
              <w:rPr>
                <w:b/>
                <w:bCs/>
              </w:rPr>
            </w:pPr>
            <w:r>
              <w:rPr>
                <w:color w:val="000000"/>
              </w:rPr>
              <w:t xml:space="preserve">Quyền sử dụng đất và tài sản gắn liền với đất tại thửa đất số: 3199, tờ bản đồ số: 03 có địa chỉ: SB10 - 52, khu đô thị sinh thái Dream City, xã Long Hưng, huyện Văn Giang, tỉnh Hưng Yên (nay là xã Nghĩa Trụ</w:t>
            </w:r>
            <w:r>
              <w:rPr>
                <w:color w:val="000000"/>
              </w:rPr>
              <w:t xml:space="preserve">, Tỉnh Hưng Yên)  theo Giấy chứng nhận quyền sử dụng đất quyền sở hữu nhà ở và tài sản khác gắn liền với đất số: DQ 967613, số vào sổ cấp GCN: VP 06233 do Văn phòng Đăng ký đất đai tỉnh Hưng Yên cấp ngày 27/12/2024 cho ông Đỗ Đình Quang và bà Đỗ Thị Thuận.</w:t>
            </w:r>
            <w:r>
              <w:rPr>
                <w:b/>
                <w:bCs/>
              </w:rPr>
            </w:r>
            <w:r>
              <w:rPr>
                <w:b/>
                <w:bCs/>
              </w:rPr>
            </w:r>
          </w:p>
        </w:tc>
        <w:tc>
          <w:tcPr>
            <w:shd w:val="clear" w:color="000000" w:fill="ffffff"/>
            <w:tcBorders/>
            <w:tcW w:w="1785"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142" w:type="dxa"/>
            <w:vAlign w:val="center"/>
            <w:textDirection w:val="lrTb"/>
            <w:noWrap w:val="false"/>
          </w:tcPr>
          <w:p>
            <w:pPr>
              <w:pBdr/>
              <w:spacing w:after="40" w:before="40" w:line="288" w:lineRule="auto"/>
              <w:ind/>
              <w:jc w:val="both"/>
              <w:rPr>
                <w:b w:val="0"/>
                <w:bCs w:val="0"/>
              </w:rPr>
            </w:pPr>
            <w:r>
              <w:rPr>
                <w:b w:val="0"/>
                <w:bCs w:val="0"/>
              </w:rPr>
              <w:t xml:space="preserve">Đất ở tại đô thị</w:t>
            </w:r>
            <w:r>
              <w:rPr>
                <w:b w:val="0"/>
                <w:bCs w:val="0"/>
              </w:rPr>
            </w:r>
            <w:r>
              <w:rPr>
                <w:b w:val="0"/>
                <w:bCs w:val="0"/>
              </w:rPr>
            </w:r>
          </w:p>
        </w:tc>
        <w:tc>
          <w:tcPr>
            <w:tcBorders/>
            <w:tcW w:w="1728" w:type="dxa"/>
            <w:vAlign w:val="center"/>
            <w:textDirection w:val="lrTb"/>
            <w:noWrap/>
          </w:tcPr>
          <w:p>
            <w:pPr>
              <w:pBdr/>
              <w:spacing w:after="40" w:before="40" w:line="288" w:lineRule="auto"/>
              <w:ind/>
              <w:jc w:val="center"/>
              <w:rPr>
                <w:color w:val="000000"/>
              </w:rPr>
            </w:pPr>
            <w:r>
              <w:rPr>
                <w:color w:val="000000" w:themeColor="text1"/>
              </w:rPr>
              <w:t xml:space="preserve">58,5</w:t>
            </w:r>
            <w:r>
              <w:rPr>
                <w:color w:val="000000"/>
              </w:rPr>
            </w:r>
            <w:r>
              <w:rPr>
                <w:color w:val="000000"/>
              </w:rPr>
            </w:r>
          </w:p>
        </w:tc>
        <w:tc>
          <w:tcPr>
            <w:shd w:val="clear" w:color="000000" w:fill="ffffff"/>
            <w:tcBorders/>
            <w:tcW w:w="2659" w:type="dxa"/>
            <w:vAlign w:val="center"/>
            <w:textDirection w:val="lrTb"/>
            <w:noWrap w:val="false"/>
          </w:tcPr>
          <w:p>
            <w:pPr>
              <w:pBdr/>
              <w:spacing w:after="40" w:before="40" w:line="288" w:lineRule="auto"/>
              <w:ind/>
              <w:jc w:val="center"/>
              <w:rPr/>
            </w:pPr>
            <w:r>
              <w:rPr>
                <w:color w:val="000000" w:themeColor="text1"/>
              </w:rPr>
              <w:t xml:space="preserve">130.000.000</w:t>
            </w:r>
            <w:r/>
          </w:p>
        </w:tc>
        <w:tc>
          <w:tcPr>
            <w:shd w:val="clear" w:color="000000" w:fill="ffffff"/>
            <w:tcBorders/>
            <w:tcW w:w="1453"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shd w:val="clear" w:color="000000" w:fill="ffffff"/>
            <w:tcBorders/>
            <w:tcW w:w="1785" w:type="dxa"/>
            <w:vAlign w:val="center"/>
            <w:textDirection w:val="lrTb"/>
            <w:noWrap w:val="false"/>
          </w:tcPr>
          <w:p>
            <w:pPr>
              <w:pBdr/>
              <w:spacing w:after="40" w:before="40" w:line="288" w:lineRule="auto"/>
              <w:ind/>
              <w:jc w:val="right"/>
              <w:rPr/>
            </w:pPr>
            <w:r>
              <w:rPr>
                <w:color w:val="000000" w:themeColor="text1"/>
              </w:rPr>
              <w:t xml:space="preserve">7.605.000.000</w:t>
            </w: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142" w:type="dxa"/>
            <w:vAlign w:val="center"/>
            <w:textDirection w:val="lrTb"/>
            <w:noWrap w:val="false"/>
          </w:tcPr>
          <w:p>
            <w:pPr>
              <w:pBdr/>
              <w:spacing w:after="40" w:before="40" w:line="288" w:lineRule="auto"/>
              <w:ind/>
              <w:jc w:val="both"/>
              <w:rPr>
                <w:b w:val="0"/>
                <w:bCs w:val="0"/>
              </w:rPr>
            </w:pPr>
            <w:r>
              <w:rPr>
                <w:b w:val="0"/>
                <w:bCs w:val="0"/>
              </w:rPr>
              <w:t xml:space="preserve">Nhà liền kề 5 tầng</w:t>
            </w:r>
            <w:r>
              <w:rPr>
                <w:b w:val="0"/>
                <w:bCs w:val="0"/>
              </w:rPr>
            </w:r>
            <w:r>
              <w:rPr>
                <w:b w:val="0"/>
                <w:bCs w:val="0"/>
              </w:rPr>
            </w:r>
          </w:p>
        </w:tc>
        <w:tc>
          <w:tcPr>
            <w:tcBorders/>
            <w:tcW w:w="1728" w:type="dxa"/>
            <w:vAlign w:val="center"/>
            <w:textDirection w:val="lrTb"/>
            <w:noWrap/>
          </w:tcPr>
          <w:p>
            <w:pPr>
              <w:pBdr/>
              <w:spacing w:after="40" w:before="40" w:line="288" w:lineRule="auto"/>
              <w:ind/>
              <w:jc w:val="center"/>
              <w:rPr>
                <w:color w:val="000000"/>
              </w:rPr>
            </w:pPr>
            <w:r>
              <w:rPr>
                <w:color w:val="000000" w:themeColor="text1"/>
              </w:rPr>
              <w:t xml:space="preserve">240,4</w:t>
            </w:r>
            <w:r>
              <w:rPr>
                <w:color w:val="000000"/>
              </w:rPr>
            </w:r>
            <w:r>
              <w:rPr>
                <w:color w:val="000000"/>
              </w:rPr>
            </w:r>
          </w:p>
        </w:tc>
        <w:tc>
          <w:tcPr>
            <w:shd w:val="clear" w:color="000000" w:fill="ffffff"/>
            <w:tcBorders/>
            <w:tcW w:w="2659" w:type="dxa"/>
            <w:vAlign w:val="center"/>
            <w:textDirection w:val="lrTb"/>
            <w:noWrap w:val="false"/>
          </w:tcPr>
          <w:p>
            <w:pPr>
              <w:pBdr/>
              <w:spacing w:after="40" w:before="40" w:line="288" w:lineRule="auto"/>
              <w:ind/>
              <w:jc w:val="center"/>
              <w:rPr/>
            </w:pPr>
            <w:r>
              <w:rPr>
                <w:color w:val="000000" w:themeColor="text1"/>
              </w:rPr>
              <w:t xml:space="preserve">7.727.062</w:t>
            </w:r>
            <w:r/>
          </w:p>
        </w:tc>
        <w:tc>
          <w:tcPr>
            <w:shd w:val="clear" w:color="000000" w:fill="ffffff"/>
            <w:tcBorders/>
            <w:tcW w:w="1453"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85%</w:t>
            </w:r>
            <w:r>
              <w:rPr>
                <w:color w:val="000000" w:themeColor="text1"/>
              </w:rPr>
            </w:r>
            <w:r>
              <w:rPr>
                <w:color w:val="000000" w:themeColor="text1"/>
              </w:rPr>
            </w:r>
          </w:p>
        </w:tc>
        <w:tc>
          <w:tcPr>
            <w:shd w:val="clear" w:color="000000" w:fill="ffffff"/>
            <w:tcBorders/>
            <w:tcW w:w="1785" w:type="dxa"/>
            <w:vAlign w:val="center"/>
            <w:textDirection w:val="lrTb"/>
            <w:noWrap w:val="false"/>
          </w:tcPr>
          <w:p>
            <w:pPr>
              <w:pBdr/>
              <w:spacing w:after="40" w:before="40" w:line="288" w:lineRule="auto"/>
              <w:ind/>
              <w:jc w:val="right"/>
              <w:rPr/>
            </w:pPr>
            <w:r>
              <w:rPr>
                <w:color w:val="000000" w:themeColor="text1"/>
              </w:rPr>
              <w:t xml:space="preserve">1.578.947.849</w:t>
            </w:r>
            <w:r/>
          </w:p>
        </w:tc>
      </w:tr>
      <w:tr>
        <w:trPr>
          <w:trHeight w:val="20"/>
        </w:trPr>
        <w:tc>
          <w:tcPr>
            <w:gridSpan w:val="4"/>
            <w:tcBorders/>
            <w:tcW w:w="663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453" w:type="dxa"/>
            <w:vAlign w:val="center"/>
            <w:textDirection w:val="lrTb"/>
            <w:noWrap/>
          </w:tcPr>
          <w:p>
            <w:pPr>
              <w:pBdr/>
              <w:spacing/>
              <w:ind/>
              <w:rPr/>
            </w:pPr>
            <w:r/>
            <w:r/>
          </w:p>
        </w:tc>
        <w:tc>
          <w:tcPr>
            <w:tcBorders/>
            <w:tcW w:w="1785" w:type="dxa"/>
            <w:vAlign w:val="center"/>
            <w:textDirection w:val="lrTb"/>
            <w:noWrap/>
          </w:tcPr>
          <w:p>
            <w:pPr>
              <w:pBdr/>
              <w:spacing w:after="40" w:before="40" w:line="288" w:lineRule="auto"/>
              <w:ind/>
              <w:jc w:val="right"/>
              <w:rPr>
                <w:b/>
                <w:bCs/>
                <w:color w:val="000000"/>
              </w:rPr>
            </w:pPr>
            <w:r>
              <w:rPr>
                <w:b/>
                <w:bCs/>
              </w:rPr>
              <w:t xml:space="preserve">9.183.947.849</w:t>
            </w:r>
            <w:r>
              <w:rPr>
                <w:b/>
                <w:bCs/>
                <w:color w:val="000000"/>
              </w:rPr>
            </w:r>
            <w:r>
              <w:rPr>
                <w:b/>
                <w:bCs/>
                <w:color w:val="000000"/>
              </w:rPr>
            </w:r>
          </w:p>
        </w:tc>
      </w:tr>
      <w:tr>
        <w:trPr>
          <w:trHeight w:val="20"/>
        </w:trPr>
        <w:tc>
          <w:tcPr>
            <w:gridSpan w:val="4"/>
            <w:tcBorders/>
            <w:tcW w:w="6630"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453"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1785" w:type="dxa"/>
            <w:vAlign w:val="center"/>
            <w:textDirection w:val="lrTb"/>
            <w:noWrap/>
          </w:tcPr>
          <w:p>
            <w:pPr>
              <w:pBdr/>
              <w:spacing w:after="40" w:before="40" w:line="288" w:lineRule="auto"/>
              <w:ind/>
              <w:jc w:val="right"/>
              <w:rPr>
                <w:b/>
                <w:bCs/>
                <w:color w:val="000000"/>
              </w:rPr>
            </w:pPr>
            <w:r>
              <w:rPr>
                <w:b/>
                <w:bCs/>
                <w:color w:val="000000"/>
              </w:rPr>
              <w:t xml:space="preserve">9.184.000.000</w:t>
            </w:r>
            <w:r>
              <w:rPr>
                <w:b/>
                <w:bCs/>
                <w:color w:val="000000"/>
              </w:rPr>
            </w:r>
            <w:r>
              <w:rPr>
                <w:b/>
                <w:bCs/>
                <w:color w:val="000000"/>
              </w:rPr>
            </w:r>
          </w:p>
        </w:tc>
      </w:tr>
      <w:tr>
        <w:trPr>
          <w:trHeight w:val="20"/>
        </w:trPr>
        <w:tc>
          <w:tcPr>
            <w:gridSpan w:val="6"/>
            <w:tcBorders/>
            <w:tcW w:w="9993" w:type="dxa"/>
            <w:vAlign w:val="center"/>
            <w:vMerge w:val="restart"/>
            <w:textDirection w:val="lrTb"/>
            <w:noWrap/>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một trăm tám mươi tư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highlight w:val="none"/>
          <w:lang w:val="pt-BR"/>
        </w:rPr>
      </w:r>
      <w:r>
        <w:rPr>
          <w:rFonts w:ascii="Times New Roman Bold" w:hAnsi="Times New Roman Bold"/>
          <w:b/>
          <w:bCs/>
          <w:spacing w:val="-4"/>
          <w:highlight w:val="none"/>
          <w:lang w:val="pt-BR"/>
        </w:rPr>
      </w:r>
      <w:r>
        <w:rPr>
          <w:rFonts w:ascii="Times New Roman Bold" w:hAnsi="Times New Roman Bold"/>
          <w:b/>
          <w:bCs/>
          <w:spacing w:val="-4"/>
          <w:lang w:val="pt-BR"/>
        </w:rPr>
      </w:r>
    </w:p>
    <w:p>
      <w:pPr>
        <w:pStyle w:val="1025"/>
        <w:pBdr/>
        <w:tabs>
          <w:tab w:val="left" w:leader="none" w:pos="993"/>
        </w:tabs>
        <w:spacing w:after="120" w:before="120" w:line="288" w:lineRule="auto"/>
        <w:ind w:left="0"/>
        <w:jc w:val="both"/>
        <w:rPr>
          <w:rFonts w:ascii="Times New Roman Bold" w:hAnsi="Times New Roman Bold"/>
          <w:b/>
          <w:bCs/>
          <w:spacing w:val="-4"/>
          <w:highlight w:val="none"/>
          <w:lang w:val="pt-BR"/>
        </w:rPr>
      </w:pPr>
      <w:r>
        <w:rPr>
          <w:rFonts w:ascii="Times New Roman Bold" w:hAnsi="Times New Roman Bold"/>
          <w:b/>
          <w:bCs/>
          <w:spacing w:val="-4"/>
          <w:highlight w:val="none"/>
          <w:lang w:val="pt-BR"/>
        </w:rPr>
      </w:r>
      <w:r>
        <w:rPr>
          <w:rFonts w:ascii="Times New Roman Bold" w:hAnsi="Times New Roman Bold"/>
          <w:b/>
          <w:bCs/>
          <w:spacing w:val="-4"/>
          <w:highlight w:val="none"/>
          <w:lang w:val="pt-BR"/>
        </w:rPr>
      </w:r>
      <w:r>
        <w:rPr>
          <w:rFonts w:ascii="Times New Roman Bold" w:hAnsi="Times New Roman Bold"/>
          <w:b/>
          <w:bCs/>
          <w:spacing w:val="-4"/>
          <w:highlight w:val="none"/>
          <w:lang w:val="pt-BR"/>
        </w:rPr>
      </w:r>
    </w:p>
    <w:p>
      <w:pPr>
        <w:pStyle w:val="1025"/>
        <w:pBdr/>
        <w:tabs>
          <w:tab w:val="left" w:leader="none" w:pos="993"/>
        </w:tabs>
        <w:spacing w:after="120" w:before="120" w:line="288" w:lineRule="auto"/>
        <w:ind w:left="0"/>
        <w:jc w:val="both"/>
        <w:rPr>
          <w:rFonts w:ascii="Times New Roman Bold" w:hAnsi="Times New Roman Bold"/>
          <w:b/>
          <w:bCs/>
          <w:spacing w:val="-4"/>
          <w:highlight w:val="none"/>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highlight w:val="none"/>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Bdr/>
        <w:spacing w:after="120" w:before="120" w:line="288" w:lineRule="auto"/>
        <w:ind/>
        <w:jc w:val="both"/>
        <w:rPr>
          <w:lang w:val="pt-BR"/>
        </w:rPr>
      </w:pPr>
      <w:r>
        <w:rPr>
          <w:lang w:val="pt-BR"/>
        </w:rPr>
      </w:r>
      <w:r>
        <w:rPr>
          <w:lang w:val="pt-BR"/>
        </w:rPr>
      </w:r>
      <w:r>
        <w:rPr>
          <w:lang w:val="pt-BR"/>
        </w:rPr>
      </w:r>
    </w:p>
    <w:p>
      <w:pPr>
        <w:pBdr/>
        <w:spacing w:after="120" w:before="120" w:line="288" w:lineRule="auto"/>
        <w:ind/>
        <w:jc w:val="both"/>
        <w:rPr>
          <w:lang w:val="pt-BR"/>
        </w:rPr>
      </w:pPr>
      <w:r>
        <w:rPr>
          <w:highlight w:val="none"/>
          <w:lang w:val="pt-BR" w:bidi="pt-BR"/>
        </w:rPr>
      </w:r>
      <w:r>
        <w:rPr>
          <w:highlight w:val="none"/>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288" w:lineRule="auto"/>
        <w:ind/>
        <w:rPr>
          <w:b/>
          <w:bCs/>
          <w:lang w:val="pt-BR"/>
        </w:rPr>
      </w:pPr>
      <w:r>
        <w:rPr>
          <w:b/>
          <w:bCs/>
          <w:highlight w:val="none"/>
          <w:lang w:val="pt-BR"/>
        </w:rPr>
      </w:r>
      <w:r>
        <w:rPr>
          <w:b/>
          <w:bCs/>
          <w:highlight w:val="none"/>
          <w:lang w:val="pt-BR"/>
        </w:rPr>
      </w:r>
      <w:r>
        <w:rPr>
          <w:b/>
          <w:bCs/>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88" w:lineRule="auto"/>
        <w:ind/>
        <w:rPr>
          <w:b/>
          <w:bCs/>
          <w:highlight w:val="none"/>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highlight w:val="none"/>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275/2026/0261/VFI-CT.17.A</w:t>
      </w:r>
      <w:r>
        <w:rPr>
          <w:color w:val="ff0000"/>
          <w:lang w:val="vi-VN"/>
        </w:rPr>
        <w:t xml:space="preserve"> </w:t>
      </w:r>
      <w:r>
        <w:rPr>
          <w:color w:val="000000" w:themeColor="text1"/>
        </w:rPr>
        <w:t xml:space="preserve">ngày 3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5055" w:type="pct"/>
        <w:tblBorders/>
        <w:tblLayout w:type="fixed"/>
        <w:tblLook w:val="01E0" w:firstRow="1" w:lastRow="1" w:firstColumn="1" w:lastColumn="1" w:noHBand="0" w:noVBand="0"/>
      </w:tblPr>
      <w:tblGrid>
        <w:gridCol w:w="4338"/>
        <w:gridCol w:w="5580"/>
      </w:tblGrid>
      <w:tr>
        <w:trPr>
          <w:trHeight w:val="20"/>
        </w:trPr>
        <w:tc>
          <w:tcPr>
            <w:tcBorders/>
            <w:tcW w:w="433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58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33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tc>
        <w:tc>
          <w:tcPr>
            <w:tcBorders/>
            <w:tcW w:w="558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338"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580"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275/2026/0261/VFI-BC.17.A</w:t>
      </w:r>
      <w:r>
        <w:rPr>
          <w:i/>
        </w:rPr>
        <w:t xml:space="preserve"> </w:t>
      </w:r>
      <w:r>
        <w:rPr>
          <w:i/>
        </w:rPr>
        <w:t xml:space="preserve">ngày</w:t>
      </w:r>
      <w:r>
        <w:rPr>
          <w:i/>
          <w:lang w:val="pt-BR"/>
        </w:rPr>
        <w:t xml:space="preserve"> </w:t>
      </w:r>
      <w:r>
        <w:rPr>
          <w:i/>
          <w:lang w:val="pt-BR"/>
        </w:rPr>
        <w:t xml:space="preserve">3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75196" cy="361714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963553" name=""/>
                              <pic:cNvPicPr>
                                <a:picLocks noChangeAspect="1"/>
                              </pic:cNvPicPr>
                              <pic:nvPr/>
                            </pic:nvPicPr>
                            <pic:blipFill rotWithShape="1">
                              <a:blip r:embed="rId18"/>
                              <a:srcRect l="0" t="11859" r="0" b="18899"/>
                              <a:stretch/>
                            </pic:blipFill>
                            <pic:spPr bwMode="auto">
                              <a:xfrm flipH="0" flipV="0">
                                <a:off x="0" y="0"/>
                                <a:ext cx="2575195" cy="36171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2.77pt;height:284.81pt;mso-wrap-distance-left:0.00pt;mso-wrap-distance-top:0.00pt;mso-wrap-distance-right:0.00pt;mso-wrap-distance-bottom:0.00pt;z-index:1;" stroked="false">
                      <v:imagedata r:id="rId18" o:title="" croptop="7772f" cropleft="0f" cropbottom="12386f" cropright="0f"/>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64762" cy="355523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386590" name=""/>
                              <pic:cNvPicPr>
                                <a:picLocks noChangeAspect="1"/>
                              </pic:cNvPicPr>
                              <pic:nvPr/>
                            </pic:nvPicPr>
                            <pic:blipFill rotWithShape="1">
                              <a:blip r:embed="rId19"/>
                              <a:stretch/>
                            </pic:blipFill>
                            <pic:spPr bwMode="auto">
                              <a:xfrm flipH="0" flipV="0">
                                <a:off x="0" y="0"/>
                                <a:ext cx="2864761" cy="35552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5.57pt;height:279.9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03272" cy="186735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62588" name=""/>
                              <pic:cNvPicPr>
                                <a:picLocks noChangeAspect="1"/>
                              </pic:cNvPicPr>
                              <pic:nvPr/>
                            </pic:nvPicPr>
                            <pic:blipFill rotWithShape="1">
                              <a:blip r:embed="rId20"/>
                              <a:srcRect l="0" t="0" r="0" b="12966"/>
                              <a:stretch/>
                            </pic:blipFill>
                            <pic:spPr bwMode="auto">
                              <a:xfrm flipH="0" flipV="0">
                                <a:off x="0" y="0"/>
                                <a:ext cx="2503271" cy="18673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7.11pt;height:147.04pt;mso-wrap-distance-left:0.00pt;mso-wrap-distance-top:0.00pt;mso-wrap-distance-right:0.00pt;mso-wrap-distance-bottom:0.00pt;z-index:1;" stroked="false">
                      <v:imagedata r:id="rId20" o:title="" croptop="0f" cropleft="0f" cropbottom="8497f" cropright="0f"/>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93530" cy="194514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34623" name=""/>
                              <pic:cNvPicPr>
                                <a:picLocks noChangeAspect="1"/>
                              </pic:cNvPicPr>
                              <pic:nvPr/>
                            </pic:nvPicPr>
                            <pic:blipFill rotWithShape="1">
                              <a:blip r:embed="rId21"/>
                              <a:stretch/>
                            </pic:blipFill>
                            <pic:spPr bwMode="auto">
                              <a:xfrm flipH="0" flipV="0">
                                <a:off x="0" y="0"/>
                                <a:ext cx="2593529" cy="19451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4.21pt;height:153.16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26315" cy="196973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275322" name=""/>
                              <pic:cNvPicPr>
                                <a:picLocks noChangeAspect="1"/>
                              </pic:cNvPicPr>
                              <pic:nvPr/>
                            </pic:nvPicPr>
                            <pic:blipFill rotWithShape="1">
                              <a:blip r:embed="rId22"/>
                              <a:stretch/>
                            </pic:blipFill>
                            <pic:spPr bwMode="auto">
                              <a:xfrm flipH="0" flipV="0">
                                <a:off x="0" y="0"/>
                                <a:ext cx="2626314" cy="19697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6.80pt;height:155.1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01393" cy="195104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262848" name=""/>
                              <pic:cNvPicPr>
                                <a:picLocks noChangeAspect="1"/>
                              </pic:cNvPicPr>
                              <pic:nvPr/>
                            </pic:nvPicPr>
                            <pic:blipFill rotWithShape="1">
                              <a:blip r:embed="rId23"/>
                              <a:stretch/>
                            </pic:blipFill>
                            <pic:spPr bwMode="auto">
                              <a:xfrm flipH="0" flipV="0">
                                <a:off x="0" y="0"/>
                                <a:ext cx="2601392" cy="19510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4.83pt;height:153.6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229350" cy="446668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582368" name=""/>
                        <pic:cNvPicPr>
                          <a:picLocks noChangeAspect="1"/>
                        </pic:cNvPicPr>
                        <pic:nvPr/>
                      </pic:nvPicPr>
                      <pic:blipFill rotWithShape="1">
                        <a:blip r:embed="rId24"/>
                        <a:stretch/>
                      </pic:blipFill>
                      <pic:spPr bwMode="auto">
                        <a:xfrm flipH="0" flipV="0">
                          <a:off x="0" y="0"/>
                          <a:ext cx="6229349" cy="44666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90.50pt;height:351.71pt;mso-wrap-distance-left:0.00pt;mso-wrap-distance-top:0.00pt;mso-wrap-distance-right:0.00pt;mso-wrap-distance-bottom:0.00pt;z-index:1;" stroked="false">
                <v:imagedata r:id="rId24" o:title=""/>
                <o:lock v:ext="edit" rotation="t"/>
              </v:shape>
            </w:pict>
          </mc:Fallback>
        </mc:AlternateContent>
      </w:r>
      <w:r>
        <w:rPr>
          <w:bCs/>
          <w:i/>
          <w:lang w:val="pt-BR"/>
        </w:rPr>
      </w:r>
      <w:r>
        <w:rPr>
          <w:b/>
          <w:bCs/>
          <w:highlight w:val="none"/>
        </w:rPr>
      </w:r>
    </w:p>
    <w:p>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6229350" cy="467201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77023" name=""/>
                        <pic:cNvPicPr>
                          <a:picLocks noChangeAspect="1"/>
                        </pic:cNvPicPr>
                        <pic:nvPr/>
                      </pic:nvPicPr>
                      <pic:blipFill rotWithShape="1">
                        <a:blip r:embed="rId25"/>
                        <a:stretch/>
                      </pic:blipFill>
                      <pic:spPr bwMode="auto">
                        <a:xfrm>
                          <a:off x="0" y="0"/>
                          <a:ext cx="6229349" cy="46720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90.50pt;height:367.87pt;mso-wrap-distance-left:0.00pt;mso-wrap-distance-top:0.00pt;mso-wrap-distance-right:0.00pt;mso-wrap-distance-bottom:0.00pt;z-index:1;" stroked="false">
                <v:imagedata r:id="rId25" o:title=""/>
                <o:lock v:ext="edit" rotation="t"/>
              </v:shape>
            </w:pict>
          </mc:Fallback>
        </mc:AlternateContent>
      </w:r>
      <w:r>
        <w:rPr>
          <w:b/>
          <w:highlight w:val="none"/>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275/2026/0261/VFI-BC.17.A</w:t>
      </w:r>
      <w:r>
        <w:rPr>
          <w:i/>
        </w:rPr>
        <w:t xml:space="preserve"> </w:t>
      </w:r>
      <w:r>
        <w:rPr>
          <w:i/>
        </w:rPr>
        <w:t xml:space="preserve">ngày</w:t>
      </w:r>
      <w:r>
        <w:rPr>
          <w:i/>
          <w:lang w:val="pt-BR"/>
        </w:rPr>
        <w:t xml:space="preserve"> </w:t>
      </w:r>
      <w:r>
        <w:rPr>
          <w:i/>
          <w:lang w:val="pt-BR"/>
        </w:rPr>
        <w:t xml:space="preserve">3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740" w:type="dxa"/>
        <w:tblBorders/>
        <w:tblLayout w:type="fixed"/>
        <w:tblLook w:val="04A0" w:firstRow="1" w:lastRow="0" w:firstColumn="1" w:lastColumn="0" w:noHBand="0" w:noVBand="1"/>
      </w:tblPr>
      <w:tblGrid>
        <w:gridCol w:w="632"/>
        <w:gridCol w:w="3168"/>
        <w:gridCol w:w="594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0915533768</w:t>
            </w:r>
            <w:r>
              <w:rPr>
                <w:sz w:val="22"/>
                <w:szCs w:val="22"/>
              </w:rPr>
              <w:t xml:space="preserve"> </w:t>
            </w:r>
            <w:r>
              <w:rPr>
                <w:sz w:val="22"/>
                <w:szCs w:val="22"/>
              </w:rPr>
              <w:br/>
              <w:t xml:space="preserve">(Quỳnh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9.300.000.000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8.370.000.000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(58.5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Long Hưng, Huyện Văn Giang, Tỉnh Hưng Yên, đường Cách khu công viên bể bơi khoảng 400m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58.5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08"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77250" cy="3557593"/>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4977249" cy="355759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91.91pt;height:280.13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71968" cy="357451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1971968" cy="35745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55.27pt;height:281.46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18360" cy="357451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018359" cy="35745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8.93pt;height:281.4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62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6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4676"/>
      </w:tblGrid>
      <w:tr>
        <w:trPr>
          <w:jc w:val="center"/>
          <w:trHeight w:val="283"/>
        </w:trPr>
        <w:tc>
          <w:tcPr>
            <w:tcBorders/>
            <w:tcW w:w="46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b/>
                <w:bCs/>
              </w:rPr>
            </w:pPr>
            <w:r>
              <w:rPr>
                <w:b/>
                <w:bCs/>
              </w:rPr>
              <w:t xml:space="preserve">Trần Sơn Tùng</w:t>
            </w:r>
            <w:r>
              <w:rPr>
                <w:b/>
                <w:bCs/>
              </w:rPr>
            </w:r>
            <w:r>
              <w:rPr>
                <w:b/>
                <w:bCs/>
              </w:rP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830" w:type="dxa"/>
        <w:tblBorders/>
        <w:tblLayout w:type="fixed"/>
        <w:tblLook w:val="04A0" w:firstRow="1" w:lastRow="0" w:firstColumn="1" w:lastColumn="0" w:noHBand="0" w:noVBand="1"/>
      </w:tblPr>
      <w:tblGrid>
        <w:gridCol w:w="632"/>
        <w:gridCol w:w="3168"/>
        <w:gridCol w:w="603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0965646446</w:t>
            </w:r>
            <w:r>
              <w:rPr>
                <w:sz w:val="22"/>
                <w:szCs w:val="22"/>
              </w:rPr>
              <w:t xml:space="preserve"> </w:t>
            </w:r>
            <w:r>
              <w:rPr>
                <w:sz w:val="22"/>
                <w:szCs w:val="22"/>
              </w:rPr>
              <w:br/>
              <w:t xml:space="preserve">(Tuấn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9.300.000.000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8.370.000.000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(58.5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Long Hưng, Huyện Văn Giang, Tỉnh Hưng Yên, đường Cách công viên bể bơi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58.5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98"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163839" cy="417799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074637971" name="" descr=""/>
                              <pic:cNvPicPr/>
                              <pic:nvPr/>
                            </pic:nvPicPr>
                            <pic:blipFill rotWithShape="1">
                              <a:blip r:embed="rId30"/>
                              <a:stretch/>
                            </pic:blipFill>
                            <pic:spPr bwMode="auto">
                              <a:xfrm flipH="0" flipV="0">
                                <a:off x="0" y="0"/>
                                <a:ext cx="5163839" cy="41779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06.60pt;height:328.98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72043" cy="361261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572043" cy="36126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2.52pt;height:284.46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18397" cy="361261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318397" cy="36126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2.55pt;height:284.46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622"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6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9059"/>
      </w:tblGrid>
      <w:tr>
        <w:trPr>
          <w:trHeight w:val="298"/>
        </w:trPr>
        <w:tc>
          <w:tcPr>
            <w:tcBorders/>
            <w:tcW w:w="9059"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9059"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830" w:type="dxa"/>
        <w:tblBorders/>
        <w:tblLayout w:type="fixed"/>
        <w:tblLook w:val="04A0" w:firstRow="1" w:lastRow="0" w:firstColumn="1" w:lastColumn="0" w:noHBand="0" w:noVBand="1"/>
      </w:tblPr>
      <w:tblGrid>
        <w:gridCol w:w="632"/>
        <w:gridCol w:w="3168"/>
        <w:gridCol w:w="603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0985013752</w:t>
            </w:r>
            <w:r>
              <w:rPr>
                <w:sz w:val="22"/>
                <w:szCs w:val="22"/>
              </w:rPr>
              <w:t xml:space="preserve"> </w:t>
            </w:r>
            <w:r>
              <w:rPr>
                <w:sz w:val="22"/>
                <w:szCs w:val="22"/>
              </w:rPr>
              <w:br/>
              <w:t xml:space="preserve">(Dũng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9.250.000.000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8.325.000.000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(58.5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Long Hưng, Huyện Văn Giang, Tỉnh Hưng Yên, đường Cách khu công viên bể bơi khoảng 550m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58.5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98"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79250" cy="3854141"/>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5079249" cy="38541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99.94pt;height:303.48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16937" cy="399361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2616937" cy="39936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06.06pt;height:314.46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12480" cy="3993610"/>
                      <wp:effectExtent l="0" t="0" r="0" b="0"/>
                      <wp:docPr id="24" name=""/>
                      <wp:cNvGraphicFramePr/>
                      <a:graphic xmlns:a="http://schemas.openxmlformats.org/drawingml/2006/main">
                        <a:graphicData uri="http://schemas.openxmlformats.org/drawingml/2006/picture">
                          <pic:pic xmlns:pic="http://schemas.openxmlformats.org/drawingml/2006/picture">
                            <pic:nvPicPr>
                              <pic:cNvPr id="1128381815" name="" descr=""/>
                              <pic:cNvPicPr/>
                              <pic:nvPr/>
                            </pic:nvPicPr>
                            <pic:blipFill rotWithShape="1">
                              <a:blip r:embed="rId36"/>
                              <a:stretch/>
                            </pic:blipFill>
                            <pic:spPr bwMode="auto">
                              <a:xfrm flipH="0" flipV="0">
                                <a:off x="0" y="0"/>
                                <a:ext cx="2612478" cy="39936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05.71pt;height:314.46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2854453"/>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2381249" cy="28544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0pt;height:224.76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9203"/>
      </w:tblGrid>
      <w:tr>
        <w:trPr>
          <w:trHeight w:val="312"/>
        </w:trPr>
        <w:tc>
          <w:tcPr>
            <w:tcBorders/>
            <w:tcW w:w="9203"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9203"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t xml:space="preserve">Trần Sơn Tùng</w:t>
            </w:r>
            <w:r>
              <w:rPr>
                <w:b/>
                <w:bCs/>
              </w:rPr>
            </w:r>
            <w:r>
              <w:rPr>
                <w:b/>
                <w:bCs/>
              </w:rPr>
            </w:r>
          </w:p>
        </w:tc>
      </w:tr>
    </w:tbl>
    <w:p>
      <w:pPr>
        <w:pBdr/>
        <w:spacing w:after="200" w:line="276" w:lineRule="auto"/>
        <w:ind/>
        <w:rPr>
          <w:b/>
          <w:bCs/>
          <w:iCs/>
        </w:rPr>
      </w:pPr>
      <w:r>
        <w:rPr>
          <w:b/>
          <w:bCs/>
          <w:iCs/>
          <w:lang w:val="pt-BR"/>
        </w:rPr>
      </w:r>
      <w:r>
        <w:rPr>
          <w:b/>
          <w:bCs/>
          <w:iCs/>
          <w:lang w:val="pt-BR"/>
        </w:rPr>
      </w:r>
      <w:r>
        <w:rPr>
          <w:b/>
          <w:bCs/>
          <w:iCs/>
        </w:rPr>
      </w:r>
    </w:p>
    <w:sectPr>
      <w:footerReference w:type="even" r:id="rId12"/>
      <w:footnotePr/>
      <w:endnotePr/>
      <w:type w:val="nextPage"/>
      <w:pgSz w:h="16839" w:orient="portrait" w:w="11907"/>
      <w:pgMar w:top="864" w:right="566" w:bottom="675"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Sơn Tùng</cp:lastModifiedBy>
  <cp:revision>509</cp:revision>
  <dcterms:created xsi:type="dcterms:W3CDTF">2025-09-15T02:01:00Z</dcterms:created>
  <dcterms:modified xsi:type="dcterms:W3CDTF">2026-03-12T07:59:03Z</dcterms:modified>
</cp:coreProperties>
</file>