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87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87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Thành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1529, tờ bản đồ số: 26, có địa chỉ: Thôn Xa Mạc, xã Yên Lãng, thành phố Hà</w:t>
                            </w:r>
                            <w:r>
                              <w:rPr>
                                <w:color w:val="000000"/>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Thành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1529, tờ bản đồ số: 26, có địa chỉ: Thôn Xa Mạc, xã Yên Lãng, thành phố Hà</w:t>
                      </w:r>
                      <w:r>
                        <w:rPr>
                          <w:color w:val="000000"/>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22-24</w:t>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275/2026/0253/VFI-CT.44.A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6 tháng 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Thành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275/2026/0253/VFI-HĐTĐ.44.A</w:t>
      </w:r>
      <w:r>
        <w:rPr>
          <w:spacing w:val="-4"/>
          <w:lang w:val="vi-VN"/>
        </w:rPr>
        <w:t xml:space="preserve"> ký ngày </w:t>
      </w:r>
      <w:r>
        <w:rPr>
          <w:color w:val="000000" w:themeColor="text1"/>
          <w:spacing w:val="-4"/>
        </w:rPr>
        <w:t xml:space="preserve">4 tháng 2 năm 2026</w:t>
      </w:r>
      <w:r>
        <w:rPr>
          <w:spacing w:val="-4"/>
          <w:lang w:val="vi-VN"/>
        </w:rPr>
        <w:t xml:space="preserve"> </w:t>
      </w:r>
      <w:r>
        <w:rPr>
          <w:spacing w:val="-4"/>
          <w:lang w:val="vi-VN"/>
        </w:rPr>
        <w:t xml:space="preserve">giữa </w:t>
      </w:r>
      <w:r>
        <w:rPr>
          <w:color w:val="000000" w:themeColor="text1"/>
          <w:spacing w:val="-4"/>
        </w:rPr>
        <w:t xml:space="preserve">Ông Nguyễn Thành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430"/>
        <w:gridCol w:w="433"/>
        <w:gridCol w:w="6662"/>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3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ind/>
              <w:rPr/>
            </w:pPr>
            <w:r>
              <w:rPr>
                <w:b/>
                <w:bCs/>
              </w:rPr>
              <w:t xml:space="preserve">ÔNG NGUYỄN THÀNH NAM</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3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001079022144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1529, tờ bản đồ số: 26, có địa chỉ: Thôn Xa Mạc, xã Yên Lãng, thành phố Hà</w:t>
      </w:r>
      <w:r>
        <w:rPr>
          <w:color w:val="000000" w:themeColor="text1"/>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1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517"/>
        <w:gridCol w:w="1802"/>
        <w:gridCol w:w="2582"/>
        <w:gridCol w:w="2009"/>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00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01"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1529, tờ bản đồ số: 26, có địa chỉ: Thôn Xa Mạc, xã Yên Lãng, thành phố Hà</w:t>
            </w:r>
            <w:r>
              <w:rPr>
                <w:color w:val="000000"/>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b/>
                <w:bCs/>
              </w:rPr>
              <w:t xml:space="preserve">.</w:t>
            </w:r>
            <w:r>
              <w:rPr>
                <w:b/>
                <w:bCs/>
              </w:rPr>
            </w:r>
            <w:r>
              <w:rPr>
                <w:b/>
                <w:bCs/>
              </w:rPr>
            </w:r>
          </w:p>
        </w:tc>
        <w:tc>
          <w:tcPr>
            <w:shd w:val="clear" w:color="000000" w:fill="ffffff"/>
            <w:tcBorders/>
            <w:tcW w:w="20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45.000.000</w:t>
            </w:r>
            <w:r/>
          </w:p>
        </w:tc>
        <w:tc>
          <w:tcPr>
            <w:shd w:val="clear" w:color="000000" w:fill="ffffff"/>
            <w:tcBorders/>
            <w:tcW w:w="2009" w:type="dxa"/>
            <w:vAlign w:val="center"/>
            <w:textDirection w:val="lrTb"/>
            <w:noWrap w:val="false"/>
          </w:tcPr>
          <w:p>
            <w:pPr>
              <w:pBdr/>
              <w:spacing w:after="40" w:before="40" w:line="288" w:lineRule="auto"/>
              <w:ind/>
              <w:jc w:val="right"/>
              <w:rPr/>
            </w:pPr>
            <w:r>
              <w:rPr>
                <w:color w:val="000000" w:themeColor="text1"/>
              </w:rPr>
              <w:t xml:space="preserve">5.400.000.000</w:t>
            </w:r>
            <w:r/>
          </w:p>
        </w:tc>
      </w:tr>
      <w:tr>
        <w:trPr>
          <w:trHeight w:val="20"/>
        </w:trPr>
        <w:tc>
          <w:tcPr>
            <w:shd w:val="clear" w:color="000000" w:fill="ffffff"/>
            <w:tcBorders/>
            <w:tcW w:w="648"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17" w:type="dxa"/>
            <w:vAlign w:val="center"/>
            <w:vMerge w:val="restart"/>
            <w:textDirection w:val="lrTb"/>
            <w:noWrap w:val="false"/>
          </w:tcPr>
          <w:p>
            <w:pPr>
              <w:pBdr/>
              <w:spacing w:after="40" w:before="40" w:line="288" w:lineRule="auto"/>
              <w:ind/>
              <w:rPr>
                <w:b w:val="0"/>
                <w:bCs w:val="0"/>
              </w:rPr>
            </w:pPr>
            <w:r>
              <w:rPr>
                <w:b w:val="0"/>
                <w:bCs w:val="0"/>
              </w:rPr>
            </w:r>
            <w:r>
              <w:rPr>
                <w:b w:val="0"/>
                <w:bCs w:val="0"/>
              </w:rPr>
              <w:t xml:space="preserve">Đất trồng cây lâu năm</w:t>
            </w:r>
            <w:r>
              <w:rPr>
                <w:b w:val="0"/>
                <w:bCs w:val="0"/>
              </w:rPr>
              <w:t xml:space="preserve"> nằm ngoài QHGT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15,6</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0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2.418.000 </w:t>
            </w:r>
            <w:r/>
          </w:p>
        </w:tc>
      </w:tr>
      <w:tr>
        <w:trPr>
          <w:trHeight w:val="20"/>
        </w:trPr>
        <w:tc>
          <w:tcPr>
            <w:shd w:val="clear" w:color="000000" w:fill="ffffff"/>
            <w:tcBorders/>
            <w:tcW w:w="648" w:type="dxa"/>
            <w:vAlign w:val="center"/>
            <w:vMerge w:val="restart"/>
            <w:textDirection w:val="lrTb"/>
            <w:noWrap w:val="false"/>
          </w:tcPr>
          <w:p>
            <w:pPr>
              <w:pBdr/>
              <w:spacing w:after="40" w:before="40" w:line="288" w:lineRule="auto"/>
              <w:ind/>
              <w:jc w:val="center"/>
              <w:rPr>
                <w:b w:val="0"/>
                <w:bCs w:val="0"/>
              </w:rPr>
            </w:pPr>
            <w:r>
              <w:rPr>
                <w:b w:val="0"/>
                <w:bCs w:val="0"/>
              </w:rPr>
              <w:t xml:space="preserve">3</w:t>
            </w:r>
            <w:r>
              <w:rPr>
                <w:b w:val="0"/>
                <w:bCs w:val="0"/>
              </w:rPr>
            </w:r>
            <w:r>
              <w:rPr>
                <w:b w:val="0"/>
                <w:bCs w:val="0"/>
              </w:rPr>
            </w:r>
          </w:p>
        </w:tc>
        <w:tc>
          <w:tcPr>
            <w:shd w:val="clear" w:color="000000" w:fill="ffffff"/>
            <w:tcBorders/>
            <w:tcW w:w="2517" w:type="dxa"/>
            <w:vAlign w:val="center"/>
            <w:vMerge w:val="restart"/>
            <w:textDirection w:val="lrTb"/>
            <w:noWrap w:val="false"/>
          </w:tcPr>
          <w:p>
            <w:pPr>
              <w:pBdr/>
              <w:spacing w:after="40" w:before="40" w:line="288" w:lineRule="auto"/>
              <w:ind/>
              <w:rPr>
                <w:b w:val="0"/>
                <w:bCs w:val="0"/>
              </w:rPr>
            </w:pPr>
            <w:r>
              <w:rPr>
                <w:b w:val="0"/>
                <w:bCs w:val="0"/>
              </w:rPr>
            </w:r>
            <w:r>
              <w:rPr>
                <w:b w:val="0"/>
                <w:bCs w:val="0"/>
              </w:rPr>
              <w:t xml:space="preserve">Đất trồng cây lâu năm</w:t>
            </w:r>
            <w:r>
              <w:rPr>
                <w:b w:val="0"/>
                <w:bCs w:val="0"/>
              </w:rPr>
              <w:t xml:space="preserve"> nằm trong  QHGT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127</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0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19.685.000 </w:t>
            </w:r>
            <w:r/>
          </w:p>
        </w:tc>
      </w:tr>
      <w:tr>
        <w:trPr>
          <w:trHeight w:val="20"/>
        </w:trPr>
        <w:tc>
          <w:tcPr>
            <w:gridSpan w:val="4"/>
            <w:tcBorders/>
            <w:tcW w:w="754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09" w:type="dxa"/>
            <w:vAlign w:val="center"/>
            <w:textDirection w:val="lrTb"/>
            <w:noWrap/>
          </w:tcPr>
          <w:p>
            <w:pPr>
              <w:pBdr/>
              <w:spacing w:after="40" w:before="40" w:line="288" w:lineRule="auto"/>
              <w:ind/>
              <w:jc w:val="right"/>
              <w:rPr>
                <w:b/>
                <w:bCs/>
                <w:color w:val="000000" w:themeColor="text1"/>
                <w14:ligatures w14:val="none"/>
              </w:rPr>
            </w:pPr>
            <w:r>
              <w:rPr>
                <w:b/>
                <w:bCs/>
                <w:color w:val="000000" w:themeColor="text1"/>
              </w:rPr>
              <w:t xml:space="preserve">5.422.103.000</w:t>
            </w:r>
            <w:r>
              <w:rPr>
                <w:b/>
                <w:bCs/>
                <w:color w:val="000000" w:themeColor="text1"/>
                <w14:ligatures w14:val="none"/>
              </w:rPr>
            </w:r>
            <w:r>
              <w:rPr>
                <w:b/>
                <w:bCs/>
                <w:color w:val="000000" w:themeColor="text1"/>
                <w14:ligatures w14:val="none"/>
              </w:rPr>
            </w:r>
          </w:p>
        </w:tc>
      </w:tr>
      <w:tr>
        <w:trPr>
          <w:trHeight w:val="20"/>
        </w:trPr>
        <w:tc>
          <w:tcPr>
            <w:gridSpan w:val="4"/>
            <w:tcBorders/>
            <w:tcW w:w="754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09" w:type="dxa"/>
            <w:vAlign w:val="center"/>
            <w:textDirection w:val="lrTb"/>
            <w:noWrap/>
          </w:tcPr>
          <w:p>
            <w:pPr>
              <w:pBdr/>
              <w:spacing w:after="40" w:before="40" w:line="288" w:lineRule="auto"/>
              <w:ind/>
              <w:jc w:val="right"/>
              <w:rPr>
                <w:b/>
                <w:bCs/>
                <w:color w:val="000000" w:themeColor="text1"/>
                <w14:ligatures w14:val="none"/>
              </w:rPr>
            </w:pPr>
            <w:r>
              <w:rPr>
                <w:b/>
                <w:bCs/>
                <w:color w:val="000000" w:themeColor="text1"/>
              </w:rPr>
              <w:t xml:space="preserve">5.422.000.000</w:t>
            </w:r>
            <w:r>
              <w:rPr>
                <w:b/>
                <w:bCs/>
                <w:color w:val="000000" w:themeColor="text1"/>
                <w14:ligatures w14:val="none"/>
              </w:rPr>
            </w:r>
            <w:r>
              <w:rPr>
                <w:b/>
                <w:bCs/>
                <w:color w:val="000000" w:themeColor="text1"/>
                <w14:ligatures w14:val="none"/>
              </w:rPr>
            </w:r>
          </w:p>
        </w:tc>
      </w:tr>
      <w:tr>
        <w:trPr>
          <w:trHeight w:val="20"/>
        </w:trPr>
        <w:tc>
          <w:tcPr>
            <w:gridSpan w:val="5"/>
            <w:tcBorders/>
            <w:tcW w:w="955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hai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275/2026/0253/V</w:t>
            </w:r>
            <w:r>
              <w:rPr>
                <w:rStyle w:val="1033"/>
                <w:rFonts w:ascii="Times New Roman" w:hAnsi="Times New Roman"/>
                <w:color w:val="000000" w:themeColor="text1"/>
                <w:highlight w:val="yellow"/>
                <w:lang w:val="pt-BR"/>
              </w:rPr>
              <w:t xml:space="preserve">FI-BC.4</w:t>
            </w:r>
            <w:r>
              <w:rPr>
                <w:rStyle w:val="1033"/>
                <w:rFonts w:ascii="Times New Roman" w:hAnsi="Times New Roman"/>
                <w:color w:val="000000" w:themeColor="text1"/>
                <w:lang w:val="pt-BR"/>
              </w:rPr>
              <w:t xml:space="preserve">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6 tháng 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NGUYỄN THÀNH NAM</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001079022144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1529, tờ bản đồ số: 26, có địa chỉ: Thôn Xa Mạc, xã Yên Lãng, thành phố Hà</w:t>
            </w:r>
            <w:r>
              <w:rPr>
                <w:bCs/>
                <w:color w:val="000000" w:themeColor="text1"/>
                <w:lang w:val="pt-BR"/>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Yên Lãng,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21.192819595337, 105.64865875244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highlight w:val="yellow"/>
        </w:rPr>
      </w:pPr>
      <w:r>
        <w:rPr>
          <w:bCs/>
          <w:color w:val="000000" w:themeColor="text1"/>
          <w:highlight w:val="yellow"/>
          <w:lang w:val="pt-BR"/>
        </w:rPr>
      </w:r>
      <w:r>
        <w:rPr>
          <w:bCs/>
          <w:color w:val="000000" w:themeColor="text1"/>
          <w:lang w:val="pt-BR"/>
        </w:rPr>
        <w:t xml:space="preserve">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highlight w:val="yellow"/>
          <w:lang w:val="pt-BR"/>
        </w:rPr>
        <w:t xml:space="preserve">.</w:t>
      </w:r>
      <w:r>
        <w:rPr>
          <w:i/>
          <w:iCs/>
          <w:highlight w:val="yellow"/>
        </w:rPr>
      </w:r>
      <w:r>
        <w:rPr>
          <w:i/>
          <w:iCs/>
          <w:highlight w:val="yellow"/>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275/2026/0253/VFI-HĐTĐ.44.A ngày 04/02/2026 giữa Ông Nguyễn Thành Nam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lang w:val="pt-BR"/>
        </w:rPr>
        <w:tab/>
      </w:r>
      <w:r>
        <w:rPr>
          <w:rFonts w:ascii="Times New Roman" w:hAnsi="Times New Roman" w:eastAsia="Times New Roman" w:cs="Times New Roman"/>
          <w:color w:val="333333"/>
          <w:sz w:val="24"/>
          <w:highlight w:val="white"/>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highlight w:val="white"/>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highlight w:val="white"/>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highlight w:val="white"/>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highlight w:val="white"/>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highlight w:val="white"/>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highlight w:val="white"/>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highlight w:val="white"/>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highlight w:val="white"/>
        </w:rPr>
        <w:t xml:space="preserve">g sự thay đổi trong thói quen của người mua đang góp phần định hình một giai đoạn mới thận trọng hơn, bền vững hơn và bớt ồn ào hơn so với những biến động trước đây</w:t>
      </w:r>
      <w:r/>
    </w:p>
    <w:p>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highlight w:val="white"/>
        </w:rPr>
        <w:t xml:space="preserve"> (Nguồn tham khảo: </w:t>
      </w:r>
      <w:hyperlink r:id="rId17" w:tooltip="https://giadinh.suckhoedoisong.vn/ha-noi-nhung-khu-vuc-dang-co-giao-dich-bat-dong-san-tho-cu-soi-dong-172251109095521919.htm" w:history="1">
        <w:r>
          <w:rPr>
            <w:rStyle w:val="1025"/>
            <w:rFonts w:ascii="Times New Roman" w:hAnsi="Times New Roman" w:eastAsia="Times New Roman" w:cs="Times New Roman"/>
            <w:i/>
            <w:color w:val="000000"/>
            <w:sz w:val="24"/>
            <w:highlight w:val="white"/>
            <w:u w:val="single"/>
          </w:rPr>
          <w:t xml:space="preserve">https://giadinh.suckhoedoisong.vn/ha-noi-nhung-khu-vuc-dang-co-giao-dich-bat-dong-san-tho-cu-soi-dong-172251109095521919.htm</w:t>
        </w:r>
      </w:hyperlink>
      <w:r>
        <w:rPr>
          <w:rFonts w:ascii="Times New Roman" w:hAnsi="Times New Roman" w:eastAsia="Times New Roman" w:cs="Times New Roman"/>
          <w:i/>
          <w:color w:val="000000"/>
          <w:sz w:val="24"/>
        </w:rPr>
        <w:t xml:space="preserve">)</w:t>
      </w:r>
      <w:r>
        <w:rPr>
          <w:bCs/>
          <w:i/>
          <w:lang w:val="pt-BR"/>
        </w:rPr>
      </w:r>
      <w:r>
        <w:rPr>
          <w:bCs/>
          <w:i/>
          <w:lang w:val="pt-BR"/>
        </w:rPr>
      </w:r>
    </w:p>
    <w:p>
      <w:pPr>
        <w:pStyle w:val="103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1"/>
        <w:gridCol w:w="2361"/>
        <w:gridCol w:w="2815"/>
      </w:tblGrid>
      <w:tr>
        <w:trPr>
          <w:trHeight w:val="189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1529, tờ bản đồ số: 26, có địa chỉ: Thôn Xa Mạc, xã Yên Lãng, thành phố Hà Nội theo Giấy chứng nhận quyền sử dụng đất, quyền sở hữu tài sản khác gắn liền với đất  số: AA 05504555, Số vào sổ cấp GCN: CN 00576 do Chi nhánh</w:t>
            </w:r>
            <w:r>
              <w:rPr>
                <w:rFonts w:ascii="Times New Roman" w:hAnsi="Times New Roman" w:eastAsia="Times New Roman" w:cs="Times New Roman"/>
                <w:b/>
                <w:color w:val="000000"/>
                <w:sz w:val="24"/>
              </w:rPr>
              <w:t xml:space="preserve"> văn phòng đăng ký đất đai Hà Nội - Huyện Mê Linh cấp ngày 01/12/2025; chủ sử dụng đất là Ông Nguyễn Thành Nam</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1529</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Xa Mạc, xã Yên Lãng,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262,90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sz w:val="24"/>
                <w:szCs w:val="24"/>
                <w:highlight w:val="yellow"/>
              </w:rPr>
            </w:pPr>
            <w:r>
              <w:rPr>
                <w:rFonts w:ascii="Times New Roman" w:hAnsi="Times New Roman" w:eastAsia="Times New Roman" w:cs="Times New Roman"/>
                <w:color w:val="000000"/>
                <w:sz w:val="24"/>
                <w:szCs w:val="24"/>
                <w:highlight w:val="yellow"/>
              </w:rPr>
              <w:t xml:space="preserve">Đất ở tại nông thôn: 120m2; Đất trồng cây lâu năm: 142,6 </w:t>
            </w:r>
            <w:r>
              <w:rPr>
                <w:sz w:val="24"/>
                <w:szCs w:val="24"/>
                <w:highlight w:val="yellow"/>
              </w:rPr>
            </w:r>
            <w:r>
              <w:rPr>
                <w:sz w:val="24"/>
                <w:szCs w:val="24"/>
                <w:highlight w:val="yellow"/>
              </w:rP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highlight w:val="none"/>
              </w:rPr>
              <w:t xml:space="preserve">Đất ở: </w:t>
            </w:r>
            <w:r>
              <w:rPr>
                <w:rFonts w:ascii="Times New Roman" w:hAnsi="Times New Roman" w:eastAsia="Times New Roman" w:cs="Times New Roman"/>
                <w:color w:val="000000"/>
                <w:sz w:val="24"/>
                <w:highlight w:val="yellow"/>
              </w:rPr>
              <w:t xml:space="preserve">lâu dài; Đất trồng cây lâu năm: đến 10/2043</w:t>
            </w:r>
            <w:r>
              <w:rPr>
                <w:highlight w:val="yellow"/>
              </w:rPr>
            </w:r>
            <w:r>
              <w:rPr>
                <w:highlight w:val="yellow"/>
              </w:rP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37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này được tách ra từ thửa đất số 116, tờ bản đồ số 02 tại GCN QSDĐ số: X 4792339, vào sổ cấp GCN QSDĐ số: 02715, do UBND huyện Mê Linh cấp ngày 15/12/2003 Hợp đồng tặng cho QSDĐ số: 08, chứng thự tại UBND xã Yên Lãng, thành phố Hà Nội, ngày 25/08/2</w:t>
            </w:r>
            <w:r>
              <w:rPr>
                <w:rFonts w:ascii="Times New Roman" w:hAnsi="Times New Roman" w:eastAsia="Times New Roman" w:cs="Times New Roman"/>
                <w:color w:val="000000"/>
                <w:sz w:val="24"/>
              </w:rPr>
              <w:t xml:space="preserve">025 thuộc xã Liên Mạc, huyện Mê Linh, thành phố Hà Nội (cũ)</w:t>
            </w:r>
            <w:r/>
          </w:p>
        </w:tc>
      </w:tr>
      <w:tr>
        <w:trPr>
          <w:trHeight w:val="4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tờ bản đồ, số thửa được xác định theo bản đồ địa chính đo đạc dự án tổng thể</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qua tham khảo trên ứng dụng Meeymap, thửa đất có khoảng 127m2 nằm trong quy hoạch giao thông</w:t>
            </w:r>
            <w:r>
              <w:rPr>
                <w:rFonts w:ascii="Times New Roman" w:hAnsi="Times New Roman" w:eastAsia="Times New Roman" w:cs="Times New Roman"/>
                <w:color w:val="000000"/>
                <w:sz w:val="24"/>
                <w:highlight w:val="none"/>
              </w:rPr>
            </w:r>
            <w:commentRangeStart w:id="0"/>
            <w:r>
              <w:rPr>
                <w:rFonts w:ascii="Times New Roman" w:hAnsi="Times New Roman" w:eastAsia="Times New Roman" w:cs="Times New Roman"/>
                <w:color w:val="000000"/>
                <w:sz w:val="24"/>
                <w:highlight w:val="none"/>
              </w:rPr>
            </w:r>
            <w:commentRangeEnd w:id="0"/>
            <w:r>
              <w:commentReference w:id="0"/>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316594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65597" name=""/>
                              <pic:cNvPicPr>
                                <a:picLocks noChangeAspect="1"/>
                              </pic:cNvPicPr>
                              <pic:nvPr/>
                            </pic:nvPicPr>
                            <pic:blipFill rotWithShape="1">
                              <a:blip r:embed="rId18"/>
                              <a:stretch/>
                            </pic:blipFill>
                            <pic:spPr bwMode="auto">
                              <a:xfrm>
                                <a:off x="0" y="0"/>
                                <a:ext cx="6048374" cy="3165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9.29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Xa Mạc, xã Yên Lãng,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Bồng Mạc</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4"/>
                <w:highlight w:val="none"/>
              </w:rPr>
              <w:t xml:space="preserve">2</w:t>
            </w:r>
            <w:r>
              <w:rPr>
                <w:rFonts w:ascii="Times New Roman" w:hAnsi="Times New Roman" w:eastAsia="Times New Roman" w:cs="Times New Roman"/>
                <w:color w:val="000000"/>
                <w:sz w:val="24"/>
                <w:highlight w:val="yellow"/>
              </w:rPr>
              <w:t xml:space="preserve"> mặt tiền</w:t>
            </w:r>
            <w:r>
              <w:rPr>
                <w:highlight w:val="yellow"/>
              </w:rPr>
            </w:r>
            <w:r>
              <w:rPr>
                <w:highlight w:val="yellow"/>
              </w:rP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rộng khoảng 5,8m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rộng khoảng 5,8m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rPr>
              <w:t xml:space="preserve">Tiếp giáp trục liên xã</w:t>
            </w:r>
            <w:r>
              <w:rPr>
                <w:rFonts w:ascii="Times New Roman" w:hAnsi="Times New Roman" w:eastAsia="Times New Roman" w:cs="Times New Roman"/>
                <w:color w:val="000000"/>
                <w:sz w:val="24"/>
                <w:highlight w:val="yellow"/>
              </w:rPr>
              <w:t xml:space="preserve"> Bồng Mạc</w:t>
            </w:r>
            <w:r>
              <w:rPr>
                <w:highlight w:val="yellow"/>
              </w:rPr>
            </w:r>
            <w:r>
              <w:rPr>
                <w:highlight w:val="yellow"/>
              </w:rP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Tây Nam tiếp giáp với đường giao thông rộng khoảng 5,8m;</w:t>
              <w:br/>
              <w:t xml:space="preserve">Hướng Đông Nam tiếp giáp ngõ giao thông rộng khoảng 2,4m;</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3331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53544" name=""/>
                              <pic:cNvPicPr>
                                <a:picLocks noChangeAspect="1"/>
                              </pic:cNvPicPr>
                              <pic:nvPr/>
                            </pic:nvPicPr>
                            <pic:blipFill rotWithShape="1">
                              <a:blip r:embed="rId19"/>
                              <a:stretch/>
                            </pic:blipFill>
                            <pic:spPr bwMode="auto">
                              <a:xfrm>
                                <a:off x="0" y="0"/>
                                <a:ext cx="6048374" cy="27333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15.22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262,90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14,74</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9,99</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54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dươi sự hướng dẫn của chủ tài sản, trên đất có 02 CTXD:</w:t>
              <w:br/>
              <w:t xml:space="preserve">+ Nhà cấp 4, diện tích xây dựng khoảng 60m2;</w:t>
              <w:br/>
              <w:t xml:space="preserve">+ Nhà 02 tầng, diện tích xây dựng khoảng 70m2, diện tích sàn khoảng 140m2</w:t>
              <w:br/>
              <w:t xml:space="preserve">Cả 2 công trình đều chưa được công nhận trên GCN QSDĐ số:</w:t>
            </w:r>
            <w:r>
              <w:rPr>
                <w:rFonts w:ascii="Times New Roman" w:hAnsi="Times New Roman" w:eastAsia="Times New Roman" w:cs="Times New Roman"/>
                <w:color w:val="000000"/>
                <w:sz w:val="24"/>
              </w:rPr>
              <w:t xml:space="preserve"> AA 05504555</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spacing w:after="0" w:before="0" w:line="240" w:lineRule="auto"/>
        <w:ind/>
        <w:jc w:val="both"/>
        <w:rPr>
          <w:bCs/>
          <w:i/>
        </w:rPr>
      </w:pPr>
      <w:r>
        <w:rPr>
          <w:rFonts w:ascii="Times New Roman" w:hAnsi="Times New Roman" w:eastAsia="Times New Roman" w:cs="Times New Roman"/>
          <w:color w:val="000000"/>
          <w:sz w:val="24"/>
        </w:rPr>
        <w:t xml:space="preserve">Tại thời điểm khảo sát, dươi sự hướng dẫn của chủ tài sản, trên đất có 02 CTXD: </w:t>
      </w:r>
      <w:r>
        <w:rPr>
          <w:rFonts w:ascii="Times New Roman" w:hAnsi="Times New Roman" w:eastAsia="Times New Roman" w:cs="Times New Roman"/>
          <w:i/>
          <w:iCs/>
          <w:color w:val="000000"/>
          <w:sz w:val="24"/>
        </w:rPr>
        <w:t xml:space="preserve">Nhà cấp 4, diện tích xây dựng khoảng 60m2; Nhà 02 tầng, diện tích xây dựng khoảng 70m2, diện tích sàn khoảng 140m2. </w:t>
      </w:r>
      <w:r>
        <w:rPr>
          <w:rFonts w:ascii="Times New Roman" w:hAnsi="Times New Roman" w:eastAsia="Times New Roman" w:cs="Times New Roman"/>
          <w:i w:val="0"/>
          <w:iCs w:val="0"/>
          <w:color w:val="000000"/>
          <w:sz w:val="24"/>
        </w:rPr>
        <w:t xml:space="preserve">Cả 2 công trình đều chưa được công nhận trên GCN QSDĐ số:</w:t>
      </w:r>
      <w:r>
        <w:rPr>
          <w:rFonts w:ascii="Times New Roman" w:hAnsi="Times New Roman" w:eastAsia="Times New Roman" w:cs="Times New Roman"/>
          <w:i w:val="0"/>
          <w:iCs w:val="0"/>
          <w:color w:val="000000"/>
          <w:sz w:val="24"/>
        </w:rPr>
        <w:t xml:space="preserve"> AA 05504555. </w:t>
      </w:r>
      <w:r>
        <w:rPr>
          <w:rFonts w:ascii="Times New Roman" w:hAnsi="Times New Roman" w:eastAsia="Times New Roman" w:cs="Times New Roman"/>
          <w:i w:val="0"/>
          <w:iCs w:val="0"/>
          <w:color w:val="000000"/>
          <w:spacing w:val="2"/>
          <w:sz w:val="24"/>
        </w:rPr>
        <w:t xml:space="preserve">Đồ</w:t>
      </w:r>
      <w:r>
        <w:rPr>
          <w:rFonts w:ascii="Times New Roman" w:hAnsi="Times New Roman" w:eastAsia="Times New Roman" w:cs="Times New Roman"/>
          <w:color w:val="000000"/>
          <w:spacing w:val="2"/>
          <w:sz w:val="24"/>
        </w:rPr>
        <w:t xml:space="preserve">ng thời tổ thẩm định cũng không nhận được bất kỳ hồ sơ pháp lý nào liên quan tới công trình xây dựng thực tế này. Do vậy, theo đề nghị của Khách hàng/Ngân</w:t>
      </w:r>
      <w:r>
        <w:rPr>
          <w:rFonts w:ascii="Times New Roman" w:hAnsi="Times New Roman" w:eastAsia="Times New Roman" w:cs="Times New Roman"/>
          <w:color w:val="000000"/>
          <w:spacing w:val="2"/>
          <w:sz w:val="24"/>
        </w:rPr>
        <w:t xml:space="preserve"> hàng, tổ thẩm định không xác định giá trị công trình nhưng vẫn coi đó là phần không thể tách rời của tài sản thẩm định.</w:t>
      </w:r>
      <w:r>
        <w:rPr>
          <w:bCs/>
          <w:i/>
        </w:rPr>
      </w:r>
      <w:r>
        <w:rPr>
          <w:bCs/>
          <w:i/>
        </w:rPr>
      </w:r>
    </w:p>
    <w:p>
      <w:pPr>
        <w:pStyle w:val="1035"/>
        <w:numPr>
          <w:ilvl w:val="0"/>
          <w:numId w:val="3"/>
        </w:numPr>
        <w:pBdr/>
        <w:spacing w:after="0" w:before="0" w:line="240" w:lineRule="auto"/>
        <w:ind/>
        <w:jc w:val="both"/>
        <w:rPr>
          <w:rFonts w:ascii="Times New Roman" w:hAnsi="Times New Roman" w:eastAsia="Times New Roman" w:cs="Times New Roman"/>
          <w:color w:val="000000"/>
          <w:spacing w:val="2"/>
          <w:sz w:val="24"/>
          <w:szCs w:val="24"/>
          <w:highlight w:val="white"/>
          <w14:ligatures w14:val="none"/>
        </w:rPr>
      </w:pPr>
      <w:r>
        <w:rPr>
          <w:rFonts w:ascii="Times New Roman" w:hAnsi="Times New Roman" w:eastAsia="Times New Roman" w:cs="Times New Roman"/>
          <w:color w:val="000000"/>
          <w:spacing w:val="2"/>
          <w:sz w:val="24"/>
          <w:szCs w:val="24"/>
          <w:highlight w:val="white"/>
        </w:rPr>
        <w:t xml:space="preserve">Theo GCN QSDĐ số:AA 05504555 không thể hiện vị trí diện tích đất ở và diện đất trông cây lâu năm trên sơ đồ thửa đất, Tổ thẩm định giả định phần diện tích thuộc quy hoạch đường giao thông có mục đích sử dụng là Đất trồng cây lâu năm </w:t>
      </w:r>
      <w:r>
        <w:rPr>
          <w:rFonts w:ascii="Times New Roman" w:hAnsi="Times New Roman" w:eastAsia="Times New Roman" w:cs="Times New Roman"/>
          <w:color w:val="000000"/>
          <w:spacing w:val="2"/>
          <w:sz w:val="24"/>
          <w:szCs w:val="24"/>
          <w:highlight w:val="white"/>
        </w:rPr>
        <w:t xml:space="preserve">và xác định giá trị tài sản thẩm định dựa trên giả định này. Chúng tôi bảo lưu quyền xem xét lại kết quả định giá trong trường hợp được cung cấp pháp lý thể hiện sự sai khác với giả định trên. Kính đề nghị đơn vị sử dụng kết quả lưu ý và có biện pháp kiểm </w:t>
      </w:r>
      <w:r>
        <w:rPr>
          <w:rFonts w:ascii="Times New Roman" w:hAnsi="Times New Roman" w:eastAsia="Times New Roman" w:cs="Times New Roman"/>
          <w:color w:val="000000"/>
          <w:spacing w:val="2"/>
          <w:sz w:val="24"/>
          <w:szCs w:val="24"/>
          <w:highlight w:val="white"/>
        </w:rPr>
        <w:t xml:space="preserve">tra, xác minh cụ thể hơn</w:t>
      </w:r>
      <w:r>
        <w:rPr>
          <w:rFonts w:ascii="Times New Roman" w:hAnsi="Times New Roman" w:eastAsia="Times New Roman" w:cs="Times New Roman"/>
          <w:color w:val="000000"/>
          <w:spacing w:val="2"/>
          <w:sz w:val="24"/>
          <w:szCs w:val="24"/>
          <w:highlight w:val="white"/>
        </w:rPr>
        <w:t xml:space="preserve">.</w:t>
      </w:r>
      <w:r>
        <w:rPr>
          <w:rFonts w:ascii="Times New Roman" w:hAnsi="Times New Roman" w:eastAsia="Times New Roman" w:cs="Times New Roman"/>
          <w:color w:val="000000"/>
          <w:spacing w:val="2"/>
          <w:sz w:val="24"/>
          <w:szCs w:val="24"/>
          <w:highlight w:val="white"/>
        </w:rPr>
      </w:r>
      <w:r>
        <w:rPr>
          <w:rFonts w:ascii="Times New Roman" w:hAnsi="Times New Roman" w:eastAsia="Times New Roman" w:cs="Times New Roman"/>
          <w:color w:val="000000"/>
          <w:spacing w:val="2"/>
          <w:sz w:val="24"/>
          <w:szCs w:val="24"/>
          <w:highlight w:val="white"/>
          <w14:ligatures w14:val="none"/>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ở:</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Lãng,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Lãng,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Lãng,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Lãng,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https://www.facebook.com/share/p/1Da5fKmLF9/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https://www.facebook.com/share/p/17wV3dk3ai/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https://alonhadat.com.vn/ban-dat-dau-gia-tai-xa-mac-lien-mac-me-linh-ha-noi-cam-ket-bao-dung-gia-chu-thu-16573950.html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0974517386</w:t>
            </w:r>
            <w:r>
              <w:rPr>
                <w:sz w:val="22"/>
                <w:szCs w:val="22"/>
              </w:rPr>
              <w:t xml:space="preserve"> </w:t>
            </w:r>
            <w:r>
              <w:rPr>
                <w:sz w:val="22"/>
                <w:szCs w:val="22"/>
              </w:rPr>
              <w:br/>
              <w:t xml:space="preserve">(</w:t>
            </w:r>
            <w:r>
              <w:rPr>
                <w:sz w:val="22"/>
                <w:szCs w:val="22"/>
              </w:rPr>
              <w:t xml:space="preserve">Bùi Ngọc 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0969 488 683</w:t>
            </w:r>
            <w:r>
              <w:rPr>
                <w:sz w:val="22"/>
                <w:szCs w:val="22"/>
              </w:rPr>
              <w:br/>
            </w:r>
            <w:r>
              <w:rPr>
                <w:sz w:val="22"/>
                <w:szCs w:val="22"/>
              </w:rPr>
              <w:t xml:space="preserve">(</w:t>
            </w:r>
            <w:r>
              <w:rPr>
                <w:sz w:val="22"/>
                <w:szCs w:val="22"/>
              </w:rPr>
              <w:t xml:space="preserve">Hữu Bính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0988.994.012</w:t>
            </w:r>
            <w:r>
              <w:rPr>
                <w:sz w:val="22"/>
                <w:szCs w:val="22"/>
              </w:rPr>
              <w:br/>
            </w:r>
            <w:r>
              <w:rPr>
                <w:sz w:val="22"/>
                <w:szCs w:val="22"/>
              </w:rPr>
              <w:t xml:space="preserve">(</w:t>
            </w:r>
            <w:r>
              <w:rPr>
                <w:sz w:val="22"/>
                <w:szCs w:val="22"/>
              </w:rPr>
              <w:t xml:space="preserve">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nội khu, khu đấu giá Xa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Lô góc, 02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Lô góc, 02 mặt tiền</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03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5.437.800.000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sz w:val="22"/>
                <w:szCs w:val="22"/>
              </w:rPr>
            </w:r>
            <w:r>
              <w:rPr>
                <w:color w:val="000000" w:themeColor="text1"/>
                <w:sz w:val="22"/>
                <w:szCs w:val="22"/>
              </w:rPr>
              <w:t xml:space="preserve">1.879.248.000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5.437.800.000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50.746.269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4.105.752.000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5.437.800.000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50.746.269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Bồng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Yên Lãng, Thành phố Hà Nội, tiếp giáp đường nội khu, khu đấu giá Xa Mạc</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43.884.000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5,8</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41.057.520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56.716.418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39.114.000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-1.231.726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-8.507.463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39.825.794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48.208.955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36.729.000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3.284.602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3.552.239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3.339.000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43.110.396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45.791.045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40.068.000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Lô góc, 02 mặt tiền</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Lô góc, 02 mặt tiền</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2.052.876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45.791.045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42.453.000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45.791.045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42.453.000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45.163.272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45.791.045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44.838.000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45.163.272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45.791.045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44.838.000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45.264.106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6.569.204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12.059.702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19.080.000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4.105.752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4.955.224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2.862.000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-0,94</w:t>
      </w:r>
      <w:r>
        <w:t xml:space="preserve">% </w:t>
      </w:r>
      <w:r>
        <w:t xml:space="preserve">đến</w:t>
      </w:r>
      <w:r>
        <w:t xml:space="preserve"> </w:t>
      </w:r>
      <w:r>
        <w:t xml:space="preserve"> </w:t>
      </w:r>
      <w:r>
        <w:t xml:space="preserve">1,16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45.163.272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15.057.435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45.791.045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15.262.155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44.838.000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14.944.505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45.264.095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đơn giá đất trồng cây lâu năm</w:t>
      </w:r>
      <w:r>
        <w:rPr>
          <w:b/>
          <w:bCs/>
        </w:rPr>
        <w:t xml:space="preserve">:</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mà hầu như chỉ có các giao dịch đất ở, do vậy, cho mục đích định giá tại báo cáo này, Tổ thẩm định ước tính giá trị đất trồng cây lâu năm theo đơn giá UBND.</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Vận dụng Quyết định số</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Nghị quyết 52/2025/NQ-HĐND</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rPr>
        <w:t xml:space="preserve">ngà</w:t>
      </w:r>
      <w:r>
        <w:rPr>
          <w:rFonts w:ascii="Times New Roman" w:hAnsi="Times New Roman" w:eastAsia="Times New Roman" w:cs="Times New Roman"/>
          <w:color w:val="000000"/>
          <w:sz w:val="24"/>
          <w:szCs w:val="24"/>
        </w:rPr>
        <w:t xml:space="preserve">y </w:t>
      </w:r>
      <w:commentRangeStart w:id="1"/>
      <w:r>
        <w:rPr>
          <w:rFonts w:ascii="Times New Roman" w:hAnsi="Times New Roman" w:eastAsia="Times New Roman" w:cs="Times New Roman"/>
          <w:color w:val="000000"/>
          <w:sz w:val="24"/>
          <w:szCs w:val="24"/>
        </w:rPr>
        <w:t xml:space="preserve">26/11/2025</w:t>
      </w:r>
      <w:r>
        <w:rPr>
          <w:rFonts w:ascii="Times New Roman" w:hAnsi="Times New Roman" w:eastAsia="Times New Roman" w:cs="Times New Roman"/>
          <w:color w:val="000000"/>
          <w:sz w:val="24"/>
          <w:szCs w:val="24"/>
        </w:rPr>
        <w:t xml:space="preserve"> </w:t>
      </w:r>
      <w:commentRangeEnd w:id="1"/>
      <w:r>
        <w:commentReference w:id="1"/>
      </w:r>
      <w:r>
        <w:rPr>
          <w:rFonts w:ascii="Times New Roman" w:hAnsi="Times New Roman" w:eastAsia="Times New Roman" w:cs="Times New Roman"/>
          <w:color w:val="000000"/>
          <w:sz w:val="24"/>
        </w:rPr>
        <w:t xml:space="preserve">của Ủy ban nhân dân thành phố Hà Nội ban hành Quy định bảng giá đất trên địa bàn thành phố Hà Nội áp dụng từ ngày 01/1/2026, Tổ thẩm định xác định đơn giá đất trồng cây lâu năm là: </w:t>
      </w:r>
      <w:r>
        <w:rPr>
          <w:rFonts w:ascii="Times New Roman" w:hAnsi="Times New Roman" w:eastAsia="Times New Roman" w:cs="Times New Roman"/>
          <w:b/>
          <w:color w:val="000000"/>
          <w:sz w:val="24"/>
        </w:rPr>
        <w:t xml:space="preserve">155.000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1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2517"/>
        <w:gridCol w:w="1802"/>
        <w:gridCol w:w="2582"/>
        <w:gridCol w:w="2009"/>
      </w:tblGrid>
      <w:tr>
        <w:trPr>
          <w:trHeight w:val="20"/>
        </w:trPr>
        <w:tc>
          <w:tcPr>
            <w:shd w:val="clear" w:color="000000" w:fill="ffffff"/>
            <w:tcBorders/>
            <w:tcW w:w="648"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009" w:type="dxa"/>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901" w:type="dxa"/>
            <w:vAlign w:val="center"/>
            <w:textDirection w:val="lrTb"/>
            <w:noWrap w:val="false"/>
          </w:tcPr>
          <w:p>
            <w:pPr>
              <w:pBdr/>
              <w:spacing w:after="40" w:before="40" w:line="240" w:lineRule="auto"/>
              <w:ind/>
              <w:jc w:val="both"/>
              <w:rPr>
                <w:b/>
                <w:bCs/>
              </w:rPr>
            </w:pPr>
            <w:r>
              <w:rPr>
                <w:color w:val="000000"/>
              </w:rPr>
              <w:t xml:space="preserve">Quyền sử dụng đất tại thửa đất số: 1529, tờ bản đồ số: 26, có địa chỉ: Thôn Xa Mạc, xã Yên Lãng, thành phố Hà</w:t>
            </w:r>
            <w:r>
              <w:rPr>
                <w:color w:val="000000"/>
              </w:rPr>
              <w:t xml:space="preserve"> Nội theo Giấy chứng nhận quyền sử dụng đất, quyền sở hữu tài sản khác gắn liền với đất  số: AA 05504555, Số vào sổ cấp GCN: CN 00576 do Chi nhánh văn phòng đăng ký đất đai Hà Nội - Huyện Mê Linh cấp ngày 01/12/2025; chủ sử dụng đất là Ông Nguyễn Thành Nam</w:t>
            </w:r>
            <w:r>
              <w:rPr>
                <w:b/>
                <w:bCs/>
              </w:rPr>
              <w:t xml:space="preserve">.</w:t>
            </w:r>
            <w:r>
              <w:rPr>
                <w:b/>
                <w:bCs/>
              </w:rPr>
            </w:r>
            <w:r>
              <w:rPr>
                <w:b/>
                <w:bCs/>
              </w:rPr>
            </w:r>
          </w:p>
        </w:tc>
        <w:tc>
          <w:tcPr>
            <w:shd w:val="clear" w:color="000000" w:fill="ffffff"/>
            <w:tcBorders/>
            <w:tcW w:w="2009"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2517" w:type="dxa"/>
            <w:vAlign w:val="center"/>
            <w:textDirection w:val="lrTb"/>
            <w:noWrap w:val="false"/>
          </w:tcPr>
          <w:p>
            <w:pPr>
              <w:pBdr/>
              <w:spacing w:after="40" w:before="40" w:line="240"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40" w:lineRule="auto"/>
              <w:ind/>
              <w:jc w:val="center"/>
              <w:rPr/>
            </w:pPr>
            <w:r>
              <w:rPr>
                <w:color w:val="000000" w:themeColor="text1"/>
              </w:rPr>
              <w:t xml:space="preserve">45.000.000</w:t>
            </w:r>
            <w:r/>
          </w:p>
        </w:tc>
        <w:tc>
          <w:tcPr>
            <w:shd w:val="clear" w:color="000000" w:fill="ffffff"/>
            <w:tcBorders/>
            <w:tcW w:w="2009" w:type="dxa"/>
            <w:vAlign w:val="center"/>
            <w:textDirection w:val="lrTb"/>
            <w:noWrap w:val="false"/>
          </w:tcPr>
          <w:p>
            <w:pPr>
              <w:pBdr/>
              <w:spacing w:after="40" w:before="40" w:line="240" w:lineRule="auto"/>
              <w:ind/>
              <w:jc w:val="right"/>
              <w:rPr/>
            </w:pPr>
            <w:r>
              <w:rPr>
                <w:color w:val="000000" w:themeColor="text1"/>
              </w:rPr>
              <w:t xml:space="preserve">5.400.000.000</w:t>
            </w:r>
            <w:r/>
          </w:p>
        </w:tc>
      </w:tr>
      <w:tr>
        <w:trPr>
          <w:trHeight w:val="20"/>
        </w:trPr>
        <w:tc>
          <w:tcPr>
            <w:shd w:val="clear" w:color="000000" w:fill="ffffff"/>
            <w:tcBorders/>
            <w:tcW w:w="648" w:type="dxa"/>
            <w:vAlign w:val="center"/>
            <w:vMerge w:val="restart"/>
            <w:textDirection w:val="lrTb"/>
            <w:noWrap w:val="false"/>
          </w:tcPr>
          <w:p>
            <w:pPr>
              <w:pBdr/>
              <w:spacing w:after="40" w:before="40" w:line="240" w:lineRule="auto"/>
              <w:ind/>
              <w:jc w:val="center"/>
              <w:rPr>
                <w:b w:val="0"/>
                <w:bCs w:val="0"/>
              </w:rPr>
            </w:pPr>
            <w:r>
              <w:rPr>
                <w:b w:val="0"/>
                <w:bCs w:val="0"/>
              </w:rPr>
              <w:t xml:space="preserve">2</w:t>
            </w:r>
            <w:r>
              <w:rPr>
                <w:b w:val="0"/>
                <w:bCs w:val="0"/>
              </w:rPr>
            </w:r>
            <w:r>
              <w:rPr>
                <w:b w:val="0"/>
                <w:bCs w:val="0"/>
              </w:rPr>
            </w:r>
          </w:p>
        </w:tc>
        <w:tc>
          <w:tcPr>
            <w:shd w:val="clear" w:color="000000" w:fill="ffffff"/>
            <w:tcBorders/>
            <w:tcW w:w="2517" w:type="dxa"/>
            <w:vAlign w:val="center"/>
            <w:vMerge w:val="restart"/>
            <w:textDirection w:val="lrTb"/>
            <w:noWrap w:val="false"/>
          </w:tcPr>
          <w:p>
            <w:pPr>
              <w:pBdr/>
              <w:spacing w:after="40" w:before="40" w:line="240" w:lineRule="auto"/>
              <w:ind/>
              <w:rPr>
                <w:b w:val="0"/>
                <w:bCs w:val="0"/>
              </w:rPr>
            </w:pPr>
            <w:r>
              <w:rPr>
                <w:b w:val="0"/>
                <w:bCs w:val="0"/>
              </w:rPr>
            </w:r>
            <w:r>
              <w:rPr>
                <w:b w:val="0"/>
                <w:bCs w:val="0"/>
              </w:rPr>
              <w:t xml:space="preserve">Đất trồng cây lâu năm</w:t>
            </w:r>
            <w:r>
              <w:rPr>
                <w:b w:val="0"/>
                <w:bCs w:val="0"/>
              </w:rPr>
              <w:t xml:space="preserve"> nằm ngoài QHGT</w:t>
            </w:r>
            <w:r>
              <w:rPr>
                <w:b w:val="0"/>
                <w:bCs w:val="0"/>
              </w:rPr>
            </w:r>
            <w:r>
              <w:rPr>
                <w:b w:val="0"/>
                <w:bCs w:val="0"/>
              </w:rPr>
            </w:r>
          </w:p>
        </w:tc>
        <w:tc>
          <w:tcPr>
            <w:tcBorders/>
            <w:tcW w:w="1802" w:type="dxa"/>
            <w:vAlign w:val="center"/>
            <w:vMerge w:val="restart"/>
            <w:textDirection w:val="lrTb"/>
            <w:noWrap/>
          </w:tcPr>
          <w:p>
            <w:pPr>
              <w:pBdr/>
              <w:spacing w:after="40" w:before="40" w:line="240" w:lineRule="auto"/>
              <w:ind/>
              <w:jc w:val="center"/>
              <w:rPr>
                <w:color w:val="000000" w:themeColor="text1"/>
              </w:rPr>
            </w:pPr>
            <w:r>
              <w:rPr>
                <w:color w:val="000000" w:themeColor="text1"/>
              </w:rPr>
              <w:t xml:space="preserve">15,6</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40"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0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2.418.000 </w:t>
            </w:r>
            <w:r/>
          </w:p>
        </w:tc>
      </w:tr>
      <w:tr>
        <w:trPr>
          <w:trHeight w:val="20"/>
        </w:trPr>
        <w:tc>
          <w:tcPr>
            <w:shd w:val="clear" w:color="000000" w:fill="ffffff"/>
            <w:tcBorders/>
            <w:tcW w:w="648" w:type="dxa"/>
            <w:vAlign w:val="center"/>
            <w:vMerge w:val="restart"/>
            <w:textDirection w:val="lrTb"/>
            <w:noWrap w:val="false"/>
          </w:tcPr>
          <w:p>
            <w:pPr>
              <w:pBdr/>
              <w:spacing w:after="40" w:before="40" w:line="240" w:lineRule="auto"/>
              <w:ind/>
              <w:jc w:val="center"/>
              <w:rPr>
                <w:b w:val="0"/>
                <w:bCs w:val="0"/>
              </w:rPr>
            </w:pPr>
            <w:r>
              <w:rPr>
                <w:b w:val="0"/>
                <w:bCs w:val="0"/>
              </w:rPr>
              <w:t xml:space="preserve">3</w:t>
            </w:r>
            <w:r>
              <w:rPr>
                <w:b w:val="0"/>
                <w:bCs w:val="0"/>
              </w:rPr>
            </w:r>
            <w:r>
              <w:rPr>
                <w:b w:val="0"/>
                <w:bCs w:val="0"/>
              </w:rPr>
            </w:r>
          </w:p>
        </w:tc>
        <w:tc>
          <w:tcPr>
            <w:shd w:val="clear" w:color="000000" w:fill="ffffff"/>
            <w:tcBorders/>
            <w:tcW w:w="2517" w:type="dxa"/>
            <w:vAlign w:val="center"/>
            <w:vMerge w:val="restart"/>
            <w:textDirection w:val="lrTb"/>
            <w:noWrap w:val="false"/>
          </w:tcPr>
          <w:p>
            <w:pPr>
              <w:pBdr/>
              <w:spacing w:after="40" w:before="40" w:line="240" w:lineRule="auto"/>
              <w:ind/>
              <w:rPr>
                <w:b w:val="0"/>
                <w:bCs w:val="0"/>
              </w:rPr>
            </w:pPr>
            <w:r>
              <w:rPr>
                <w:b w:val="0"/>
                <w:bCs w:val="0"/>
              </w:rPr>
            </w:r>
            <w:r>
              <w:rPr>
                <w:b w:val="0"/>
                <w:bCs w:val="0"/>
              </w:rPr>
              <w:t xml:space="preserve">Đất trồng cây lâu năm</w:t>
            </w:r>
            <w:r>
              <w:rPr>
                <w:b w:val="0"/>
                <w:bCs w:val="0"/>
              </w:rPr>
              <w:t xml:space="preserve"> nằm trong  QHGT</w:t>
            </w:r>
            <w:r>
              <w:rPr>
                <w:b w:val="0"/>
                <w:bCs w:val="0"/>
              </w:rPr>
            </w:r>
            <w:r>
              <w:rPr>
                <w:b w:val="0"/>
                <w:bCs w:val="0"/>
              </w:rPr>
            </w:r>
          </w:p>
        </w:tc>
        <w:tc>
          <w:tcPr>
            <w:tcBorders/>
            <w:tcW w:w="1802" w:type="dxa"/>
            <w:vAlign w:val="center"/>
            <w:vMerge w:val="restart"/>
            <w:textDirection w:val="lrTb"/>
            <w:noWrap/>
          </w:tcPr>
          <w:p>
            <w:pPr>
              <w:pBdr/>
              <w:spacing w:after="40" w:before="40" w:line="240" w:lineRule="auto"/>
              <w:ind/>
              <w:jc w:val="center"/>
              <w:rPr>
                <w:color w:val="000000" w:themeColor="text1"/>
              </w:rPr>
            </w:pPr>
            <w:r>
              <w:rPr>
                <w:color w:val="000000" w:themeColor="text1"/>
              </w:rPr>
              <w:t xml:space="preserve">127</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40"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00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19.685.000 </w:t>
            </w:r>
            <w:r/>
          </w:p>
        </w:tc>
      </w:tr>
      <w:tr>
        <w:trPr>
          <w:trHeight w:val="20"/>
        </w:trPr>
        <w:tc>
          <w:tcPr>
            <w:gridSpan w:val="4"/>
            <w:tcBorders/>
            <w:tcW w:w="7549"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009" w:type="dxa"/>
            <w:vAlign w:val="center"/>
            <w:textDirection w:val="lrTb"/>
            <w:noWrap/>
          </w:tcPr>
          <w:p>
            <w:pPr>
              <w:pBdr/>
              <w:spacing w:after="40" w:before="40" w:line="240" w:lineRule="auto"/>
              <w:ind/>
              <w:jc w:val="right"/>
              <w:rPr>
                <w:b/>
                <w:bCs/>
                <w:color w:val="000000" w:themeColor="text1"/>
                <w14:ligatures w14:val="none"/>
              </w:rPr>
            </w:pPr>
            <w:r>
              <w:rPr>
                <w:b/>
                <w:bCs/>
                <w:color w:val="000000" w:themeColor="text1"/>
              </w:rPr>
              <w:t xml:space="preserve">5.422.103.000</w:t>
            </w:r>
            <w:r>
              <w:rPr>
                <w:b/>
                <w:bCs/>
                <w:color w:val="000000" w:themeColor="text1"/>
                <w14:ligatures w14:val="none"/>
              </w:rPr>
            </w:r>
            <w:r>
              <w:rPr>
                <w:b/>
                <w:bCs/>
                <w:color w:val="000000" w:themeColor="text1"/>
                <w14:ligatures w14:val="none"/>
              </w:rPr>
            </w:r>
          </w:p>
        </w:tc>
      </w:tr>
      <w:tr>
        <w:trPr>
          <w:trHeight w:val="20"/>
        </w:trPr>
        <w:tc>
          <w:tcPr>
            <w:gridSpan w:val="4"/>
            <w:tcBorders/>
            <w:tcW w:w="7549"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009" w:type="dxa"/>
            <w:vAlign w:val="center"/>
            <w:textDirection w:val="lrTb"/>
            <w:noWrap/>
          </w:tcPr>
          <w:p>
            <w:pPr>
              <w:pBdr/>
              <w:spacing w:after="40" w:before="40" w:line="240" w:lineRule="auto"/>
              <w:ind/>
              <w:jc w:val="right"/>
              <w:rPr>
                <w:b/>
                <w:bCs/>
                <w:color w:val="000000" w:themeColor="text1"/>
                <w14:ligatures w14:val="none"/>
              </w:rPr>
            </w:pPr>
            <w:r>
              <w:rPr>
                <w:b/>
                <w:bCs/>
                <w:color w:val="000000" w:themeColor="text1"/>
              </w:rPr>
              <w:t xml:space="preserve">5.422.000.000</w:t>
            </w:r>
            <w:r>
              <w:rPr>
                <w:b/>
                <w:bCs/>
                <w:color w:val="000000" w:themeColor="text1"/>
                <w14:ligatures w14:val="none"/>
              </w:rPr>
            </w:r>
            <w:r>
              <w:rPr>
                <w:b/>
                <w:bCs/>
                <w:color w:val="000000" w:themeColor="text1"/>
                <w14:ligatures w14:val="none"/>
              </w:rPr>
            </w:r>
          </w:p>
        </w:tc>
      </w:tr>
      <w:tr>
        <w:trPr>
          <w:trHeight w:val="20"/>
        </w:trPr>
        <w:tc>
          <w:tcPr>
            <w:gridSpan w:val="5"/>
            <w:tcBorders/>
            <w:tcW w:w="9558" w:type="dxa"/>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hai mươi hai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1"/>
        </w:numPr>
        <w:pBdr/>
        <w:spacing w:after="0" w:before="0" w:line="240" w:lineRule="auto"/>
        <w:ind/>
        <w:jc w:val="both"/>
        <w:rPr>
          <w:bCs/>
          <w:i/>
        </w:rPr>
      </w:pPr>
      <w:r>
        <w:rPr>
          <w:rFonts w:ascii="Times New Roman" w:hAnsi="Times New Roman" w:eastAsia="Times New Roman" w:cs="Times New Roman"/>
          <w:color w:val="000000"/>
          <w:sz w:val="24"/>
        </w:rPr>
        <w:t xml:space="preserve">Tại thời điểm khảo sát, dươi sự hướng dẫn của chủ tài sản, trên đất có 02 CTXD:</w:t>
        <w:br/>
      </w:r>
      <w:r>
        <w:rPr>
          <w:rFonts w:ascii="Times New Roman" w:hAnsi="Times New Roman" w:eastAsia="Times New Roman" w:cs="Times New Roman"/>
          <w:i/>
          <w:iCs/>
          <w:color w:val="000000"/>
          <w:sz w:val="24"/>
        </w:rPr>
        <w:t xml:space="preserve">+ Nhà cấp 4, diện tích xây dựng khoảng 60m2;</w:t>
        <w:br/>
        <w:t xml:space="preserve">+ Nhà 02 tầng, diện tích xây dựng khoảng 70m2, diện tích sàn khoảng 140m2</w:t>
        <w:br/>
      </w:r>
      <w:r>
        <w:rPr>
          <w:rFonts w:ascii="Times New Roman" w:hAnsi="Times New Roman" w:eastAsia="Times New Roman" w:cs="Times New Roman"/>
          <w:i w:val="0"/>
          <w:iCs w:val="0"/>
          <w:color w:val="000000"/>
          <w:sz w:val="24"/>
        </w:rPr>
        <w:t xml:space="preserve">Cả 2 công trình đều chưa được công nhận trên GCN QSDĐ số:</w:t>
      </w:r>
      <w:r>
        <w:rPr>
          <w:rFonts w:ascii="Times New Roman" w:hAnsi="Times New Roman" w:eastAsia="Times New Roman" w:cs="Times New Roman"/>
          <w:i w:val="0"/>
          <w:iCs w:val="0"/>
          <w:color w:val="000000"/>
          <w:sz w:val="24"/>
        </w:rPr>
        <w:t xml:space="preserve"> AA 05504555. </w:t>
      </w:r>
      <w:r>
        <w:rPr>
          <w:rFonts w:ascii="Times New Roman" w:hAnsi="Times New Roman" w:eastAsia="Times New Roman" w:cs="Times New Roman"/>
          <w:i w:val="0"/>
          <w:iCs w:val="0"/>
          <w:color w:val="000000"/>
          <w:spacing w:val="2"/>
          <w:sz w:val="24"/>
        </w:rPr>
        <w:t xml:space="preserve">Đồ</w:t>
      </w:r>
      <w:r>
        <w:rPr>
          <w:rFonts w:ascii="Times New Roman" w:hAnsi="Times New Roman" w:eastAsia="Times New Roman" w:cs="Times New Roman"/>
          <w:color w:val="000000"/>
          <w:spacing w:val="2"/>
          <w:sz w:val="24"/>
        </w:rPr>
        <w:t xml:space="preserve">ng thời tổ thẩm định cũng không nhận được bất kỳ hồ sơ pháp lý nào liên quan tới công trình xây dựng thực tế này. Do vậy, theo đề nghị của Khách hàng/Ngân</w:t>
      </w:r>
      <w:r>
        <w:rPr>
          <w:rFonts w:ascii="Times New Roman" w:hAnsi="Times New Roman" w:eastAsia="Times New Roman" w:cs="Times New Roman"/>
          <w:color w:val="000000"/>
          <w:spacing w:val="2"/>
          <w:sz w:val="24"/>
        </w:rPr>
        <w:t xml:space="preserve"> hàng, tổ thẩm định không xác định giá trị công trình nhưng vẫn coi đó là phần không thể tách rời của tài sản thẩm định.</w:t>
      </w:r>
      <w:r>
        <w:rPr>
          <w:bCs/>
          <w:i/>
        </w:rPr>
      </w:r>
      <w:r>
        <w:rPr>
          <w:bCs/>
          <w:i/>
        </w:rPr>
      </w:r>
    </w:p>
    <w:p>
      <w:pPr>
        <w:pStyle w:val="1035"/>
        <w:numPr>
          <w:ilvl w:val="0"/>
          <w:numId w:val="43"/>
        </w:numPr>
        <w:pBdr/>
        <w:spacing w:after="0" w:before="0" w:line="240" w:lineRule="auto"/>
        <w:ind/>
        <w:jc w:val="both"/>
        <w:rPr>
          <w:rFonts w:ascii="Times New Roman" w:hAnsi="Times New Roman" w:eastAsia="Times New Roman" w:cs="Times New Roman"/>
          <w:color w:val="000000"/>
          <w:spacing w:val="2"/>
          <w:sz w:val="24"/>
          <w:szCs w:val="24"/>
          <w14:ligatures w14:val="none"/>
        </w:rPr>
      </w:pPr>
      <w:r>
        <w:rPr>
          <w:rFonts w:ascii="Times New Roman" w:hAnsi="Times New Roman" w:eastAsia="Times New Roman" w:cs="Times New Roman"/>
          <w:color w:val="000000"/>
          <w:spacing w:val="2"/>
          <w:sz w:val="24"/>
          <w:szCs w:val="24"/>
        </w:rPr>
        <w:t xml:space="preserve">Theo GCN QSDĐ số:AA 05504555 không thể hiện vị trí diện tích đất ở và diện đất trông cây lâu năm trên sơ đồ thửa đất, Tổ thẩm định giả định phần diện tích thuộc quy hoạch đường giao thông có mục đích sử dụng là Đất trồng cây lâu năm </w:t>
      </w:r>
      <w:r>
        <w:rPr>
          <w:rFonts w:ascii="Times New Roman" w:hAnsi="Times New Roman" w:eastAsia="Times New Roman" w:cs="Times New Roman"/>
          <w:color w:val="000000"/>
          <w:spacing w:val="2"/>
          <w:sz w:val="24"/>
          <w:szCs w:val="24"/>
        </w:rPr>
        <w:t xml:space="preserve">và xác định giá trị tài sản thẩm định dựa trên giả định này. Chúng tôi bảo lưu quyền xem xét lại kết quả định giá trong trường hợp được cung cấp pháp lý thể hiện sự sai khác với giả định trên. Kính đề nghị đơn vị sử dụng kết quả lưu ý và có biện pháp kiểm </w:t>
      </w:r>
      <w:r>
        <w:rPr>
          <w:rFonts w:ascii="Times New Roman" w:hAnsi="Times New Roman" w:eastAsia="Times New Roman" w:cs="Times New Roman"/>
          <w:color w:val="000000"/>
          <w:spacing w:val="2"/>
          <w:sz w:val="24"/>
          <w:szCs w:val="24"/>
        </w:rPr>
        <w:t xml:space="preserve">tra, xác minh cụ thể hơn</w:t>
      </w:r>
      <w:r>
        <w:rPr>
          <w:rFonts w:ascii="Times New Roman" w:hAnsi="Times New Roman" w:eastAsia="Times New Roman" w:cs="Times New Roman"/>
          <w:color w:val="000000"/>
          <w:spacing w:val="2"/>
          <w:sz w:val="24"/>
          <w:szCs w:val="24"/>
        </w:rPr>
        <w:t xml:space="preserve">.</w:t>
      </w:r>
      <w:r>
        <w:rPr>
          <w:rFonts w:ascii="Times New Roman" w:hAnsi="Times New Roman" w:eastAsia="Times New Roman" w:cs="Times New Roman"/>
          <w:color w:val="000000"/>
          <w:spacing w:val="2"/>
          <w:sz w:val="24"/>
          <w:szCs w:val="24"/>
          <w14:ligatures w14:val="none"/>
        </w:rPr>
      </w:r>
      <w:r>
        <w:rPr>
          <w:rFonts w:ascii="Times New Roman" w:hAnsi="Times New Roman" w:eastAsia="Times New Roman" w:cs="Times New Roman"/>
          <w:color w:val="000000"/>
          <w:spacing w:val="2"/>
          <w:sz w:val="24"/>
          <w:szCs w:val="24"/>
          <w14:ligatures w14:val="none"/>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275/2026/0253/VFI-CT.44.A</w:t>
      </w:r>
      <w:r>
        <w:rPr>
          <w:color w:val="ff0000"/>
          <w:lang w:val="vi-VN"/>
        </w:rPr>
        <w:t xml:space="preserve"> </w:t>
      </w:r>
      <w:r>
        <w:rPr>
          <w:color w:val="000000" w:themeColor="text1"/>
        </w:rPr>
        <w:t xml:space="preserve">ngày 6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275/2026/0253/VFI-BC.44</w:t>
      </w:r>
      <w:r>
        <w:rPr>
          <w:i/>
          <w:highlight w:val="yellow"/>
        </w:rPr>
        <w:t xml:space="preserve">.A</w:t>
      </w:r>
      <w:r>
        <w:rPr>
          <w:i/>
          <w:highlight w:val="yellow"/>
          <w:lang w:val="pt-BR"/>
        </w:rPr>
        <w:t xml:space="preserve"> ngày </w:t>
      </w:r>
      <w:r>
        <w:rPr>
          <w:i/>
          <w:highlight w:val="yellow"/>
          <w:lang w:val="pt-BR"/>
        </w:rPr>
        <w:t xml:space="preserve">6 thá</w:t>
      </w:r>
      <w:r>
        <w:rPr>
          <w:i/>
          <w:lang w:val="pt-BR"/>
        </w:rPr>
        <w:t xml:space="preserve">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47003" cy="36600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81024" name=""/>
                              <pic:cNvPicPr>
                                <a:picLocks noChangeAspect="1"/>
                              </pic:cNvPicPr>
                              <pic:nvPr/>
                            </pic:nvPicPr>
                            <pic:blipFill rotWithShape="1">
                              <a:blip r:embed="rId20"/>
                              <a:stretch/>
                            </pic:blipFill>
                            <pic:spPr bwMode="auto">
                              <a:xfrm flipH="0" flipV="0">
                                <a:off x="0" y="0"/>
                                <a:ext cx="1647002" cy="3660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9.69pt;height:288.1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84559" cy="238841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14244" name=""/>
                              <pic:cNvPicPr>
                                <a:picLocks noChangeAspect="1"/>
                              </pic:cNvPicPr>
                              <pic:nvPr/>
                            </pic:nvPicPr>
                            <pic:blipFill rotWithShape="1">
                              <a:blip r:embed="rId21"/>
                              <a:stretch/>
                            </pic:blipFill>
                            <pic:spPr bwMode="auto">
                              <a:xfrm flipH="0" flipV="0">
                                <a:off x="0" y="0"/>
                                <a:ext cx="3184558" cy="2388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0.75pt;height:188.0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9026" cy="182926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16068" name=""/>
                              <pic:cNvPicPr>
                                <a:picLocks noChangeAspect="1"/>
                              </pic:cNvPicPr>
                              <pic:nvPr/>
                            </pic:nvPicPr>
                            <pic:blipFill rotWithShape="1">
                              <a:blip r:embed="rId22"/>
                              <a:stretch/>
                            </pic:blipFill>
                            <pic:spPr bwMode="auto">
                              <a:xfrm flipH="0" flipV="0">
                                <a:off x="0" y="0"/>
                                <a:ext cx="2439025" cy="1829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2.05pt;height:144.0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7417" cy="18280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37475" name=""/>
                              <pic:cNvPicPr>
                                <a:picLocks noChangeAspect="1"/>
                              </pic:cNvPicPr>
                              <pic:nvPr/>
                            </pic:nvPicPr>
                            <pic:blipFill rotWithShape="1">
                              <a:blip r:embed="rId23"/>
                              <a:stretch/>
                            </pic:blipFill>
                            <pic:spPr bwMode="auto">
                              <a:xfrm flipH="0" flipV="0">
                                <a:off x="0" y="0"/>
                                <a:ext cx="2437417" cy="18280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1.92pt;height:143.9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3053" cy="18397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12517" name=""/>
                              <pic:cNvPicPr>
                                <a:picLocks noChangeAspect="1"/>
                              </pic:cNvPicPr>
                              <pic:nvPr/>
                            </pic:nvPicPr>
                            <pic:blipFill rotWithShape="1">
                              <a:blip r:embed="rId24"/>
                              <a:stretch/>
                            </pic:blipFill>
                            <pic:spPr bwMode="auto">
                              <a:xfrm flipH="0" flipV="0">
                                <a:off x="0" y="0"/>
                                <a:ext cx="2453053" cy="1839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3.15pt;height:144.87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36851" cy="19026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81022" name=""/>
                              <pic:cNvPicPr>
                                <a:picLocks noChangeAspect="1"/>
                              </pic:cNvPicPr>
                              <pic:nvPr/>
                            </pic:nvPicPr>
                            <pic:blipFill rotWithShape="1">
                              <a:blip r:embed="rId25"/>
                              <a:stretch/>
                            </pic:blipFill>
                            <pic:spPr bwMode="auto">
                              <a:xfrm flipH="0" flipV="0">
                                <a:off x="0" y="0"/>
                                <a:ext cx="2536850" cy="1902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75pt;height:149.8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highlight w:val="none"/>
        </w:rPr>
      </w:pPr>
      <w:r>
        <mc:AlternateContent>
          <mc:Choice Requires="wpg">
            <w:drawing>
              <wp:inline xmlns:wp="http://schemas.openxmlformats.org/drawingml/2006/wordprocessingDrawing" distT="0" distB="0" distL="0" distR="0">
                <wp:extent cx="5206392" cy="92525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39472" name=""/>
                        <pic:cNvPicPr>
                          <a:picLocks noChangeAspect="1"/>
                        </pic:cNvPicPr>
                        <pic:nvPr/>
                      </pic:nvPicPr>
                      <pic:blipFill rotWithShape="1">
                        <a:blip r:embed="rId26"/>
                        <a:stretch/>
                      </pic:blipFill>
                      <pic:spPr bwMode="auto">
                        <a:xfrm>
                          <a:off x="0" y="0"/>
                          <a:ext cx="5206391"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9.95pt;height:728.55pt;mso-wrap-distance-left:0.00pt;mso-wrap-distance-top:0.00pt;mso-wrap-distance-right:0.00pt;mso-wrap-distance-bottom:0.00pt;z-index:1;" stroked="false">
                <v:imagedata r:id="rId26" o:title=""/>
                <o:lock v:ext="edit" rotation="t"/>
              </v:shape>
            </w:pict>
          </mc:Fallback>
        </mc:AlternateContent>
      </w:r>
      <w:r>
        <w:br w:type="page" w:clear="all"/>
      </w:r>
      <w:r>
        <w:rPr>
          <w:highlight w:val="none"/>
        </w:rPr>
      </w:r>
      <w:r>
        <w:rPr>
          <w:highlight w:val="none"/>
        </w:rPr>
      </w:r>
    </w:p>
    <w:p>
      <w:pPr>
        <w:pBdr/>
        <w:spacing/>
        <w:ind/>
        <w:rPr/>
      </w:pPr>
      <w:r>
        <w:rPr>
          <w:highlight w:val="none"/>
        </w:rPr>
      </w:r>
      <w:r>
        <mc:AlternateContent>
          <mc:Choice Requires="wpg">
            <w:drawing>
              <wp:inline xmlns:wp="http://schemas.openxmlformats.org/drawingml/2006/wordprocessingDrawing" distT="0" distB="0" distL="0" distR="0">
                <wp:extent cx="5206392" cy="92525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22090" name=""/>
                        <pic:cNvPicPr>
                          <a:picLocks noChangeAspect="1"/>
                        </pic:cNvPicPr>
                        <pic:nvPr/>
                      </pic:nvPicPr>
                      <pic:blipFill rotWithShape="1">
                        <a:blip r:embed="rId27"/>
                        <a:stretch/>
                      </pic:blipFill>
                      <pic:spPr bwMode="auto">
                        <a:xfrm>
                          <a:off x="0" y="0"/>
                          <a:ext cx="5206391"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9.95pt;height:728.55pt;mso-wrap-distance-left:0.00pt;mso-wrap-distance-top:0.00pt;mso-wrap-distance-right:0.00pt;mso-wrap-distance-bottom:0.00pt;z-index:1;" stroked="false">
                <v:imagedata r:id="rId27" o:title=""/>
                <o:lock v:ext="edit" rotation="t"/>
              </v:shape>
            </w:pict>
          </mc:Fallback>
        </mc:AlternateContent>
      </w:r>
      <w:r>
        <w:rPr>
          <w:highlight w:val="none"/>
        </w:rPr>
      </w:r>
      <w:r/>
    </w:p>
    <w:p>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275/2026/0253/VFI-BC.</w:t>
      </w:r>
      <w:r>
        <w:rPr>
          <w:i/>
          <w:highlight w:val="yellow"/>
        </w:rPr>
        <w:t xml:space="preserve">44.A</w:t>
      </w:r>
      <w:r>
        <w:rPr>
          <w:i/>
          <w:highlight w:val="yellow"/>
          <w:lang w:val="pt-BR"/>
        </w:rPr>
        <w:t xml:space="preserve"> </w:t>
      </w:r>
      <w:r>
        <w:rPr>
          <w:i/>
          <w:highlight w:val="yellow"/>
          <w:lang w:val="pt-BR"/>
        </w:rPr>
        <w:t xml:space="preserve">6 th</w:t>
      </w:r>
      <w:r>
        <w:rPr>
          <w:i/>
          <w:lang w:val="pt-BR"/>
        </w:rPr>
        <w:t xml:space="preserve">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https://www.facebook.com/share/p/1Da5fKmLF9/</w:t>
            </w:r>
            <w:r>
              <w:rPr>
                <w:color w:val="000000" w:themeColor="text1"/>
                <w:sz w:val="22"/>
                <w:szCs w:val="22"/>
              </w:rPr>
              <w:br/>
              <w:t xml:space="preserve">0974517386</w:t>
            </w:r>
            <w:r>
              <w:rPr>
                <w:sz w:val="22"/>
                <w:szCs w:val="22"/>
              </w:rPr>
              <w:t xml:space="preserve"> </w:t>
            </w:r>
            <w:r>
              <w:rPr>
                <w:sz w:val="22"/>
                <w:szCs w:val="22"/>
              </w:rPr>
              <w:br/>
              <w:t xml:space="preserve">(Bùi Ngọc 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Yên Thế, Thành phố Hà Nội, khoảng cách ra đường chính 1m, độ rộng đường trước mặt tài sản 5m, mặt tiền 5m, 1, 21.193123443298777, 105.64795467257358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26052" cy="25648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50018521" name="" descr=""/>
                              <pic:cNvPicPr/>
                              <pic:nvPr/>
                            </pic:nvPicPr>
                            <pic:blipFill rotWithShape="1">
                              <a:blip r:embed="rId28"/>
                              <a:stretch/>
                            </pic:blipFill>
                            <pic:spPr bwMode="auto">
                              <a:xfrm flipH="0" flipV="0">
                                <a:off x="0" y="0"/>
                                <a:ext cx="3726051" cy="2564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93.39pt;height:201.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https://www.facebook.com/share/p/17wV3dk3ai/</w:t>
            </w:r>
            <w:r>
              <w:rPr>
                <w:color w:val="000000" w:themeColor="text1"/>
                <w:sz w:val="22"/>
                <w:szCs w:val="22"/>
              </w:rPr>
              <w:br/>
              <w:t xml:space="preserve">0969 488 683</w:t>
            </w:r>
            <w:r>
              <w:rPr>
                <w:sz w:val="22"/>
                <w:szCs w:val="22"/>
              </w:rPr>
              <w:t xml:space="preserve"> </w:t>
            </w:r>
            <w:r>
              <w:rPr>
                <w:sz w:val="22"/>
                <w:szCs w:val="22"/>
              </w:rPr>
              <w:br/>
              <w:t xml:space="preserve">(Hữu Bính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Liên Mạc, Huyện Mê Linh, Thành phố Hà Nội, độ rộng đường trước mặt tài sản 5m, mặt tiền 5.7m, 1, 21.194173777119357, 105.64539584517337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Lô góc, 02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6048375" cy="342339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1116" name=""/>
                              <pic:cNvPicPr>
                                <a:picLocks noChangeAspect="1"/>
                              </pic:cNvPicPr>
                              <pic:nvPr/>
                            </pic:nvPicPr>
                            <pic:blipFill rotWithShape="1">
                              <a:blip r:embed="rId29"/>
                              <a:stretch/>
                            </pic:blipFill>
                            <pic:spPr bwMode="auto">
                              <a:xfrm>
                                <a:off x="0" y="0"/>
                                <a:ext cx="6048374" cy="34233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69.56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5143500" cy="91440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01287" name=""/>
                              <pic:cNvPicPr>
                                <a:picLocks noChangeAspect="1"/>
                              </pic:cNvPicPr>
                              <pic:nvPr/>
                            </pic:nvPicPr>
                            <pic:blipFill rotWithShape="1">
                              <a:blip r:embed="rId30"/>
                              <a:stretch/>
                            </pic:blipFill>
                            <pic:spPr bwMode="auto">
                              <a:xfrm>
                                <a:off x="0" y="0"/>
                                <a:ext cx="5143500" cy="9144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5.00pt;height:720.00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71242"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https://alonhadat.com.vn/ban-dat-dau-gia-tai-xa-mac-lien-mac-me-linh-ha-noi-cam-ket-bao-dung-gia-chu-thu-16573950.html</w:t>
            </w:r>
            <w:r>
              <w:rPr>
                <w:color w:val="000000" w:themeColor="text1"/>
                <w:sz w:val="22"/>
                <w:szCs w:val="22"/>
              </w:rPr>
              <w:br/>
            </w:r>
            <w:r>
              <w:rPr>
                <w:sz w:val="22"/>
                <w:szCs w:val="22"/>
              </w:rPr>
              <w:t xml:space="preserve">SĐT: </w:t>
            </w:r>
            <w:r>
              <w:rPr>
                <w:color w:val="000000" w:themeColor="text1"/>
                <w:sz w:val="22"/>
                <w:szCs w:val="22"/>
              </w:rPr>
              <w:t xml:space="preserve">0988.994.012</w:t>
            </w:r>
            <w:r>
              <w:rPr>
                <w:sz w:val="22"/>
                <w:szCs w:val="22"/>
              </w:rPr>
              <w:t xml:space="preserve"> </w:t>
            </w:r>
            <w:r>
              <w:rPr>
                <w:sz w:val="22"/>
                <w:szCs w:val="22"/>
              </w:rPr>
              <w:br/>
              <w:t xml:space="preserve">(Hà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6.042.000.000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5.437.800.000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Liên Mạc, Huyện Mê Linh, Thành phố Hà Nội, độ rộng đường trước mặt tài sản 7m, mặt tiền 5m, 21.191178430422042, 105.64726065099097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3450885" cy="223614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04238" name=""/>
                              <pic:cNvPicPr>
                                <a:picLocks noChangeAspect="1"/>
                              </pic:cNvPicPr>
                              <pic:nvPr/>
                            </pic:nvPicPr>
                            <pic:blipFill rotWithShape="1">
                              <a:blip r:embed="rId32"/>
                              <a:stretch/>
                            </pic:blipFill>
                            <pic:spPr bwMode="auto">
                              <a:xfrm flipH="0" flipV="0">
                                <a:off x="0" y="0"/>
                                <a:ext cx="3450884" cy="2236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1.72pt;height:176.07pt;mso-wrap-distance-left:0.00pt;mso-wrap-distance-top:0.00pt;mso-wrap-distance-right:0.00pt;mso-wrap-distance-bottom:0.00pt;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6048375" cy="428111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11202" name=""/>
                              <pic:cNvPicPr>
                                <a:picLocks noChangeAspect="1"/>
                              </pic:cNvPicPr>
                              <pic:nvPr/>
                            </pic:nvPicPr>
                            <pic:blipFill rotWithShape="1">
                              <a:blip r:embed="rId33"/>
                              <a:stretch/>
                            </pic:blipFill>
                            <pic:spPr bwMode="auto">
                              <a:xfrm>
                                <a:off x="0" y="0"/>
                                <a:ext cx="6048374" cy="4281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37.10pt;mso-wrap-distance-left:0.00pt;mso-wrap-distance-top:0.00pt;mso-wrap-distance-right:0.00pt;mso-wrap-distance-bottom:0.00pt;z-index:1;" stroked="false">
                      <v:imagedata r:id="rId33"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17468"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2-09T15:18:50Z" w:initials="NTTD">
    <w:p w14:paraId="00000001" w14:textId="00000001">
      <w:pPr>
        <w:spacing w:line="240" w:after="0" w:lineRule="auto" w:before="0"/>
        <w:ind w:firstLine="0" w:left="0" w:right="0"/>
        <w:jc w:val="left"/>
      </w:pPr>
      <w:r>
        <w:rPr>
          <w:rFonts w:eastAsia="Arial" w:ascii="Arial" w:hAnsi="Arial" w:cs="Arial"/>
          <w:sz w:val="22"/>
        </w:rPr>
        <w:t xml:space="preserve">sai ngày</w:t>
      </w:r>
    </w:p>
  </w:comment>
  <w:comment w:id="0" w:author="Nguyễn Thị Thùy Dương" w:date="2026-02-09T15:13:37Z" w:initials="NTTD">
    <w:p w14:paraId="00000002" w14:textId="00000002">
      <w:pPr>
        <w:spacing w:line="240" w:after="0" w:lineRule="auto" w:before="0"/>
        <w:ind w:firstLine="0" w:left="0" w:right="0"/>
        <w:jc w:val="left"/>
      </w:pPr>
      <w:r>
        <w:rPr>
          <w:rFonts w:eastAsia="Arial" w:ascii="Arial" w:hAnsi="Arial" w:cs="Arial"/>
          <w:sz w:val="22"/>
        </w:rPr>
        <w:t xml:space="preserve">Bổ sung giả thiết phần quy hoạch lalf đất cây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DA7884" w16cex:dateUtc="2026-02-09T08:18:50Z"/>
  <w16cex:commentExtensible w16cex:durableId="08990A3B" w16cex:dateUtc="2026-02-09T08:13:3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3DA7884"/>
  <w16cid:commentId w16cid:paraId="00000002" w16cid:durableId="08990A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C68D730"/>
    <w:lvl w:ilvl="0">
      <w:isLgl w:val="false"/>
      <w:lvlJc w:val="left"/>
      <w:lvlText w:val="-"/>
      <w:numFmt w:val="bullet"/>
      <w:pPr>
        <w:pBdr/>
        <w:spacing/>
        <w:ind w:hanging="360" w:left="63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600C1A3"/>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ACFC18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ha-noi-nhung-khu-vuc-dang-co-giao-dich-bat-dong-san-tho-cu-soi-dong-172251109095521919.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jp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277</cp:revision>
  <dcterms:created xsi:type="dcterms:W3CDTF">2025-09-15T09:58:00Z</dcterms:created>
  <dcterms:modified xsi:type="dcterms:W3CDTF">2026-03-30T08:06:13Z</dcterms:modified>
</cp:coreProperties>
</file>