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35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35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275/2026/0220/VFI-CT.53.A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CHI NHÁNH HƯNG YÊN II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213, tờ bản đồ số: 14 có địa chỉ: Thô</w:t>
                            </w:r>
                            <w:r>
                              <w:rPr>
                                <w:color w:val="000000"/>
                              </w:rPr>
                              <w:t xml:space="preserve">n Đốn</w:t>
                            </w:r>
                            <w:r>
                              <w:rPr>
                                <w:color w:val="000000"/>
                              </w:rPr>
                              <w:t xml:space="preserve">g Thanh- Xã Hưng Long- Huyện Mỹ Hào- Tỉnh Hưng Yên (Nay là phường Đường Hào, Tỉnh Hưng Yên) theo Giấy chứng nhận quyền sử dụng đất số: AC 263425, số vào sổ cấp GCN: H 000436 do Ủy ba</w:t>
                            </w:r>
                            <w:r>
                              <w:rPr>
                                <w:color w:val="000000"/>
                              </w:rPr>
                              <w:t xml:space="preserve">n Nhân </w:t>
                            </w:r>
                            <w:r>
                              <w:rPr>
                                <w:color w:val="000000"/>
                              </w:rPr>
                              <w:t xml:space="preserve">dân huyện Mỹ Hào cấp ngày 05/07/2006 cho  Ông Bùi Văn Đích và Bà Nguyễn Thị Đông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275/2026/0220/VFI-CT.53.A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CHI NHÁNH HƯNG YÊN II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213, tờ bản đồ số: 14 có địa chỉ: Thô</w:t>
                      </w:r>
                      <w:r>
                        <w:rPr>
                          <w:color w:val="000000"/>
                        </w:rPr>
                        <w:t xml:space="preserve">n Đốn</w:t>
                      </w:r>
                      <w:r>
                        <w:rPr>
                          <w:color w:val="000000"/>
                        </w:rPr>
                        <w:t xml:space="preserve">g Thanh- Xã Hưng Long- Huyện Mỹ Hào- Tỉnh Hưng Yên (Nay là phường Đường Hào, Tỉnh Hưng Yên) theo Giấy chứng nhận quyền sử dụng đất số: AC 263425, số vào sổ cấp GCN: H 000436 do Ủy ba</w:t>
                      </w:r>
                      <w:r>
                        <w:rPr>
                          <w:color w:val="000000"/>
                        </w:rPr>
                        <w:t xml:space="preserve">n Nhân </w:t>
                      </w:r>
                      <w:r>
                        <w:rPr>
                          <w:color w:val="000000"/>
                        </w:rPr>
                        <w:t xml:space="preserve">dân huyện Mỹ Hào cấp ngày 05/07/2006 cho  Ông Bùi Văn Đích và Bà Nguyễn Thị Đông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t xml:space="preserve">để</w: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866"/>
        <w:gridCol w:w="11692"/>
      </w:tblGrid>
      <w:tr>
        <w:trPr>
          <w:trHeight w:val="1152"/>
        </w:trPr>
        <w:tc>
          <w:tcPr>
            <w:gridSpan w:val="2"/>
            <w:tcBorders/>
            <w:tcW w:w="272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69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275/2026/0220/VFI-CT.53.A</w:t>
            </w:r>
            <w:r>
              <w:rPr>
                <w:color w:val="000000" w:themeColor="text1"/>
                <w:sz w:val="24"/>
                <w:szCs w:val="24"/>
              </w:rPr>
            </w:r>
            <w:r>
              <w:rPr>
                <w:color w:val="000000" w:themeColor="text1"/>
                <w:sz w:val="24"/>
                <w:szCs w:val="24"/>
              </w:rPr>
            </w:r>
          </w:p>
          <w:p>
            <w:pPr>
              <w:pStyle w:val="1030"/>
              <w:pBdr/>
              <w:spacing w:after="60"/>
              <w:ind w:right="-56"/>
              <w:jc w:val="center"/>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1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CHI NHÁNH HƯNG YÊN II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275/2026/0220/VFI-HĐTĐ.53.A</w:t>
      </w:r>
      <w:r>
        <w:rPr>
          <w:spacing w:val="-4"/>
          <w:lang w:val="vi-VN"/>
        </w:rPr>
        <w:t xml:space="preserve"> ký ngày </w:t>
      </w:r>
      <w:r>
        <w:rPr>
          <w:color w:val="000000" w:themeColor="text1"/>
          <w:spacing w:val="-4"/>
        </w:rPr>
        <w:t xml:space="preserve">26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CHI NHÁNH HƯNG YÊN II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275/2026/0220/VFI-BC.53.A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b/>
                <w:bCs/>
                <w:color w:val="000000" w:themeColor="text1"/>
              </w:rPr>
            </w:pPr>
            <w:r>
              <w:rPr>
                <w:b/>
                <w:bCs/>
                <w:color w:val="000000" w:themeColor="text1"/>
              </w:rPr>
            </w:r>
            <w:r>
              <w:rPr>
                <w:b/>
                <w:bCs/>
                <w:color w:val="000000" w:themeColor="text1"/>
                <w:spacing w:val="-4"/>
              </w:rPr>
              <w:t xml:space="preserve">NGÂN HÀNG NÔNG NGHIỆP VÀ PHÁT TRIỂN NÔNG THÔN VIỆT NAM- CHI NHÁNH HƯNG YÊN II</w:t>
            </w:r>
            <w:r>
              <w:rPr>
                <w:b/>
                <w:bCs/>
                <w:color w:val="000000" w:themeColor="text1"/>
              </w:rPr>
              <w:t xml:space="preserve"> </w:t>
            </w:r>
            <w:r>
              <w:rPr>
                <w:b/>
                <w:bCs/>
                <w:color w:val="000000" w:themeColor="text1"/>
              </w:rPr>
            </w:r>
            <w:r>
              <w:rPr>
                <w:b/>
                <w:bCs/>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color w:val="000000" w:themeColor="text1"/>
                <w:lang w:val="vi-VN"/>
              </w:rPr>
            </w:r>
            <w:r>
              <w:rPr>
                <w:rFonts w:ascii="Times New Roman" w:hAnsi="Times New Roman" w:eastAsia="Times New Roman" w:cs="Times New Roman"/>
                <w:color w:val="000000" w:themeColor="text1"/>
                <w:spacing w:val="3"/>
                <w:sz w:val="24"/>
                <w:szCs w:val="24"/>
                <w:highlight w:val="white"/>
              </w:rPr>
              <w:t xml:space="preserve">0100686174-085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b/>
                <w:bCs/>
                <w:color w:val="000000" w:themeColor="text1"/>
              </w:rPr>
            </w:pPr>
            <w:r>
              <w:rPr>
                <w:b/>
                <w:bCs/>
                <w:color w:val="000000" w:themeColor="text1"/>
                <w:lang w:val="pt-BR"/>
              </w:rPr>
              <w:t xml:space="preserve">Ông Vũ Xuân Ngạn               Chức vụ: Giám đốc</w:t>
            </w:r>
            <w:r>
              <w:rPr>
                <w:b/>
                <w:bCs/>
                <w:color w:val="000000" w:themeColor="text1"/>
              </w:rPr>
            </w:r>
            <w:r>
              <w:rPr>
                <w:b/>
                <w:bCs/>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color w:val="000000" w:themeColor="text1"/>
                <w:lang w:val="vi-VN"/>
              </w:rPr>
            </w:r>
            <w:r>
              <w:rPr>
                <w:rFonts w:ascii="Times New Roman" w:hAnsi="Times New Roman" w:eastAsia="Times New Roman" w:cs="Times New Roman"/>
                <w:color w:val="000000" w:themeColor="text1"/>
                <w:spacing w:val="3"/>
                <w:sz w:val="24"/>
                <w:szCs w:val="24"/>
                <w:highlight w:val="white"/>
              </w:rPr>
              <w:t xml:space="preserve">Agribank CN Hưng Yên II, Nguyễn Văn Linh, Phường Mỹ Hào,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213, tờ bản đồ số: 14 có địa chỉ: Thô</w:t>
      </w:r>
      <w:r>
        <w:rPr>
          <w:color w:val="000000"/>
        </w:rPr>
        <w:t xml:space="preserve">n Đốn</w:t>
      </w:r>
      <w:r>
        <w:rPr>
          <w:color w:val="000000"/>
        </w:rPr>
        <w:t xml:space="preserve">g Thanh- Xã Hưng Long- Huyện Mỹ Hào- Tỉnh Hưng Yên (Nay là phường Đường Hào, Tỉnh Hưng Yên) theo Giấy chứng nhận quyền sử dụng đất số: AC 263425, số vào sổ cấp GCN: H 000436 do Ủy ba</w:t>
      </w:r>
      <w:r>
        <w:rPr>
          <w:color w:val="000000"/>
        </w:rPr>
        <w:t xml:space="preserve">n Nhân </w:t>
      </w:r>
      <w:r>
        <w:rPr>
          <w:color w:val="000000"/>
        </w:rPr>
        <w:t xml:space="preserve">dân huyện Mỹ Hào cấp ngày 05/07/2006 cho  Ông Bùi Văn Đích và Bà Nguyễn Thị Đông</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0"/>
        <w:jc w:val="both"/>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rFonts w:ascii="Times New Roman" w:hAnsi="Times New Roman" w:eastAsia="Times New Roman" w:cs="Times New Roman"/>
          <w:color w:val="000000"/>
          <w:sz w:val="24"/>
        </w:rPr>
        <w:t xml:space="preserve">Kết quả thẩm định giá để tham khảo giá trị tài sản phục vụ công tác xử lý nợ hoặc xử lý tài sản theo quy định của pháp luật.</w:t>
      </w:r>
      <w:r>
        <w:rPr>
          <w:rFonts w:ascii="Times New Roman" w:hAnsi="Times New Roman" w:eastAsia="Times New Roman" w:cs="Times New Roman"/>
          <w:sz w:val="24"/>
        </w:rPr>
      </w: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902"/>
        <w:gridCol w:w="1559"/>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902"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b/>
                <w:bCs/>
                <w:color w:val="000000"/>
                <w:highlight w:val="white"/>
              </w:rPr>
              <w:t xml:space="preserve">Quyền sử dụng đất tại thửa đất số: 213, tờ bản đồ số: 14 có địa chỉ: Thô</w:t>
            </w:r>
            <w:r>
              <w:rPr>
                <w:b/>
                <w:bCs/>
                <w:color w:val="000000"/>
                <w:highlight w:val="white"/>
              </w:rPr>
              <w:t xml:space="preserve">n Đốn</w:t>
            </w:r>
            <w:r>
              <w:rPr>
                <w:b/>
                <w:bCs/>
                <w:color w:val="000000"/>
                <w:highlight w:val="white"/>
              </w:rPr>
              <w:t xml:space="preserve">g Thanh- Xã Hưng Long- Huyện Mỹ Hào- Tỉnh Hưng Yên (Nay là phường Đường Hào, Tỉnh Hưng Yên) theo Giấy chứng nhận quyền sử dụng đất số: AC 263425, số vào sổ cấp GCN: H 000436 do </w:t>
            </w:r>
            <w:r>
              <w:rPr>
                <w:b/>
                <w:bCs/>
                <w:color w:val="000000"/>
                <w:highlight w:val="white"/>
              </w:rPr>
              <w:t xml:space="preserve">Ủy ban Nhân dân huyện Mỹ Hào </w:t>
            </w:r>
            <w:r>
              <w:rPr>
                <w:b/>
                <w:bCs/>
                <w:color w:val="000000"/>
                <w:highlight w:val="white"/>
              </w:rPr>
              <w:t xml:space="preserve">cấp ngày 05/07/2006 cho  Ông Bùi Văn Đích và Bà Nguyễn Thị Đông</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902"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285</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16.800.000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4.788.000.000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4.788.000.000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bảy trăm tám mươi tám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275/2026/0220/VFI-</w:t>
            </w:r>
            <w:r>
              <w:rPr>
                <w:rStyle w:val="1029"/>
                <w:rFonts w:ascii="Times New Roman" w:hAnsi="Times New Roman"/>
                <w:color w:val="000000" w:themeColor="text1"/>
                <w:lang w:val="pt-BR"/>
              </w:rPr>
              <w:t xml:space="preserve">BC.53.A</w:t>
            </w:r>
            <w:r>
              <w:rPr>
                <w:color w:val="000000" w:themeColor="text1"/>
                <w:sz w:val="24"/>
                <w:szCs w:val="24"/>
              </w:rPr>
            </w:r>
            <w:r>
              <w:rPr>
                <w:color w:val="000000" w:themeColor="text1"/>
                <w:sz w:val="24"/>
                <w:szCs w:val="24"/>
              </w:rPr>
            </w:r>
          </w:p>
          <w:p>
            <w:pPr>
              <w:pStyle w:val="1030"/>
              <w:pBdr/>
              <w:spacing w:after="60"/>
              <w:ind w:right="-56"/>
              <w:jc w:val="center"/>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27 tháng 1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275/2026/0220/VFI-CT.53.A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b/>
                <w:bCs/>
                <w:color w:val="000000" w:themeColor="text1"/>
              </w:rPr>
            </w:pPr>
            <w:r>
              <w:rPr>
                <w:b/>
                <w:bCs/>
                <w:color w:val="000000" w:themeColor="text1"/>
              </w:rPr>
            </w:r>
            <w:r>
              <w:rPr>
                <w:b/>
                <w:bCs/>
                <w:color w:val="000000" w:themeColor="text1"/>
                <w:spacing w:val="-4"/>
              </w:rPr>
              <w:t xml:space="preserve">NGÂN HÀNG NÔNG NGHIỆP VÀ PHÁT TRIỂN NÔNG THÔN VIỆT NAM- CHI NHÁNH HƯNG YÊN II</w:t>
            </w:r>
            <w:r>
              <w:rPr>
                <w:b/>
                <w:bCs/>
                <w:color w:val="000000" w:themeColor="text1"/>
              </w:rPr>
              <w:t xml:space="preserve"> </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color w:val="000000" w:themeColor="text1"/>
                <w:lang w:val="vi-VN"/>
              </w:rPr>
            </w:r>
            <w:r>
              <w:rPr>
                <w:rFonts w:ascii="Times New Roman" w:hAnsi="Times New Roman" w:eastAsia="Times New Roman" w:cs="Times New Roman"/>
                <w:color w:val="000000" w:themeColor="text1"/>
                <w:spacing w:val="3"/>
                <w:sz w:val="24"/>
                <w:szCs w:val="24"/>
                <w:highlight w:val="white"/>
              </w:rPr>
              <w:t xml:space="preserve">0100686174-085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b/>
                <w:bCs/>
                <w:color w:val="000000" w:themeColor="text1"/>
              </w:rPr>
            </w:pPr>
            <w:r>
              <w:rPr>
                <w:b/>
                <w:bCs/>
                <w:color w:val="000000" w:themeColor="text1"/>
                <w:lang w:val="pt-BR"/>
              </w:rPr>
              <w:t xml:space="preserve">Ông Vũ Xuân Ngạn               Chức vụ: 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color w:val="000000" w:themeColor="text1"/>
                <w:lang w:val="vi-VN"/>
              </w:rPr>
            </w:r>
            <w:r>
              <w:rPr>
                <w:rFonts w:ascii="Times New Roman" w:hAnsi="Times New Roman" w:eastAsia="Times New Roman" w:cs="Times New Roman"/>
                <w:color w:val="000000" w:themeColor="text1"/>
                <w:spacing w:val="3"/>
                <w:sz w:val="24"/>
                <w:szCs w:val="24"/>
                <w:highlight w:val="white"/>
              </w:rPr>
              <w:t xml:space="preserve">Agribank CN Hưng Yên II, Nguyễn Văn Linh, Phường Mỹ Hào,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213, tờ bản đồ số: 14 có địa chỉ: Thô</w:t>
            </w:r>
            <w:r>
              <w:rPr>
                <w:color w:val="000000"/>
              </w:rPr>
              <w:t xml:space="preserve">n Đốn</w:t>
            </w:r>
            <w:r>
              <w:rPr>
                <w:color w:val="000000"/>
              </w:rPr>
              <w:t xml:space="preserve">g Thanh- Xã Hưng Long- Huyện Mỹ Hào- Tỉnh Hưng Yên (Nay là phường Đường Hào, Tỉnh Hưng Yên) theo Giấy chứng nhận quyền sử dụng đất số: AC 263425, số vào sổ cấp GCN: H 000436 do Ủy </w:t>
            </w:r>
            <w:r>
              <w:rPr>
                <w:color w:val="000000"/>
                <w:highlight w:val="white"/>
              </w:rPr>
              <w:t xml:space="preserve">ba</w:t>
            </w:r>
            <w:r>
              <w:rPr>
                <w:color w:val="000000"/>
                <w:highlight w:val="white"/>
              </w:rPr>
              <w:t xml:space="preserve">n Nhân dân huyện Mỹ Hào cấp</w:t>
            </w:r>
            <w:r>
              <w:rPr>
                <w:color w:val="000000"/>
                <w:highlight w:val="white"/>
              </w:rPr>
              <w:t xml:space="preserve"> n</w:t>
            </w:r>
            <w:r>
              <w:rPr>
                <w:color w:val="000000"/>
              </w:rPr>
              <w:t xml:space="preserve">gày 05/07/2006 cho  Ông Bùi Văn Đích và Bà Nguyễn Thị Đông</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yellow"/>
              </w:rPr>
            </w:pPr>
            <w:r>
              <w:rPr>
                <w:bCs/>
                <w:color w:val="000000" w:themeColor="text1"/>
                <w:spacing w:val="-4"/>
                <w:highlight w:val="yellow"/>
              </w:rPr>
            </w:r>
            <w:r>
              <w:rPr>
                <w:b/>
                <w:bCs/>
                <w:lang w:val="vi-VN"/>
              </w:rPr>
              <w:t xml:space="preserve"> </w:t>
            </w:r>
            <w:r>
              <w:rPr>
                <w:rFonts w:ascii="Times New Roman" w:hAnsi="Times New Roman" w:eastAsia="Times New Roman" w:cs="Times New Roman"/>
                <w:color w:val="000000"/>
                <w:sz w:val="24"/>
              </w:rPr>
              <w:t xml:space="preserve">Kết quả thẩm định giá để tham khảo giá trị tài sản phục vụ công tác xử lý nợ hoặc xử lý tài sản theo quy định của pháp luật.</w:t>
            </w:r>
            <w:r>
              <w:rPr>
                <w:bCs/>
                <w:spacing w:val="-4"/>
                <w:highlight w:val="yellow"/>
              </w:rPr>
            </w:r>
            <w:r>
              <w:rPr>
                <w:bCs/>
                <w:spacing w:val="-4"/>
                <w:highlight w:val="yellow"/>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highlight w:val="none"/>
                <w:lang w:val="pt-BR"/>
              </w:rPr>
            </w:pPr>
            <w:r>
              <w:rPr>
                <w:color w:val="000000" w:themeColor="text1"/>
                <w:lang w:val="pt-BR"/>
              </w:rPr>
              <w:t xml:space="preserve"> Huyện Mỹ Hào, Tỉnh Hưng Yên ( Nay là phường Đường Hào, tỉnh Hưng Yên)</w:t>
            </w:r>
            <w:r>
              <w:rPr>
                <w:color w:val="000000" w:themeColor="text1"/>
                <w:highlight w:val="none"/>
                <w:lang w:val="pt-BR"/>
              </w:rPr>
            </w:r>
            <w:r>
              <w:rPr>
                <w:color w:val="000000" w:themeColor="text1"/>
                <w:highlight w:val="none"/>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20.893833333333, 106.08958333333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số: AC 263425, số vào sổ cấp GCN: H 000436 do Ủy </w:t>
      </w:r>
      <w:r>
        <w:rPr>
          <w:color w:val="000000"/>
          <w:highlight w:val="white"/>
        </w:rPr>
        <w:t xml:space="preserve">ba</w:t>
      </w:r>
      <w:r>
        <w:rPr>
          <w:color w:val="000000"/>
          <w:highlight w:val="white"/>
        </w:rPr>
        <w:t xml:space="preserve">n Nhân dân huyện Mỹ Hào cấp</w:t>
      </w:r>
      <w:r>
        <w:rPr>
          <w:color w:val="000000"/>
          <w:highlight w:val="white"/>
        </w:rPr>
        <w:t xml:space="preserve"> n</w:t>
      </w:r>
      <w:r>
        <w:rPr>
          <w:color w:val="000000"/>
        </w:rPr>
        <w:t xml:space="preserve">gày 05/07/2006 cho  Ông Bùi Văn Đích và Bà Nguyễn Thị Đông</w:t>
      </w:r>
      <w:r>
        <w:rPr>
          <w:bCs/>
          <w:i/>
          <w:iCs/>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highlight w:val="white"/>
        </w:rPr>
      </w:pPr>
      <w:r>
        <w:rPr>
          <w:color w:val="000000" w:themeColor="text1"/>
          <w:lang w:val="pt-BR"/>
        </w:rPr>
        <w:t xml:space="preserve">Hợp đồng số 275/2026/0220/VFI-HĐTĐ.53.A ngày 26/01/2026 giữa NGÂN HÀNG NÔNG NGHIỆP VÀ PHÁT TRIỂN NÔNG THÔN VIỆT NAM- CHI NHÁNH HƯNG YÊN</w:t>
      </w:r>
      <w:r>
        <w:rPr>
          <w:color w:val="000000" w:themeColor="text1"/>
          <w:highlight w:val="white"/>
          <w:lang w:val="pt-BR"/>
        </w:rPr>
        <w:t xml:space="preserve"> </w:t>
      </w:r>
      <w:r>
        <w:rPr>
          <w:color w:val="000000" w:themeColor="text1"/>
          <w:highlight w:val="white"/>
          <w:lang w:val="pt-BR"/>
        </w:rPr>
        <w:t xml:space="preserve">II với</w:t>
      </w:r>
      <w:r>
        <w:rPr>
          <w:color w:val="000000" w:themeColor="text1"/>
          <w:highlight w:val="white"/>
          <w:lang w:val="pt-BR"/>
        </w:rPr>
        <w:t xml:space="preserve"> Công ty Cổ phần Thẩm định và Đầu tư Tài chính Hoa Sen.</w:t>
      </w:r>
      <w:r>
        <w:rPr>
          <w:b/>
          <w:highlight w:val="white"/>
        </w:rPr>
      </w:r>
      <w:r>
        <w:rPr>
          <w:b/>
          <w:highlight w:val="white"/>
        </w:rPr>
      </w:r>
    </w:p>
    <w:p>
      <w:pPr>
        <w:pStyle w:val="1031"/>
        <w:numPr>
          <w:ilvl w:val="0"/>
          <w:numId w:val="2"/>
        </w:numPr>
        <w:pBdr/>
        <w:tabs>
          <w:tab w:val="left" w:leader="none" w:pos="993"/>
        </w:tabs>
        <w:spacing w:after="120" w:before="120" w:line="276" w:lineRule="auto"/>
        <w:ind/>
        <w:jc w:val="both"/>
        <w:rPr>
          <w:b/>
          <w:highlight w:val="white"/>
        </w:rPr>
      </w:pP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lang w:val="pt-BR"/>
        </w:rPr>
        <w:tab/>
      </w:r>
      <w:r>
        <w:rPr>
          <w:rFonts w:ascii="Times New Roman" w:hAnsi="Times New Roman" w:eastAsia="Times New Roman" w:cs="Times New Roman"/>
          <w:color w:val="000000"/>
          <w:sz w:val="24"/>
        </w:rPr>
        <w:t xml:space="preserve">Việc sáp nhập hai tỉnh Hưng Yên và Thái Bình được xem là bước đi mang tính chiến lược trong quá trình sắp xếp đơn vị hành chính cấp tỉnh nhằm tinh gọn bộ máy, tối ưu hóa nguồn lực và tạo động lực phát triển vùng đồng bằng sông Hồng. Theo Nghị quyết 60-NQ/T</w:t>
      </w:r>
      <w:r>
        <w:rPr>
          <w:rFonts w:ascii="Times New Roman" w:hAnsi="Times New Roman" w:eastAsia="Times New Roman" w:cs="Times New Roman"/>
          <w:color w:val="000000"/>
          <w:sz w:val="24"/>
        </w:rPr>
        <w:t xml:space="preserve">W, từ ngày 1-7-2025, hai tỉnh sẽ hợp nhất thành một đơn vị hành chính mới mang tên tỉnh Hưng Yên, có diện tích hơn 2.500 km² và dân số khoảng 3,5 triệu người. Đây không chỉ là việc thay đổi địa giới hành chính mà còn là sự kết hợp mang tính cộng hưởng giữa</w:t>
      </w:r>
      <w:r>
        <w:rPr>
          <w:rFonts w:ascii="Times New Roman" w:hAnsi="Times New Roman" w:eastAsia="Times New Roman" w:cs="Times New Roman"/>
          <w:color w:val="000000"/>
          <w:sz w:val="24"/>
        </w:rPr>
        <w:t xml:space="preserve"> hai vùng đất giàu truyền thống văn hóa, lịch sử và tiềm năng kinh tế. Về vị trí, tỉnh mới nằm giữa hai cực tăng trưởng Hà Nội – Hải Phòng, có lợi thế lớn trong phát triển công nghiệp, logistics, dịch vụ và giao thương vùng ven biển. Việc hợp nhất giúp tận</w:t>
      </w:r>
      <w:r>
        <w:rPr>
          <w:rFonts w:ascii="Times New Roman" w:hAnsi="Times New Roman" w:eastAsia="Times New Roman" w:cs="Times New Roman"/>
          <w:color w:val="000000"/>
          <w:sz w:val="24"/>
        </w:rPr>
        <w:t xml:space="preserve"> dụng hạ tầng giao thông, nguồn nhân lực và hệ sinh thái sản xuất – tiêu dùng của cả hai địa phương, đồng thời giảm chồng chéo trong quản lý nhà nước, tiết kiệm chi phí vận hành, hướng tới mô hình quản trị tinh gọn, hiệu quả hơn. Đáng chú ý, quá trình sáp </w:t>
      </w:r>
      <w:r>
        <w:rPr>
          <w:rFonts w:ascii="Times New Roman" w:hAnsi="Times New Roman" w:eastAsia="Times New Roman" w:cs="Times New Roman"/>
          <w:color w:val="000000"/>
          <w:sz w:val="24"/>
        </w:rPr>
        <w:t xml:space="preserve">nhập nhận được sự đồng thuận rất cao của người dân: hơn 97% cử tri ở cả hai tỉnh tán thành. Đây là minh chứng rõ ràng cho thấy chủ trương sáp nhập được ủng hộ rộng rãi, thể hiện niềm tin của người dân vào triển vọng phát triển của tỉnh mới. Tuy vậy, sau kh</w:t>
      </w:r>
      <w:r>
        <w:rPr>
          <w:rFonts w:ascii="Times New Roman" w:hAnsi="Times New Roman" w:eastAsia="Times New Roman" w:cs="Times New Roman"/>
          <w:color w:val="000000"/>
          <w:sz w:val="24"/>
        </w:rPr>
        <w:t xml:space="preserve">i hợp nhất, chính quyền địa phương sẽ phải đối mặt với hàng loạt thách thức: sắp xếp lại bộ máy, điều chuyển cán bộ, chuẩn hóa hệ thống quản lý, đồng bộ hạ tầng kỹ thuật – xã hội và đảm bảo các dịch vụ công được duy trì thông suốt, ổn định.</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   Điểm đáng chú ý nhất sau khi hợp nhất là việc giữ nguyên tên “Hưng Yên” cho tỉnh mới, thay vì chọn tên khác hoặc kết hợp hai tên cũ. Quyết định này xuất phát từ nhiều yếu tố mang tính lịch sử, văn hóa và thực tiễn quản lý. “Hưng Yên” là tên gọi đã tồn t</w:t>
      </w:r>
      <w:r>
        <w:rPr>
          <w:rFonts w:ascii="Times New Roman" w:hAnsi="Times New Roman" w:eastAsia="Times New Roman" w:cs="Times New Roman"/>
          <w:color w:val="000000"/>
          <w:sz w:val="24"/>
        </w:rPr>
        <w:t xml:space="preserve">ại từ năm 1831 dưới triều vua Minh Mệnh, gắn liền với vùng đất văn hiến nổi tiếng “thứ nhất Kinh kỳ, thứ nhì Phố Hiến”. Việc giữ lại tên này giúp bảo tồn giá trị lịch sử – văn hóa, duy trì tính liên tục về mặt hành chính và tạo sự ổn định trong nhận diện đ</w:t>
      </w:r>
      <w:r>
        <w:rPr>
          <w:rFonts w:ascii="Times New Roman" w:hAnsi="Times New Roman" w:eastAsia="Times New Roman" w:cs="Times New Roman"/>
          <w:color w:val="000000"/>
          <w:sz w:val="24"/>
        </w:rPr>
        <w:t xml:space="preserve">ịa phương. Đồng thời, việc không đổi tên giúp giảm thiểu các chi phí và rủi ro hành chính phát sinh như thay đổi con dấu, giấy tờ, hồ sơ, biển hiệu, hay dữ liệu hệ thống quản lý nhà nước. Bên cạnh đó, Hưng Yên hiện có vị trí trung tâm trong vùng, cơ sở hạ </w:t>
      </w:r>
      <w:r>
        <w:rPr>
          <w:rFonts w:ascii="Times New Roman" w:hAnsi="Times New Roman" w:eastAsia="Times New Roman" w:cs="Times New Roman"/>
          <w:color w:val="000000"/>
          <w:sz w:val="24"/>
        </w:rPr>
        <w:t xml:space="preserve">tầng phát triển và khả năng kết nối thuận lợi với Hà Nội, Hải Dương, Bắc Ninh và Hải Phòng, phù hợp để đặt trụ sở hành chính tỉnh mới. Ngoài ra, thương hiệu “Hưng Yên” đã được định vị mạnh trong nhiều lĩnh vực – từ công nghiệp, giáo dục, đến nông sản đặc t</w:t>
      </w:r>
      <w:r>
        <w:rPr>
          <w:rFonts w:ascii="Times New Roman" w:hAnsi="Times New Roman" w:eastAsia="Times New Roman" w:cs="Times New Roman"/>
          <w:color w:val="000000"/>
          <w:sz w:val="24"/>
        </w:rPr>
        <w:t xml:space="preserve">rưng – giúp tăng khả năng thu hút đầu tư, quảng bá hình ảnh địa phương và duy trì sức hút phát triển kinh tế vùng. Do đó, việc giữ tên “Hưng Yên” không mang tính thiên vị mà là lựa chọn tối ưu, vừa tôn trọng lịch sử, vừa đảm bảo hiệu quả thực tế. Quan trọn</w:t>
      </w:r>
      <w:r>
        <w:rPr>
          <w:rFonts w:ascii="Times New Roman" w:hAnsi="Times New Roman" w:eastAsia="Times New Roman" w:cs="Times New Roman"/>
          <w:color w:val="000000"/>
          <w:sz w:val="24"/>
        </w:rPr>
        <w:t xml:space="preserve">g hơn, tên gọi này cần được hiểu như biểu tượng cho sự hòa hợp và phát triển chung của cả hai vùng, nơi người dân Thái Bình và Hưng Yên cùng đồng lòng xây dựng một tỉnh mới thịnh vượng, hiện đại, gìn giữ bản sắc nhưng hướng tới tương lai bền vững.</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center"/>
        <w:rPr/>
      </w:pPr>
      <w:r>
        <w:rPr>
          <w:rFonts w:ascii="Times New Roman" w:hAnsi="Times New Roman" w:eastAsia="Times New Roman" w:cs="Times New Roman"/>
          <w:i/>
          <w:color w:val="000000"/>
          <w:sz w:val="24"/>
        </w:rPr>
        <w:t xml:space="preserve">(Nguồn tham khảo: https://onehousing.vn/blog/sap-nhap-hung-yen-thai-binh-tai-sao-tinh-moi-van-giu-ten-hung-yen-n17t)</w:t>
      </w:r>
      <w:r/>
    </w:p>
    <w:p>
      <w:pPr>
        <w:pBdr/>
        <w:tabs>
          <w:tab w:val="left" w:leader="none" w:pos="426"/>
        </w:tabs>
        <w:spacing w:after="120" w:before="120" w:line="276" w:lineRule="auto"/>
        <w:ind/>
        <w:rPr>
          <w:bCs/>
          <w:i/>
          <w:lang w:val="pt-BR"/>
        </w:rPr>
      </w:pPr>
      <w:r>
        <w:rPr>
          <w:lang w:val="pt-BR"/>
        </w:rPr>
      </w:r>
      <w:r>
        <w:rPr>
          <w:bCs/>
          <w:i/>
          <w:lang w:val="pt-BR"/>
        </w:rPr>
      </w:r>
      <w:r>
        <w:rPr>
          <w:bCs/>
          <w:i/>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highlight w:val="white"/>
              </w:rPr>
            </w:pPr>
            <w:r>
              <w:rPr>
                <w:b/>
                <w:bCs/>
                <w:color w:val="000000"/>
                <w:highlight w:val="white"/>
              </w:rPr>
            </w:r>
            <w:r>
              <w:rPr>
                <w:b/>
                <w:bCs/>
                <w:color w:val="000000"/>
                <w:highlight w:val="white"/>
              </w:rPr>
              <w:t xml:space="preserve">Quyền sử dụng đất tại thửa đất số: 213, tờ bản đồ số: 14 có địa chỉ: Thô</w:t>
            </w:r>
            <w:r>
              <w:rPr>
                <w:b/>
                <w:bCs/>
                <w:color w:val="000000"/>
                <w:highlight w:val="white"/>
              </w:rPr>
              <w:t xml:space="preserve">n Đốn</w:t>
            </w:r>
            <w:r>
              <w:rPr>
                <w:b/>
                <w:bCs/>
                <w:color w:val="000000"/>
                <w:highlight w:val="white"/>
              </w:rPr>
              <w:t xml:space="preserve">g Thanh- Xã Hưng Long- Huyện Mỹ Hào- Tỉnh Hưng Yên (Nay là phường Đường Hào, Tỉnh Hưng Yên) theo Giấy chứng nhận quyền sử dụng đất số: AC 263425, số vào sổ cấp GCN: H 000436 do</w:t>
            </w:r>
            <w:r>
              <w:rPr>
                <w:b/>
                <w:bCs/>
                <w:color w:val="000000"/>
                <w:highlight w:val="white"/>
              </w:rPr>
              <w:t xml:space="preserve"> Ủy ban Nhân dân </w:t>
            </w:r>
            <w:r>
              <w:rPr>
                <w:b/>
                <w:bCs/>
                <w:color w:val="000000"/>
                <w:highlight w:val="white"/>
              </w:rPr>
              <w:t xml:space="preserve">huyện Mỹ Hào</w:t>
            </w:r>
            <w:r>
              <w:rPr>
                <w:b/>
                <w:bCs/>
                <w:color w:val="000000"/>
                <w:highlight w:val="white"/>
              </w:rPr>
              <w:t xml:space="preserve">cấp ngày 05/07/2006 cho  Ông Bùi Văn Đích và Bà Nguyễn Thị Đông</w:t>
            </w:r>
            <w:r>
              <w:rPr>
                <w:b/>
                <w:bCs/>
                <w:i/>
                <w:iCs/>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w:t>
            </w:r>
            <w:r>
              <w:rPr>
                <w:b/>
                <w:bCs/>
                <w:color w:val="000000"/>
                <w:highlight w:val="white"/>
              </w:rPr>
              <w:t xml:space="preserve"> dung </w:t>
            </w:r>
            <w:r>
              <w:rPr>
                <w:b/>
                <w:bCs/>
                <w:color w:val="000000"/>
                <w:highlight w:val="white"/>
              </w:rPr>
              <w:t xml:space="preserve">Thửa</w:t>
            </w:r>
            <w:r>
              <w:rPr>
                <w:b/>
                <w:bCs/>
                <w:color w:val="000000"/>
                <w:highlight w:val="white"/>
              </w:rPr>
              <w:t xml:space="preserve"> </w:t>
            </w:r>
            <w:r>
              <w:rPr>
                <w:b/>
                <w:bCs/>
                <w:color w:val="000000"/>
                <w:highlight w:val="white"/>
              </w:rPr>
              <w:t xml:space="preserve">đất</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Hồ</w:t>
            </w:r>
            <w:r>
              <w:rPr>
                <w:b/>
                <w:bCs/>
                <w:color w:val="000000"/>
                <w:highlight w:val="white"/>
              </w:rPr>
              <w:t xml:space="preserve"> </w:t>
            </w:r>
            <w:r>
              <w:rPr>
                <w:b/>
                <w:bCs/>
                <w:color w:val="000000"/>
                <w:highlight w:val="white"/>
              </w:rPr>
              <w:t xml:space="preserve">sơ</w:t>
            </w:r>
            <w:r>
              <w:rPr>
                <w:b/>
                <w:bCs/>
                <w:color w:val="000000"/>
                <w:highlight w:val="white"/>
              </w:rPr>
              <w:t xml:space="preserve"> </w:t>
            </w:r>
            <w:r>
              <w:rPr>
                <w:b/>
                <w:bCs/>
                <w:color w:val="000000"/>
                <w:highlight w:val="white"/>
              </w:rPr>
              <w:t xml:space="preserve">pháp</w:t>
            </w:r>
            <w:r>
              <w:rPr>
                <w:b/>
                <w:bCs/>
                <w:color w:val="000000"/>
                <w:highlight w:val="white"/>
              </w:rPr>
              <w:t xml:space="preserve"> </w:t>
            </w:r>
            <w:r>
              <w:rPr>
                <w:b/>
                <w:bCs/>
                <w:color w:val="000000"/>
                <w:highlight w:val="white"/>
              </w:rPr>
              <w:t xml:space="preserve">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w:t>
            </w:r>
            <w:r>
              <w:rPr>
                <w:color w:val="000000"/>
                <w:highlight w:val="white"/>
              </w:rPr>
              <w:t xml:space="preserve"> </w:t>
            </w:r>
            <w:r>
              <w:rPr>
                <w:color w:val="000000"/>
                <w:highlight w:val="white"/>
              </w:rPr>
              <w:t xml:space="preserve">đất</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213</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ee0000"/>
                <w:highlight w:val="white"/>
              </w:rPr>
              <w:t xml:space="preserve">14</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w:t>
            </w:r>
            <w:r>
              <w:rPr>
                <w:color w:val="000000"/>
                <w:highlight w:val="white"/>
              </w:rPr>
              <w:t xml:space="preserve"> </w:t>
            </w:r>
            <w:r>
              <w:rPr>
                <w:color w:val="000000"/>
                <w:highlight w:val="white"/>
              </w:rPr>
              <w:t xml:space="preserve">chỉ</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Thôn Đống Thanh, </w:t>
            </w:r>
            <w:r>
              <w:rPr>
                <w:color w:val="000000"/>
                <w:highlight w:val="white"/>
              </w:rPr>
              <w:t xml:space="preserve">Xã Hưng Long, Huyện Mỹ Hào, Tỉnh Hưng Yên ( Nay là</w:t>
            </w:r>
            <w:r>
              <w:rPr>
                <w:color w:val="000000"/>
                <w:highlight w:val="white"/>
              </w:rPr>
              <w:t xml:space="preserve"> </w:t>
            </w:r>
            <w:r>
              <w:rPr>
                <w:b/>
                <w:bCs/>
                <w:color w:val="000000"/>
                <w:highlight w:val="white"/>
              </w:rPr>
              <w:t xml:space="preserve">phường Đường Hào, Tỉnh Hưng Yên)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285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nước công nhận quyền sử dụng đất như Nhà nước giao đất không thu tiền sử dụng đất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white"/>
              </w:rPr>
            </w:pPr>
            <w:r>
              <w:rPr>
                <w:color w:val="000000"/>
                <w:highlight w:val="white"/>
              </w:rPr>
            </w:r>
            <w:r>
              <w:rPr>
                <w:color w:val="000000"/>
                <w:highlight w:val="white"/>
              </w:rPr>
              <w:t xml:space="preserve">Tiếp giáp 2 măt ngõ </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3,6</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rPr>
              <w:t xml:space="preserve">Tài sản nằm tiếp giáp đường nội xóm, cách chùa Lạc Dục khoảng 400m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Tây Nam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20.893833333333</w:t>
            </w:r>
            <w:r>
              <w:rPr>
                <w:color w:val="000000"/>
              </w:rPr>
              <w:t xml:space="preserve">, </w:t>
            </w:r>
            <w:r>
              <w:rPr>
                <w:color w:val="000000"/>
              </w:rPr>
              <w:t xml:space="preserve">106.08958333333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13,49 và 20,92</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21,13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none"/>
              </w:rPr>
              <w:t xml:space="preserve">Vuông vức</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none"/>
              </w:rPr>
              <w:t xml:space="preserve">Trung bình </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Ổn định</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Trung bình</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kháo sát, tổ thẩm định thấy trên đất có: +01 nhà cấp 4. Hiện tại công trình chưa được chứng nhận trên GCN số</w:t>
            </w:r>
            <w:r>
              <w:rPr>
                <w:b w:val="0"/>
                <w:bCs w:val="0"/>
                <w:color w:val="000000"/>
              </w:rPr>
              <w:t xml:space="preserve"> H 000436</w:t>
            </w:r>
            <w:r>
              <w:rPr>
                <w:b/>
                <w:bCs/>
                <w:color w:val="000000"/>
              </w:rPr>
              <w:t xml:space="preserve">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50" w:before="50" w:line="276" w:lineRule="auto"/>
        <w:ind/>
        <w:jc w:val="both"/>
        <w:rPr/>
      </w:pPr>
      <w:r>
        <w:rPr>
          <w:rFonts w:ascii="Times New Roman" w:hAnsi="Times New Roman" w:eastAsia="Times New Roman" w:cs="Times New Roman"/>
          <w:color w:val="000000"/>
          <w:sz w:val="24"/>
        </w:rPr>
        <w:t xml:space="preserve">Tại thời điểm khảo sát, trên đất có công trình xây dựng là: </w:t>
      </w:r>
      <w:r>
        <w:rPr>
          <w:color w:val="000000"/>
        </w:rPr>
        <w:t xml:space="preserve">+01 nhà cấp 4. Hiện tại công trình chưa được chứng nhận trên GCN số</w:t>
      </w:r>
      <w:r>
        <w:rPr>
          <w:b w:val="0"/>
          <w:bCs w:val="0"/>
          <w:color w:val="000000"/>
        </w:rPr>
        <w:t xml:space="preserve"> H 000436</w:t>
      </w:r>
      <w:r>
        <w:rPr>
          <w:rFonts w:ascii="Times New Roman" w:hAnsi="Times New Roman" w:eastAsia="Times New Roman" w:cs="Times New Roman"/>
          <w:color w:val="000000"/>
          <w:sz w:val="24"/>
        </w:rPr>
        <w:t xml:space="preserve">. Tổ thẩm định cũng không nhận được bất kỳ hồ sơ pháp lý nào liên quan tới công trình</w:t>
      </w:r>
      <w:r>
        <w:rPr>
          <w:rFonts w:ascii="Times New Roman" w:hAnsi="Times New Roman" w:eastAsia="Times New Roman" w:cs="Times New Roman"/>
          <w:color w:val="000000"/>
          <w:sz w:val="24"/>
        </w:rPr>
        <w:t xml:space="preserve"> xây dựng này. Do vậy, theo đề nghị của Ngân hàng, Tổ thẩm định không xác định giá trị công trình hiện có trên đất, nhưng vẫn coi đó là phần không thể tách rời của tài sản thẩm định. Đề nghị đơn vị sử dụng kết quả lưu ý.</w:t>
      </w:r>
      <w:r>
        <w:rPr>
          <w:rFonts w:ascii="Times New Roman" w:hAnsi="Times New Roman" w:eastAsia="Times New Roman" w:cs="Times New Roman"/>
          <w:sz w:val="24"/>
        </w:rPr>
      </w: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Hưng Long, Huyện Mỹ Hào,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Hưng Long, Huyện Mỹ Hào,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Hưng Long, Huyện Mỹ Hào,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Hưng Long, Huyện Mỹ Hào, Tỉnh Hưng Yên</w:t>
            </w:r>
            <w:r>
              <w:rPr>
                <w:sz w:val="22"/>
                <w:szCs w:val="22"/>
              </w:rPr>
            </w:r>
            <w:r>
              <w:rPr>
                <w:sz w:val="22"/>
                <w:szCs w:val="22"/>
              </w:rPr>
            </w:r>
          </w:p>
        </w:tc>
      </w:tr>
      <w:tr>
        <w:trPr>
          <w:trHeight w:val="193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https://www.facebook.com/commerce/listing/1934922914100779?media_id=0&amp;ref=share_attachment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Vũ Thắm </w:t>
            </w:r>
            <w:r>
              <w:rPr>
                <w:color w:val="000000" w:themeColor="text1"/>
                <w:sz w:val="22"/>
                <w:szCs w:val="22"/>
                <w:highlight w:val="white"/>
              </w:rPr>
            </w:r>
            <w:r>
              <w:rPr>
                <w:color w:val="000000" w:themeColor="text1"/>
                <w:sz w:val="22"/>
                <w:szCs w:val="22"/>
                <w:highlight w:val="white"/>
              </w:rPr>
            </w:r>
          </w:p>
          <w:p>
            <w:pPr>
              <w:pBdr/>
              <w:spacing/>
              <w:ind/>
              <w:jc w:val="center"/>
              <w:rPr>
                <w:sz w:val="22"/>
                <w:szCs w:val="22"/>
                <w:highlight w:val="white"/>
              </w:rPr>
            </w:pPr>
            <w:r>
              <w:rPr>
                <w:color w:val="000000" w:themeColor="text1"/>
                <w:sz w:val="22"/>
                <w:szCs w:val="22"/>
                <w:highlight w:val="white"/>
              </w:rPr>
              <w:t xml:space="preserve">0384 891 227</w:t>
            </w: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Vũ Thắm</w:t>
            </w:r>
            <w:r>
              <w:rPr>
                <w:color w:val="000000" w:themeColor="text1"/>
                <w:sz w:val="22"/>
                <w:szCs w:val="22"/>
                <w:highlight w:val="white"/>
              </w:rPr>
            </w:r>
            <w:r>
              <w:rPr>
                <w:color w:val="000000" w:themeColor="text1"/>
                <w:sz w:val="22"/>
                <w:szCs w:val="22"/>
                <w:highlight w:val="white"/>
              </w:rPr>
            </w:r>
          </w:p>
          <w:p>
            <w:pPr>
              <w:pBdr/>
              <w:spacing/>
              <w:ind/>
              <w:jc w:val="center"/>
              <w:rPr>
                <w:sz w:val="22"/>
                <w:szCs w:val="22"/>
                <w:highlight w:val="white"/>
              </w:rPr>
            </w:pPr>
            <w:r>
              <w:rPr>
                <w:color w:val="000000" w:themeColor="text1"/>
                <w:sz w:val="22"/>
                <w:szCs w:val="22"/>
                <w:highlight w:val="white"/>
              </w:rPr>
              <w:t xml:space="preserve"> 0384 891 227</w:t>
            </w: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 Thành Công </w:t>
            </w:r>
            <w:r>
              <w:rPr>
                <w:color w:val="000000" w:themeColor="text1"/>
                <w:sz w:val="22"/>
                <w:szCs w:val="22"/>
                <w:highlight w:val="white"/>
              </w:rPr>
              <w:t xml:space="preserve">0986327723</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Tài sản nằm tiếp giáp đường nội xóm, cách chùa Lạc Dục khoảng 400m</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180m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380m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3,6</w:t>
            </w:r>
            <w:r>
              <w:rPr>
                <w:color w:val="000000"/>
                <w:sz w:val="22"/>
                <w:szCs w:val="22"/>
              </w:rPr>
              <w:t xml:space="preserve"> và 3m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285</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82,4</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13,49</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4,5</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21,13</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18,31</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Tiếp giáp 2 mặt tiền</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Tiếp giáp 1 mặt tiền</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Vuông vức</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r>
            <w:r>
              <w:rPr>
                <w:sz w:val="22"/>
                <w:szCs w:val="22"/>
                <w:highlight w:val="white"/>
              </w:rPr>
              <w:t xml:space="preserve">Vuông vức</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highlight w:val="none"/>
              </w:rPr>
              <w:t xml:space="preserve">Vuông vức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highlight w:val="none"/>
              </w:rPr>
              <w:t xml:space="preserve">Vuông vức</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19</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Tài sản trên đất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white"/>
                <w14:ligatures w14:val="none"/>
              </w:rPr>
            </w:pPr>
            <w:r>
              <w:rPr>
                <w:sz w:val="22"/>
                <w:szCs w:val="22"/>
                <w:highlight w:val="white"/>
              </w:rPr>
              <w:t xml:space="preserve">Nhà cấp 4 </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highlight w:val="white"/>
                <w14:ligatures w14:val="none"/>
              </w:rPr>
            </w:pPr>
            <w:r>
              <w:rPr>
                <w:sz w:val="22"/>
                <w:szCs w:val="22"/>
                <w:highlight w:val="white"/>
              </w:rPr>
              <w:t xml:space="preserve">Đất trống</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1.650.000.000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1.485.000.000</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 </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 </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 </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yellow"/>
              </w:rPr>
            </w:pPr>
            <w:r>
              <w:rPr>
                <w:color w:val="ff0000"/>
                <w:sz w:val="22"/>
                <w:szCs w:val="22"/>
                <w:highlight w:val="none"/>
              </w:rPr>
              <w:t xml:space="preserve">-</w:t>
            </w:r>
            <w:r>
              <w:rPr>
                <w:color w:val="ff0000"/>
                <w:sz w:val="22"/>
                <w:szCs w:val="22"/>
                <w:highlight w:val="yellow"/>
              </w:rPr>
            </w:r>
            <w:r>
              <w:rPr>
                <w:color w:val="ff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yellow"/>
              </w:rPr>
            </w:pPr>
            <w:r>
              <w:rPr>
                <w:color w:val="ff0000"/>
                <w:sz w:val="22"/>
                <w:szCs w:val="22"/>
                <w:highlight w:val="none"/>
              </w:rPr>
              <w:t xml:space="preserve">-</w:t>
            </w:r>
            <w:r>
              <w:rPr>
                <w:color w:val="ff0000"/>
                <w:sz w:val="22"/>
                <w:szCs w:val="22"/>
                <w:highlight w:val="yellow"/>
              </w:rPr>
            </w:r>
            <w:r>
              <w:rPr>
                <w:color w:val="ff0000"/>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 </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1.485.000.000</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1.485.000.000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highlight w:val="white"/>
                <w14:ligatures w14:val="none"/>
              </w:rPr>
            </w:pPr>
            <w:r>
              <w:rPr>
                <w:highlight w:val="white"/>
              </w:rPr>
              <w:t xml:space="preserve"> </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auto"/>
              <w:spacing/>
              <w:ind/>
              <w:jc w:val="center"/>
              <w:rPr>
                <w:highlight w:val="white"/>
                <w14:ligatures w14:val="none"/>
              </w:rPr>
            </w:pPr>
            <w:r>
              <w:rPr>
                <w:highlight w:val="white"/>
              </w:rPr>
              <w:t xml:space="preserve">18.021.845</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1.485.000.000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1.485.000.000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1.395.000.000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18.021.845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Tài sản nằm tiếp giáp đường nội xóm, cách chùa Lạc Dục khoảng 400m</w:t>
            </w:r>
            <w:r>
              <w:rPr>
                <w:color w:val="000000" w:themeColor="text1"/>
                <w:sz w:val="22"/>
                <w:szCs w:val="22"/>
                <w:highlight w:val="none"/>
              </w:rPr>
            </w:r>
            <w:r>
              <w:rPr>
                <w:color w:val="000000" w:themeColor="text1"/>
                <w:sz w:val="22"/>
                <w:szCs w:val="22"/>
                <w:highlight w:val="none"/>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180m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380m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3,6</w:t>
            </w:r>
            <w:r>
              <w:rPr>
                <w:color w:val="000000"/>
                <w:sz w:val="22"/>
                <w:szCs w:val="22"/>
              </w:rPr>
              <w:t xml:space="preserve"> và 3m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Hạ tầng khu dân cư thông thường</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23.023.256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-4.505.461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-6.906.977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-4.414.557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13.516.384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16.116.279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13.243.671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13,49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1.902.306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2.302.326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1.765.823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15.418.690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18.418.605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15.009.494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21,13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18,31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15,36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-1.151.163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15.418.690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17.267.442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15.009.494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2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901.092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1.151.163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882.911</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16.319.782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18.418.605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15.892.405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Vuông vức</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Vuông vức</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Vuông vức</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16.319.782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18.418.605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15.892.405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16.319.782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18.418.605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15.892.405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16.876.931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9,13%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-5,83%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7.308.859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11.511.629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7.063.291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1.702.063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4.604.651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1.765.823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w:t>
      </w:r>
      <w:r>
        <w:rPr>
          <w:highlight w:val="white"/>
        </w:rPr>
        <w:t xml:space="preserve">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 </w:t>
      </w:r>
      <w:r>
        <w:rPr>
          <w:highlight w:val="white"/>
        </w:rPr>
        <w:t xml:space="preserve">-5,83</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9,13</w:t>
      </w:r>
      <w:r>
        <w:rPr>
          <w:highlight w:val="white"/>
        </w:rPr>
        <w:t xml:space="preserve">%, </w:t>
      </w:r>
      <w:r>
        <w:rPr>
          <w:highlight w:val="white"/>
        </w:rPr>
        <w:t xml:space="preserve">đ</w:t>
      </w:r>
      <w:r>
        <w:t xml:space="preserve">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16.319.782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5.441.015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18.418.605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6.138.921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15.892.405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5.296.939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16.876.875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16.800.000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16.800.000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163"/>
        <w:gridCol w:w="1701"/>
        <w:gridCol w:w="1741"/>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63"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213, tờ bản đồ số: 14 có địa chỉ: Thô</w:t>
            </w:r>
            <w:r>
              <w:rPr>
                <w:b/>
                <w:bCs/>
                <w:color w:val="000000"/>
              </w:rPr>
              <w:t xml:space="preserve">n Đốn</w:t>
            </w:r>
            <w:r>
              <w:rPr>
                <w:b/>
                <w:bCs/>
                <w:color w:val="000000"/>
              </w:rPr>
              <w:t xml:space="preserve">g Thanh- Xã Hưng Long- Huyện Mỹ Hào- Tỉnh Hưng Yên (Nay là phường Đường Hào, Tỉnh Hưng Yên) theo Giấy chứng nhận quyền sử dụng đất số: AC 263425, số vào sổ cấp GCN: H 000436 do Ủy ban Nhân dân cấp ngày 05/07/2006 cho  Ông Bùi Văn Đích và Bà Nguyễn Thị Đông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163"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285</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16.800.000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4.788.000.000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4.788.000.000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bảy trăm tám mươi tám triệu đồng chẵn</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50" w:before="5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khảo sát, trên đất có công trình xây dựng là: </w:t>
      </w:r>
      <w:r>
        <w:rPr>
          <w:color w:val="000000"/>
        </w:rPr>
        <w:t xml:space="preserve">+01 nhà cấp 4. Hiện tại công trình chưa được chứng nhận trên GCN số</w:t>
      </w:r>
      <w:r>
        <w:rPr>
          <w:b w:val="0"/>
          <w:bCs w:val="0"/>
          <w:color w:val="000000"/>
        </w:rPr>
        <w:t xml:space="preserve"> H 000436</w:t>
      </w:r>
      <w:r>
        <w:rPr>
          <w:rFonts w:ascii="Times New Roman" w:hAnsi="Times New Roman" w:eastAsia="Times New Roman" w:cs="Times New Roman"/>
          <w:color w:val="000000"/>
          <w:sz w:val="24"/>
        </w:rPr>
        <w:t xml:space="preserve">. Tổ thẩm định cũng không nhận được bất kỳ hồ sơ pháp lý nào liên quan tới công trình</w:t>
      </w:r>
      <w:r>
        <w:rPr>
          <w:rFonts w:ascii="Times New Roman" w:hAnsi="Times New Roman" w:eastAsia="Times New Roman" w:cs="Times New Roman"/>
          <w:color w:val="000000"/>
          <w:sz w:val="24"/>
        </w:rPr>
        <w:t xml:space="preserve"> xây dựng này. Do vậy, theo đề nghị của Ngân hàng, Tổ thẩm định không xác định giá trị công trình hiện có trên đất, nhưng vẫn coi đó là phần không thể tách rời của tài sản thẩm định. Đề nghị đơn 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pPr>
        <w:pStyle w:val="1031"/>
        <w:pBdr/>
        <w:tabs>
          <w:tab w:val="left" w:leader="none" w:pos="993"/>
        </w:tabs>
        <w:spacing w:after="120" w:before="120" w:line="288" w:lineRule="auto"/>
        <w:ind w:left="0"/>
        <w:jc w:val="both"/>
        <w:rPr>
          <w:highlight w:val="none"/>
          <w:lang w:val="pt-BR"/>
        </w:rPr>
      </w:pPr>
      <w:r>
        <w:rPr>
          <w:highlight w:val="none"/>
          <w:lang w:val="pt-BR"/>
        </w:rPr>
      </w:r>
      <w:r>
        <w:rPr>
          <w:highlight w:val="none"/>
          <w:lang w:val="pt-BR"/>
        </w:rPr>
      </w:r>
      <w:r>
        <w:rPr>
          <w:highlight w:val="none"/>
          <w:lang w:val="pt-BR"/>
        </w:rPr>
      </w:r>
    </w:p>
    <w:p>
      <w:pPr>
        <w:pStyle w:val="1031"/>
        <w:pBdr/>
        <w:tabs>
          <w:tab w:val="left" w:leader="none" w:pos="993"/>
        </w:tabs>
        <w:spacing w:after="120" w:before="120" w:line="288" w:lineRule="auto"/>
        <w:ind w:left="0"/>
        <w:jc w:val="both"/>
        <w:rPr>
          <w:highlight w:val="none"/>
          <w:lang w:val="pt-BR"/>
        </w:rPr>
      </w:pPr>
      <w:r>
        <w:rPr>
          <w:highlight w:val="none"/>
          <w:lang w:val="pt-BR"/>
        </w:rPr>
      </w:r>
      <w:r>
        <w:rPr>
          <w:highlight w:val="none"/>
          <w:lang w:val="pt-BR"/>
        </w:rPr>
      </w:r>
      <w:r>
        <w:rPr>
          <w:highlight w:val="none"/>
          <w:lang w:val="pt-BR"/>
        </w:rPr>
      </w:r>
    </w:p>
    <w:p>
      <w:pPr>
        <w:pStyle w:val="1031"/>
        <w:pBdr/>
        <w:tabs>
          <w:tab w:val="left" w:leader="none" w:pos="993"/>
        </w:tabs>
        <w:spacing w:after="120" w:before="120" w:line="288" w:lineRule="auto"/>
        <w:ind w:left="0"/>
        <w:jc w:val="both"/>
        <w:rPr>
          <w:highlight w:val="none"/>
          <w:lang w:val="pt-BR"/>
        </w:rPr>
      </w:pPr>
      <w:r>
        <w:rPr>
          <w:highlight w:val="none"/>
          <w:lang w:val="pt-BR" w:bidi="pt-BR"/>
        </w:rPr>
      </w:r>
      <w:r>
        <w:rPr>
          <w:highlight w:val="none"/>
          <w:lang w:val="pt-BR"/>
        </w:rPr>
      </w:r>
      <w:r>
        <w:rPr>
          <w:highlight w:val="none"/>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275/2026/0220/VFI-CT.53.A</w:t>
      </w:r>
      <w:r>
        <w:rPr>
          <w:color w:val="ff0000"/>
          <w:lang w:val="vi-VN"/>
        </w:rPr>
        <w:t xml:space="preserve"> </w:t>
      </w:r>
      <w:r>
        <w:rPr>
          <w:color w:val="000000" w:themeColor="text1"/>
        </w:rPr>
        <w:t xml:space="preserve">ngày 27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275/2026/0220/VFI-BC.53.A</w:t>
      </w:r>
      <w:r>
        <w:rPr>
          <w:i/>
          <w:lang w:val="pt-BR"/>
        </w:rPr>
        <w:t xml:space="preserve"> </w:t>
      </w:r>
      <w:r>
        <w:rPr>
          <w:i/>
          <w:lang w:val="pt-BR"/>
        </w:rPr>
        <w:t xml:space="preserve">ngày 27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82675" cy="225199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14540" name=""/>
                              <pic:cNvPicPr>
                                <a:picLocks noChangeAspect="1"/>
                              </pic:cNvPicPr>
                              <pic:nvPr/>
                            </pic:nvPicPr>
                            <pic:blipFill rotWithShape="1">
                              <a:blip r:embed="rId18"/>
                              <a:stretch/>
                            </pic:blipFill>
                            <pic:spPr bwMode="auto">
                              <a:xfrm flipH="0" flipV="0">
                                <a:off x="0" y="0"/>
                                <a:ext cx="2382675" cy="2251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7.61pt;height:177.3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1216" cy="212341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34374" name=""/>
                              <pic:cNvPicPr>
                                <a:picLocks noChangeAspect="1"/>
                              </pic:cNvPicPr>
                              <pic:nvPr/>
                            </pic:nvPicPr>
                            <pic:blipFill rotWithShape="1">
                              <a:blip r:embed="rId19"/>
                              <a:stretch/>
                            </pic:blipFill>
                            <pic:spPr bwMode="auto">
                              <a:xfrm flipH="0" flipV="0">
                                <a:off x="0" y="0"/>
                                <a:ext cx="2831216" cy="21234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2.93pt;height:167.2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6385" cy="223983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21167" name=""/>
                              <pic:cNvPicPr>
                                <a:picLocks noChangeAspect="1"/>
                              </pic:cNvPicPr>
                              <pic:nvPr/>
                            </pic:nvPicPr>
                            <pic:blipFill rotWithShape="1">
                              <a:blip r:embed="rId20"/>
                              <a:stretch/>
                            </pic:blipFill>
                            <pic:spPr bwMode="auto">
                              <a:xfrm flipH="0" flipV="0">
                                <a:off x="0" y="0"/>
                                <a:ext cx="2646384" cy="2239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8.38pt;height:176.3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5114" cy="215346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96745" name=""/>
                              <pic:cNvPicPr>
                                <a:picLocks noChangeAspect="1"/>
                              </pic:cNvPicPr>
                              <pic:nvPr/>
                            </pic:nvPicPr>
                            <pic:blipFill rotWithShape="1">
                              <a:blip r:embed="rId21"/>
                              <a:stretch/>
                            </pic:blipFill>
                            <pic:spPr bwMode="auto">
                              <a:xfrm flipH="0" flipV="0">
                                <a:off x="0" y="0"/>
                                <a:ext cx="2785114" cy="21534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30pt;height:169.5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3510" cy="269080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61079" name=""/>
                              <pic:cNvPicPr>
                                <a:picLocks noChangeAspect="1"/>
                              </pic:cNvPicPr>
                              <pic:nvPr/>
                            </pic:nvPicPr>
                            <pic:blipFill rotWithShape="1">
                              <a:blip r:embed="rId22"/>
                              <a:stretch/>
                            </pic:blipFill>
                            <pic:spPr bwMode="auto">
                              <a:xfrm flipH="0" flipV="0">
                                <a:off x="0" y="0"/>
                                <a:ext cx="2503509" cy="26908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7.13pt;height:211.8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20815" cy="258958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87340" name=""/>
                              <pic:cNvPicPr>
                                <a:picLocks noChangeAspect="1"/>
                              </pic:cNvPicPr>
                              <pic:nvPr/>
                            </pic:nvPicPr>
                            <pic:blipFill rotWithShape="1">
                              <a:blip r:embed="rId23"/>
                              <a:stretch/>
                            </pic:blipFill>
                            <pic:spPr bwMode="auto">
                              <a:xfrm flipH="0" flipV="0">
                                <a:off x="0" y="0"/>
                                <a:ext cx="2620814" cy="2589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6.36pt;height:203.9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w:t>
      </w:r>
      <w:r>
        <w:rPr>
          <w:b/>
          <w:highlight w:val="white"/>
          <w:lang w:val="vi-VN"/>
        </w:rPr>
        <w:t xml:space="preserve">N THU THẬP THỊ TRƯ</w:t>
      </w:r>
      <w:r>
        <w:rPr>
          <w:b/>
          <w:highlight w:val="white"/>
          <w:lang w:val="vi-VN"/>
        </w:rPr>
        <w:t xml:space="preserve">ỜN</w:t>
      </w:r>
      <w:r>
        <w:rPr>
          <w:b/>
          <w:highlight w:val="white"/>
        </w:rPr>
        <w:t xml:space="preserve">G</w:t>
      </w:r>
      <w:r>
        <w:rPr>
          <w:i/>
          <w:lang w:val="pt-BR"/>
        </w:rPr>
      </w: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275/2026/0220/VFI-BC.53.A</w:t>
      </w:r>
      <w:r>
        <w:rPr>
          <w:i/>
          <w:lang w:val="pt-BR"/>
        </w:rPr>
        <w:t xml:space="preserve"> </w:t>
      </w:r>
      <w:r>
        <w:rPr>
          <w:i/>
          <w:lang w:val="pt-BR"/>
        </w:rPr>
        <w:t xml:space="preserve">ngày 27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https://www.facebook.com/commerce/listing/1934922914100779?media_id=0&amp;ref=share_attachment</w:t>
            </w:r>
            <w:r>
              <w:rPr>
                <w:color w:val="000000" w:themeColor="text1"/>
                <w:sz w:val="22"/>
                <w:szCs w:val="22"/>
              </w:rPr>
              <w:br/>
              <w:t xml:space="preserve">Vũ Thắm 0384 891 227</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(82.4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180m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5.4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3242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2324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5.7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Vũ Thắm 0384 891 227</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300m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4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Thành Công : </w:t>
            </w:r>
            <w:r>
              <w:rPr>
                <w:color w:val="000000" w:themeColor="text1"/>
                <w:sz w:val="22"/>
                <w:szCs w:val="22"/>
              </w:rPr>
              <w:t xml:space="preserve">0986327723</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Hưng Long, Huyện Mỹ Hào, Tỉnh Hưng Yên,  Tài sản nằm tiếp giáp đường nội xóm, cách chùa Tân Hưng khoảng 380m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70"/>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highlight w:val="none"/>
          <w:lang w:val="pt-BR"/>
        </w:rPr>
      </w:pPr>
      <w:r>
        <w:rPr>
          <w:b/>
          <w:bCs/>
          <w:iCs/>
          <w:highlight w:val="none"/>
          <w:lang w:val="pt-BR"/>
        </w:rPr>
        <w:t xml:space="preserve">HỒ SƠ PHÁP LÝ </w: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557753" cy="593025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08645" name=""/>
                        <pic:cNvPicPr>
                          <a:picLocks noChangeAspect="1"/>
                        </pic:cNvPicPr>
                        <pic:nvPr/>
                      </pic:nvPicPr>
                      <pic:blipFill rotWithShape="1">
                        <a:blip r:embed="rId33"/>
                        <a:stretch/>
                      </pic:blipFill>
                      <pic:spPr bwMode="auto">
                        <a:xfrm rot="5399976" flipH="0" flipV="0">
                          <a:off x="0" y="0"/>
                          <a:ext cx="8557752" cy="59302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73.84pt;height:466.95pt;mso-wrap-distance-left:0.00pt;mso-wrap-distance-top:0.00pt;mso-wrap-distance-right:0.00pt;mso-wrap-distance-bottom:0.00pt;rotation:89;z-index:1;" stroked="false">
                <v:imagedata r:id="rId33"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8972010" cy="621886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0484" name=""/>
                        <pic:cNvPicPr>
                          <a:picLocks noChangeAspect="1"/>
                        </pic:cNvPicPr>
                        <pic:nvPr/>
                      </pic:nvPicPr>
                      <pic:blipFill rotWithShape="1">
                        <a:blip r:embed="rId34"/>
                        <a:stretch/>
                      </pic:blipFill>
                      <pic:spPr bwMode="auto">
                        <a:xfrm rot="5399976" flipH="0" flipV="0">
                          <a:off x="0" y="0"/>
                          <a:ext cx="8972010" cy="62188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706.46pt;height:489.67pt;mso-wrap-distance-left:0.00pt;mso-wrap-distance-top:0.00pt;mso-wrap-distance-right:0.00pt;mso-wrap-distance-bottom:0.00pt;rotation:89;z-index:1;" stroked="false">
                <v:imagedata r:id="rId34" o:title=""/>
                <o:lock v:ext="edit" rotation="t"/>
              </v:shape>
            </w:pict>
          </mc:Fallback>
        </mc:AlternateContent>
      </w:r>
      <w:r>
        <w:rPr>
          <w:b/>
          <w:bCs/>
        </w:rPr>
      </w:r>
      <w:r>
        <w:rPr>
          <w:b/>
          <w:bCs/>
        </w:rPr>
      </w:r>
    </w:p>
    <w:p>
      <w:pPr>
        <w:pBdr/>
        <w:spacing w:after="200" w:line="276" w:lineRule="auto"/>
        <w:ind/>
        <w:jc w:val="center"/>
        <w:rPr>
          <w:b/>
          <w:bCs/>
          <w:iCs/>
          <w:highlight w:val="none"/>
          <w:lang w:val="pt-BR"/>
        </w:rPr>
      </w:pP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bidi="pt-BR"/>
        </w:rPr>
      </w:r>
      <w:r>
        <mc:AlternateContent>
          <mc:Choice Requires="wpg">
            <w:drawing>
              <wp:inline xmlns:wp="http://schemas.openxmlformats.org/drawingml/2006/wordprocessingDrawing" distT="0" distB="0" distL="0" distR="0">
                <wp:extent cx="6439746" cy="858632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96791" name=""/>
                        <pic:cNvPicPr>
                          <a:picLocks noChangeAspect="1"/>
                        </pic:cNvPicPr>
                        <pic:nvPr/>
                      </pic:nvPicPr>
                      <pic:blipFill rotWithShape="1">
                        <a:blip r:embed="rId35"/>
                        <a:stretch/>
                      </pic:blipFill>
                      <pic:spPr bwMode="auto">
                        <a:xfrm flipH="0" flipV="0">
                          <a:off x="0" y="0"/>
                          <a:ext cx="6439745" cy="85863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507.07pt;height:676.09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left"/>
        <w:rPr>
          <w:b/>
          <w:bCs/>
          <w:highlight w:val="none"/>
          <w:lang w:val="pt-BR"/>
        </w:rPr>
      </w:pPr>
      <w:r>
        <w:rPr>
          <w:highlight w:val="none"/>
          <w:lang w:val="pt-BR" w:bidi="pt-BR"/>
        </w:rPr>
      </w:r>
      <w:r>
        <w:rPr>
          <w:b/>
          <w:bCs/>
          <w:highlight w:val="none"/>
          <w:lang w:val="pt-BR"/>
        </w:rPr>
      </w:r>
      <w:r>
        <w:rPr>
          <w:b/>
          <w:b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935479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935479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522F4C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280</cp:revision>
  <dcterms:created xsi:type="dcterms:W3CDTF">2025-09-15T09:58:00Z</dcterms:created>
  <dcterms:modified xsi:type="dcterms:W3CDTF">2026-02-06T08:01:10Z</dcterms:modified>
</cp:coreProperties>
</file>