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30829</wp:posOffset>
                </wp:positionV>
                <wp:extent cx="5467350" cy="2953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53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275/2026/0236/VFI-CT.65.A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Anh</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127 (thửa cũ :132), tờ bản đồ số 17 (tờ cũ: 14) có địa chỉ: LK12-28, Khu đô thị mới Văn Phú, phường Phú La, quận Hà Đông, thành phố Hà Nội (nay là phường Kiến Hưng, thành phố Hà Nội)  theo Giấy chứng nhận quyền sử dụng đấ</w:t>
                            </w:r>
                            <w:r>
                              <w:rPr>
                                <w:rFonts w:ascii="Times New Roman" w:hAnsi="Times New Roman" w:eastAsia="Times New Roman" w:cs="Times New Roman"/>
                                <w:color w:val="000000"/>
                                <w:sz w:val="24"/>
                              </w:rPr>
                              <w:t xml:space="preserve">t, quyền sở hữu nhà ở và tài sản khác gắn liền với đất số: CX 647251, số vào sổ cấp GCN: CS-HĐO 33809 do Sở Tài nguyên và Môi trường thành phố Hà Nội cấp ngày 13/12/2020; Chủ sử dụng đất là Ông Trần Văn Ban và Bà Nguyễn Thị Anh</w:t>
                            </w:r>
                            <w:r>
                              <w:rPr>
                                <w:rFonts w:ascii="Times New Roman" w:hAnsi="Times New Roman" w:eastAsia="Times New Roman" w:cs="Times New Roman"/>
                                <w:color w:val="000000"/>
                                <w:sz w:val="24"/>
                              </w:rPr>
                              <w:t xml:space="preserve">.</w:t>
                            </w:r>
                            <w:r>
                              <w:rPr>
                                <w:sz w:val="22"/>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2.43pt;mso-position-vertical:absolute;width:430.50pt;height:23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275/2026/0236/VFI-CT.65.A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Anh</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127 (thửa cũ :132), tờ bản đồ số 17 (tờ cũ: 14) có địa chỉ: LK12-28, Khu đô thị mới Văn Phú, phường Phú La, quận Hà Đông, thành phố Hà Nội (nay là phường Kiến Hưng, thành phố Hà Nội)  theo Giấy chứng nhận quyền sử dụng đấ</w:t>
                      </w:r>
                      <w:r>
                        <w:rPr>
                          <w:rFonts w:ascii="Times New Roman" w:hAnsi="Times New Roman" w:eastAsia="Times New Roman" w:cs="Times New Roman"/>
                          <w:color w:val="000000"/>
                          <w:sz w:val="24"/>
                        </w:rPr>
                        <w:t xml:space="preserve">t, quyền sở hữu nhà ở và tài sản khác gắn liền với đất số: CX 647251, số vào sổ cấp GCN: CS-HĐO 33809 do Sở Tài nguyên và Môi trường thành phố Hà Nội cấp ngày 13/12/2020; Chủ sử dụng đất là Ông Trần Văn Ban và Bà Nguyễn Thị Anh</w:t>
                      </w:r>
                      <w:r>
                        <w:rPr>
                          <w:rFonts w:ascii="Times New Roman" w:hAnsi="Times New Roman" w:eastAsia="Times New Roman" w:cs="Times New Roman"/>
                          <w:color w:val="000000"/>
                          <w:sz w:val="24"/>
                        </w:rPr>
                        <w:t xml:space="preserve">.</w:t>
                      </w:r>
                      <w:r>
                        <w:rPr>
                          <w:sz w:val="22"/>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3: Pháp lý tài sản</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28-29</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Biên bản khảo sát</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30</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44" w:type="dxa"/>
        <w:tblBorders/>
        <w:tblLayout w:type="fixed"/>
        <w:tblLook w:val="04A0" w:firstRow="1" w:lastRow="0" w:firstColumn="1" w:lastColumn="0" w:noHBand="0" w:noVBand="1"/>
      </w:tblPr>
      <w:tblGrid>
        <w:gridCol w:w="170"/>
        <w:gridCol w:w="1417"/>
        <w:gridCol w:w="2693"/>
        <w:gridCol w:w="5563"/>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56"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5" w:tooltip="mailto:ilotus.contact@gmail.com" w:history="1">
              <w:r>
                <w:rPr>
                  <w:rStyle w:val="1017"/>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gridBefore w:val="1"/>
          <w:trHeight w:val="396"/>
        </w:trPr>
        <w:tc>
          <w:tcPr>
            <w:gridSpan w:val="2"/>
            <w:shd w:val="clear" w:color="auto" w:fill="auto"/>
            <w:tcBorders/>
            <w:tcMar>
              <w:left w:w="108" w:type="dxa"/>
              <w:top w:w="0" w:type="dxa"/>
              <w:right w:w="108" w:type="dxa"/>
              <w:bottom w:w="0" w:type="dxa"/>
            </w:tcMar>
            <w:tcW w:w="4110" w:type="dxa"/>
            <w:textDirection w:val="lrTb"/>
            <w:noWrap w:val="false"/>
          </w:tcPr>
          <w:p>
            <w:pPr>
              <w:pStyle w:val="1026"/>
              <w:pBdr/>
              <w:spacing w:after="60"/>
              <w:ind/>
              <w:rPr>
                <w:color w:val="000000" w:themeColor="text1"/>
                <w:sz w:val="24"/>
                <w:szCs w:val="24"/>
                <w:highlight w:val="white"/>
              </w:rPr>
            </w:pPr>
            <w:r>
              <w:rPr>
                <w:rStyle w:val="1025"/>
                <w:rFonts w:ascii="Times New Roman" w:hAnsi="Times New Roman"/>
                <w:color w:val="000000" w:themeColor="text1"/>
                <w:highlight w:val="white"/>
                <w:lang w:val="pt-BR"/>
              </w:rPr>
              <w:t xml:space="preserve">Số</w:t>
            </w:r>
            <w:r>
              <w:rPr>
                <w:rStyle w:val="1025"/>
                <w:rFonts w:ascii="Times New Roman" w:hAnsi="Times New Roman"/>
                <w:color w:val="000000" w:themeColor="text1"/>
                <w:highlight w:val="white"/>
                <w:lang w:val="pt-BR"/>
              </w:rPr>
              <w:t xml:space="preserve">: </w:t>
            </w:r>
            <w:r>
              <w:rPr>
                <w:rStyle w:val="1025"/>
                <w:rFonts w:ascii="Times New Roman" w:hAnsi="Times New Roman"/>
                <w:color w:val="000000" w:themeColor="text1"/>
                <w:highlight w:val="white"/>
                <w:lang w:val="pt-BR"/>
              </w:rPr>
              <w:t xml:space="preserve">275/2026/0236/VFI-CT.65.A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63" w:type="dxa"/>
            <w:textDirection w:val="lrTb"/>
            <w:noWrap w:val="false"/>
          </w:tcPr>
          <w:p>
            <w:pPr>
              <w:pStyle w:val="1026"/>
              <w:pBdr/>
              <w:spacing w:after="60"/>
              <w:ind w:right="-56"/>
              <w:jc w:val="right"/>
              <w:rPr>
                <w:color w:val="000000" w:themeColor="text1"/>
                <w:sz w:val="24"/>
                <w:szCs w:val="24"/>
                <w:highlight w:val="white"/>
              </w:rPr>
            </w:pPr>
            <w:r>
              <w:rPr>
                <w:rStyle w:val="1025"/>
                <w:rFonts w:ascii="Times New Roman" w:hAnsi="Times New Roman"/>
                <w:i/>
                <w:color w:val="auto"/>
                <w:highlight w:val="white"/>
              </w:rPr>
              <w:t xml:space="preserve">TP. </w:t>
            </w:r>
            <w:r>
              <w:rPr>
                <w:rStyle w:val="1025"/>
                <w:rFonts w:ascii="Times New Roman" w:hAnsi="Times New Roman"/>
                <w:i/>
                <w:color w:val="auto"/>
                <w:highlight w:val="white"/>
              </w:rPr>
              <w:t xml:space="preserve">Hà</w:t>
            </w:r>
            <w:r>
              <w:rPr>
                <w:rStyle w:val="1025"/>
                <w:rFonts w:ascii="Times New Roman" w:hAnsi="Times New Roman"/>
                <w:i/>
                <w:color w:val="auto"/>
                <w:highlight w:val="white"/>
              </w:rPr>
              <w:t xml:space="preserve"> </w:t>
            </w:r>
            <w:r>
              <w:rPr>
                <w:rStyle w:val="1025"/>
                <w:rFonts w:ascii="Times New Roman" w:hAnsi="Times New Roman"/>
                <w:i/>
                <w:color w:val="auto"/>
                <w:highlight w:val="white"/>
              </w:rPr>
              <w:t xml:space="preserve">Nội</w:t>
            </w:r>
            <w:r>
              <w:rPr>
                <w:rStyle w:val="1025"/>
                <w:rFonts w:ascii="Times New Roman" w:hAnsi="Times New Roman"/>
                <w:i/>
                <w:color w:val="auto"/>
                <w:highlight w:val="white"/>
                <w:lang w:val="vi-VN"/>
              </w:rPr>
              <w:t xml:space="preserve">, </w:t>
            </w:r>
            <w:r>
              <w:rPr>
                <w:rStyle w:val="1025"/>
                <w:rFonts w:ascii="Times New Roman" w:hAnsi="Times New Roman"/>
                <w:i/>
                <w:color w:val="000000" w:themeColor="text1"/>
                <w:highlight w:val="white"/>
                <w:lang w:val="vi-VN"/>
              </w:rPr>
              <w:t xml:space="preserve">ngày 2 tháng 2 năm 2026</w:t>
            </w:r>
            <w:r>
              <w:rPr>
                <w:color w:val="000000" w:themeColor="text1"/>
                <w:sz w:val="24"/>
                <w:szCs w:val="24"/>
                <w:highlight w:val="white"/>
              </w:rPr>
            </w:r>
            <w:r>
              <w:rPr>
                <w:color w:val="000000" w:themeColor="text1"/>
                <w:sz w:val="24"/>
                <w:szCs w:val="24"/>
                <w:highlight w:val="white"/>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275/2026/0236/VFI-HĐTĐ.65.A</w:t>
      </w:r>
      <w:r>
        <w:rPr>
          <w:spacing w:val="-4"/>
          <w:lang w:val="vi-VN"/>
        </w:rPr>
        <w:t xml:space="preserve"> ký ngày </w:t>
      </w:r>
      <w:r>
        <w:rPr>
          <w:color w:val="000000" w:themeColor="text1"/>
          <w:spacing w:val="-4"/>
        </w:rPr>
        <w:t xml:space="preserve">29 tháng 1 năm 2026</w:t>
      </w:r>
      <w:r>
        <w:rPr>
          <w:spacing w:val="-4"/>
          <w:lang w:val="vi-VN"/>
        </w:rPr>
        <w:t xml:space="preserve"> </w:t>
      </w:r>
      <w:r>
        <w:rPr>
          <w:spacing w:val="-4"/>
          <w:lang w:val="vi-VN"/>
        </w:rPr>
        <w:t xml:space="preserve">giữa </w:t>
      </w:r>
      <w:r>
        <w:rPr>
          <w:color w:val="000000" w:themeColor="text1"/>
          <w:spacing w:val="-4"/>
        </w:rPr>
        <w:t xml:space="preserve">Bà Nguyễn Thị Anh</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275/2026/0236/VFI-BC.65.A</w:t>
      </w:r>
      <w:r>
        <w:rPr>
          <w:i w:val="0"/>
          <w:iCs w:val="0"/>
          <w:spacing w:val="-2"/>
          <w:lang w:val="pt-BR"/>
        </w:rPr>
        <w:t xml:space="preserve"> </w:t>
      </w:r>
      <w:r>
        <w:rPr>
          <w:rStyle w:val="1025"/>
          <w:rFonts w:ascii="Times New Roman" w:hAnsi="Times New Roman"/>
          <w:i w:val="0"/>
          <w:iCs w:val="0"/>
          <w:color w:val="000000" w:themeColor="text1"/>
          <w:highlight w:val="white"/>
          <w:lang w:val="vi-VN"/>
        </w:rPr>
        <w:t xml:space="preserve">ngày 2 tháng 2 năm 2026</w:t>
      </w:r>
      <w:r>
        <w:rPr>
          <w:i w:val="0"/>
          <w:iCs w:val="0"/>
          <w:spacing w:val="-2"/>
          <w:lang w:val="pt-BR"/>
        </w:rPr>
        <w:t xml:space="preserve"> </w:t>
      </w:r>
      <w:r>
        <w:rPr>
          <w:i w:val="0"/>
          <w:iCs w:val="0"/>
          <w:spacing w:val="-2"/>
          <w:lang w:val="pt-BR"/>
        </w:rPr>
        <w:t xml:space="preserve">của</w:t>
      </w:r>
      <w:r>
        <w:rPr>
          <w:i w:val="0"/>
          <w:iCs w:val="0"/>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Thị Anh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001181011012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07 ngõ 14 Ngô Quyền, phường Quang Trung, quận Hà Đông, thành phố Hà Nội (nay là Phường Hà Đông, thành Phố Hà Nôi)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127 (thửa cũ :132), tờ bản đồ số 17 (tờ cũ: 14) có địa chỉ: LK12-28, Khu đô thị mới Văn Phú, phường Phú La, quận Hà Đông, thành phố Hà Nội (nay là phường Kiến Hưng, thành phố Hà Nội)  theo Giấy chứng nhận quyền sử dụng đấ</w:t>
      </w:r>
      <w:r>
        <w:rPr>
          <w:rFonts w:ascii="Times New Roman" w:hAnsi="Times New Roman" w:eastAsia="Times New Roman" w:cs="Times New Roman"/>
          <w:color w:val="000000"/>
          <w:sz w:val="24"/>
        </w:rPr>
        <w:t xml:space="preserve">t, quyền sở hữu nhà ở và tài sản khác gắn liền với đất số: CX 647251, số vào sổ cấp GCN: CS-HĐO 33809 do Sở Tài nguyên và Môi trường thành p</w:t>
      </w:r>
      <w:r/>
      <w:r>
        <w:rPr>
          <w:rFonts w:ascii="Times New Roman" w:hAnsi="Times New Roman" w:eastAsia="Times New Roman" w:cs="Times New Roman"/>
          <w:color w:val="000000"/>
          <w:sz w:val="24"/>
        </w:rPr>
        <w:t xml:space="preserve">hố Hà Nội cấp ngày 13/12/2020; Chủ sử dụng đất là Ông Trần Văn Ban và Bà Nguyễn Thị Anh.</w:t>
      </w:r>
      <w: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w:t>
      </w:r>
      <w:r>
        <w:rPr>
          <w:bCs/>
          <w:color w:val="000000" w:themeColor="text1"/>
          <w:spacing w:val="-4"/>
        </w:rPr>
        <w:t xml:space="preserve">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2"/>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rFonts w:ascii="Times New Roman" w:hAnsi="Times New Roman" w:eastAsia="Times New Roman" w:cs="Times New Roman"/>
                <w:color w:val="000000"/>
                <w:sz w:val="24"/>
              </w:rPr>
              <w:t xml:space="preserve">Quyền sử dụng đất tại thửa đất số: 127 (thửa cũ :132), tờ bản đồ số 17 (tờ cũ: 14) có địa chỉ: LK12-28, Khu đô thị mới Văn Phú, phường Phú La, quận Hà Đông, thành phố Hà Nội (nay là phường Kiến Hưng, thành phố Hà Nội)  theo Giấy chứng nhận quyền sử dụng đấ</w:t>
            </w:r>
            <w:r>
              <w:rPr>
                <w:rFonts w:ascii="Times New Roman" w:hAnsi="Times New Roman" w:eastAsia="Times New Roman" w:cs="Times New Roman"/>
                <w:color w:val="000000"/>
                <w:sz w:val="24"/>
              </w:rPr>
              <w:t xml:space="preserve">t, quyền sở hữu nhà ở và tài sản khác gắn liền với đất số: CX 647251, số vào sổ cấp GCN: CS-HĐO 33809 do Sở Tài nguyên và Môi trường thành phố Hà Nội cấp ngày 13/12/2020; Chủ sử dụng đất là Ông Trần Văn Ban và Bà Nguyễn Thị Anh</w:t>
            </w:r>
            <w:r>
              <w:rPr>
                <w:b/>
                <w:bCs/>
              </w:rPr>
              <w:t xml:space="preserve">.</w:t>
            </w:r>
            <w:r>
              <w:rPr>
                <w:sz w:val="22"/>
              </w:rPr>
            </w: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2582" w:type="dxa"/>
            <w:vAlign w:val="center"/>
            <w:textDirection w:val="lrTb"/>
            <w:noWrap w:val="false"/>
          </w:tcPr>
          <w:p>
            <w:pPr>
              <w:pBdr/>
              <w:spacing w:after="40" w:before="40" w:line="288" w:lineRule="auto"/>
              <w:ind/>
              <w:jc w:val="center"/>
              <w:rPr/>
            </w:pPr>
            <w:r>
              <w:rPr>
                <w:color w:val="000000" w:themeColor="text1"/>
              </w:rPr>
              <w:t xml:space="preserve">210.000.000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18.900.000.000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rPr>
            </w:pPr>
            <w:r>
              <w:rPr>
                <w:b/>
                <w:bCs/>
                <w:color w:val="000000" w:themeColor="text1"/>
              </w:rPr>
              <w:t xml:space="preserve">18.900.000.000</w:t>
            </w:r>
            <w:r>
              <w:rPr>
                <w:b/>
                <w:bCs/>
              </w:rPr>
            </w:r>
            <w:r>
              <w:rPr>
                <w:b/>
                <w:bCs/>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tám tỷ chín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1" w:type="dxa"/>
        <w:tblBorders/>
        <w:tblLayout w:type="fixed"/>
        <w:tblLook w:val="04A0" w:firstRow="1" w:lastRow="0" w:firstColumn="1" w:lastColumn="0" w:noHBand="0" w:noVBand="1"/>
      </w:tblPr>
      <w:tblGrid>
        <w:gridCol w:w="170"/>
        <w:gridCol w:w="1417"/>
        <w:gridCol w:w="2551"/>
        <w:gridCol w:w="5812"/>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21"/>
        </w:trPr>
        <w:tc>
          <w:tcPr>
            <w:gridSpan w:val="2"/>
            <w:shd w:val="clear" w:color="auto" w:fill="auto"/>
            <w:tcBorders/>
            <w:tcMar>
              <w:left w:w="108" w:type="dxa"/>
              <w:top w:w="0" w:type="dxa"/>
              <w:right w:w="108" w:type="dxa"/>
              <w:bottom w:w="0" w:type="dxa"/>
            </w:tcMar>
            <w:tcW w:w="3969" w:type="dxa"/>
            <w:textDirection w:val="lrTb"/>
            <w:noWrap w:val="false"/>
          </w:tcPr>
          <w:p>
            <w:pPr>
              <w:pStyle w:val="1026"/>
              <w:pBdr/>
              <w:spacing w:after="60"/>
              <w:ind/>
              <w:rPr>
                <w:color w:val="000000" w:themeColor="text1"/>
                <w:sz w:val="24"/>
                <w:szCs w:val="24"/>
                <w:highlight w:val="white"/>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275/2026/0236/V</w:t>
            </w:r>
            <w:r>
              <w:rPr>
                <w:rStyle w:val="1025"/>
                <w:rFonts w:ascii="Times New Roman" w:hAnsi="Times New Roman"/>
                <w:color w:val="000000" w:themeColor="text1"/>
                <w:highlight w:val="white"/>
                <w:lang w:val="pt-BR"/>
              </w:rPr>
              <w:t xml:space="preserve">FI</w:t>
            </w:r>
            <w:r>
              <w:rPr>
                <w:rStyle w:val="1025"/>
                <w:rFonts w:ascii="Times New Roman" w:hAnsi="Times New Roman"/>
                <w:color w:val="000000" w:themeColor="text1"/>
                <w:highlight w:val="white"/>
                <w:lang w:val="pt-BR"/>
              </w:rPr>
              <w:t xml:space="preserve">-BC.65.A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8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 tháng 2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275/2026/0236/VFI-CT.65.A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Nguyễn Thị Anh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001181011012</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1981</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07 ngõ 14 Ngô Quyền, phường Quang Trung, quận Hà Đông, thành phố Hà Nội (nay là Phường Hà Đông, thành Phố Hà Nôi)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127 (thửa cũ :132), tờ bản đồ số 17 (tờ cũ: 14) có địa chỉ: LK12-28, Khu đô thị mới Văn Phú, phường Phú La, quận Hà Đông, thành phố Hà Nội (nay là phường Kiến Hưng, thành phố Hà Nội)  theo Giấy chứng nhận quyền sử dụng đấ</w:t>
            </w:r>
            <w:r>
              <w:rPr>
                <w:rFonts w:ascii="Times New Roman" w:hAnsi="Times New Roman" w:eastAsia="Times New Roman" w:cs="Times New Roman"/>
                <w:color w:val="000000"/>
                <w:sz w:val="24"/>
              </w:rPr>
              <w:t xml:space="preserve">t, quyền sở hữu nhà ở và tài sản khác gắn liền với đất  số: CX 647251, số vào sổ cấp GCN: CS-HĐO 33809 do Sở Tài nguyên và Môi trường thành phố Hà Nội cấp ngày 13/12/2020; Chủ sử dụng đất là Ông Trần Văn Ban và Bà Nguyễn Thị 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LK12-28, Khu đô thị mới Văn Phú, phường Phú La, quận Hà Đông, Thành phố Hà Nội (nay là phường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(20.958527, 105.765046)</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CX 647251, số vào sổ cấp GCN: CS-HĐO 33809 do Sở Tài nguyên và Môi trường thành phố Hà Nội cấp ngày 13/12/2020; Chủ sử dụng đất là Ông Trần Văn Ban và Bà Nguyễn Thị</w:t>
      </w:r>
      <w:r>
        <w:rPr>
          <w:rFonts w:ascii="Times New Roman" w:hAnsi="Times New Roman" w:eastAsia="Times New Roman" w:cs="Times New Roman"/>
          <w:color w:val="000000"/>
          <w:sz w:val="24"/>
        </w:rPr>
        <w:t xml:space="preserve"> Anh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275/2026/0236/VFI-HĐTĐ.65.A ngày 29/01/2026 giữa bà Nguyễn Thị Anh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b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b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b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dai 2024 là một trong những bước tiến quan trọng để giải quyết triệt để vướng mắc từ các dự án này.</w:t>
        <w:b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b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br/>
        <w:t xml:space="preserve">(https://thoibaotaichinhvietnam.vn/phac-hoa-quy-dao-bat-dong-san-ha-noi-2026-188581.html)</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tại thửa đất số: 127 (thửa cũ :132), tờ bản đồ số 17 (tờ cũ: 14) có địa chỉ: LK12-28, Khu đô thị mới Văn Phú, phường Phú La, quận Hà Đông, thành phố Hà Nội (nay là phường Kiến Hưng, thành phố Hà Nội)  theo Giấy chứng nhận quyền sử dụng đấ</w:t>
            </w:r>
            <w:r>
              <w:rPr>
                <w:rFonts w:ascii="Times New Roman" w:hAnsi="Times New Roman" w:eastAsia="Times New Roman" w:cs="Times New Roman"/>
                <w:b/>
                <w:color w:val="000000"/>
                <w:sz w:val="24"/>
              </w:rPr>
              <w:t xml:space="preserve">t, quyền sở hữu nhà ở và tài sản khác gắn liền với đất số: CX 647251, số vào sổ cấp GCN: CS-HĐO 33809 do Sở Tài nguyên và Môi trường thành phố Hà Nội cấp ngày 13/12/2020; Chủ sử dụng đất là Ông Trần Văn Ban và Bà Nguyễn Thị Anh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127 (thửa cũ: 132)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 (tờ cũ: 14)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LK12-28, Khu đô thị mới Văn Phú, phường Phú La, quận Hà Đông, thành phố Hà Nội (nay là phường Kiến Hưng,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color w:val="000000" w:themeColor="text1"/>
              </w:rPr>
            </w:pPr>
            <w:r>
              <w:rPr>
                <w:rFonts w:ascii="Times New Roman" w:hAnsi="Times New Roman" w:eastAsia="Times New Roman" w:cs="Times New Roman"/>
                <w:color w:val="000000" w:themeColor="text1"/>
                <w:sz w:val="24"/>
              </w:rPr>
              <w:t xml:space="preserve">Nhận chuyển nhượng đất được Nhà nước giao đất có thu tiền sử dụng đất</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Ghi chú:</w:t>
            </w:r>
            <w:r>
              <w:rPr>
                <w:color w:val="000000" w:themeColor="text1"/>
              </w:rPr>
            </w:r>
            <w:r>
              <w:rPr>
                <w:color w:val="000000" w:themeColor="text1"/>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color w:val="000000" w:themeColor="text1"/>
                <w:sz w:val="24"/>
                <w:szCs w:val="24"/>
              </w:rPr>
            </w:pPr>
            <w:r>
              <w:rPr>
                <w:rFonts w:ascii="Times New Roman" w:hAnsi="Times New Roman" w:eastAsia="Times New Roman" w:cs="Times New Roman"/>
                <w:color w:val="000000" w:themeColor="text1"/>
                <w:sz w:val="24"/>
                <w:szCs w:val="24"/>
              </w:rPr>
              <w:t xml:space="preserve">Giấy chứng nhận này được cấp đổi từ Giấy chứng nhận số CH 123948, số và sổ CS 12012 do Sở Tài nguyên và Môi trường thành phố Hà Nội cấp ngày 14/4/2017.</w:t>
            </w:r>
            <w:r>
              <w:rPr>
                <w:color w:val="000000" w:themeColor="text1"/>
                <w:sz w:val="24"/>
                <w:szCs w:val="24"/>
              </w:rPr>
            </w:r>
            <w:r>
              <w:rPr>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Tại thời điểm thẩm định giá, Tổ thẩm định không thu thập được các thông tin quy hoạch liên quan đến thửa đất thẩm định giá.</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color w:val="000000" w:themeColor="text1"/>
              </w:rPr>
              <w:t xml:space="preserve">12,5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12,5</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nằm tiếp gia mặt đường nhựa, đường nội khu, Khu đô thị mới Văn Phú, cách phố Văn Khê khoảng 300m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pPr>
              <w:pBdr/>
              <w:spacing/>
              <w:ind/>
              <w:rPr>
                <w:rFonts w:ascii="Times New Roman" w:hAnsi="Times New Roman" w:eastAsia="Times New Roman" w:cs="Times New Roman"/>
                <w:color w:val="000000"/>
                <w:sz w:val="24"/>
                <w:szCs w:val="24"/>
              </w:rPr>
            </w:pPr>
            <w:r>
              <w:rPr>
                <w:color w:val="000000" w:themeColor="text1"/>
              </w:rPr>
            </w:r>
            <w:r>
              <w:rPr>
                <w:rFonts w:ascii="Times New Roman" w:hAnsi="Times New Roman" w:eastAsia="Times New Roman" w:cs="Times New Roman"/>
                <w:color w:val="000000"/>
                <w:sz w:val="24"/>
              </w:rPr>
              <w:t xml:space="preserve">Hướng Đông Nam: Tiếp giáp với đường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ind/>
              <w:rPr>
                <w:color w:val="000000" w:themeColor="text1"/>
              </w:rPr>
            </w:pPr>
            <w:r>
              <w:rPr>
                <w:rFonts w:ascii="Times New Roman" w:hAnsi="Times New Roman" w:eastAsia="Times New Roman" w:cs="Times New Roman"/>
                <w:color w:val="000000"/>
                <w:sz w:val="24"/>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(20.958527, 105.765046)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386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3864"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27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34"/>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rFonts w:ascii="Times New Roman" w:hAnsi="Times New Roman" w:eastAsia="Times New Roman" w:cs="Times New Roman"/>
                <w:color w:val="000000"/>
                <w:sz w:val="24"/>
              </w:rPr>
              <w:t xml:space="preserve">Tại thời điểm khảo sát, CTXD gắn liền với đất là một nhà 5 tầng xây dựng năm 2021, diện tích xây dựng 67,5m². CTXD tại thời điểm khảo sát đã được chứng nhận trên Giấy chứng nhận quyền sử dụng đất quyền sở hữu nhà ở và tài sản khác gắn liền với đất số: CX </w:t>
            </w:r>
            <w:r>
              <w:rPr>
                <w:rFonts w:ascii="Times New Roman" w:hAnsi="Times New Roman" w:eastAsia="Times New Roman" w:cs="Times New Roman"/>
                <w:color w:val="000000"/>
                <w:sz w:val="24"/>
              </w:rPr>
              <w:t xml:space="preserve">647251. </w:t>
            </w:r>
            <w:r>
              <w:rPr>
                <w:rFonts w:ascii="Times New Roman" w:hAnsi="Times New Roman" w:eastAsia="Times New Roman" w:cs="Times New Roman"/>
                <w:bCs/>
                <w:color w:val="000000" w:themeColor="text1"/>
                <w:spacing w:val="-2"/>
                <w:sz w:val="24"/>
                <w:szCs w:val="24"/>
                <w:highlight w:val="white"/>
                <w:lang w:val="pt-BR"/>
              </w:rPr>
              <w:t xml:space="preserve">Tuy nhiên </w:t>
            </w:r>
            <w:r>
              <w:rPr>
                <w:rFonts w:ascii="Times New Roman" w:hAnsi="Times New Roman" w:eastAsia="Times New Roman" w:cs="Times New Roman"/>
                <w:color w:val="000000" w:themeColor="text1"/>
                <w:spacing w:val="3"/>
                <w:sz w:val="24"/>
                <w:szCs w:val="24"/>
                <w:highlight w:val="white"/>
              </w:rPr>
              <w:t xml:space="preserve">theo đề nghị củ</w:t>
            </w:r>
            <w:r>
              <w:rPr>
                <w:rFonts w:ascii="Times New Roman" w:hAnsi="Times New Roman" w:eastAsia="Times New Roman" w:cs="Times New Roman"/>
                <w:color w:val="000000" w:themeColor="text1"/>
                <w:spacing w:val="3"/>
                <w:sz w:val="24"/>
                <w:szCs w:val="24"/>
                <w:highlight w:val="white"/>
              </w:rPr>
              <w:t xml:space="preserve">a </w:t>
            </w:r>
            <w:r>
              <w:rPr>
                <w:rFonts w:ascii="Times New Roman" w:hAnsi="Times New Roman" w:eastAsia="Times New Roman" w:cs="Times New Roman"/>
                <w:color w:val="000000" w:themeColor="text1"/>
                <w:spacing w:val="3"/>
                <w:sz w:val="24"/>
                <w:szCs w:val="24"/>
                <w:highlight w:val="white"/>
              </w:rPr>
              <w:t xml:space="preserve">Khách hàng</w:t>
            </w:r>
            <w:r>
              <w:rPr>
                <w:rFonts w:ascii="Times New Roman" w:hAnsi="Times New Roman" w:eastAsia="Times New Roman" w:cs="Times New Roman"/>
                <w:color w:val="000000" w:themeColor="text1"/>
                <w:spacing w:val="3"/>
                <w:sz w:val="24"/>
                <w:szCs w:val="24"/>
                <w:highlight w:val="white"/>
              </w:rPr>
              <w:t xml:space="preserve">, </w:t>
            </w:r>
            <w:r>
              <w:rPr>
                <w:rFonts w:ascii="Times New Roman" w:hAnsi="Times New Roman" w:eastAsia="Times New Roman" w:cs="Times New Roman"/>
                <w:color w:val="000000" w:themeColor="text1"/>
                <w:spacing w:val="3"/>
                <w:sz w:val="24"/>
                <w:szCs w:val="24"/>
                <w:highlight w:val="white"/>
              </w:rPr>
              <w:t xml:space="preserve">Tổ thẩm định không xác định giá trị công trình hiện có trên đất, nhưng vẫn coi đó là phần không thể tách rời của tài sản thẩm định. Đề nghị đơn vị sử dụng kết quả lưu ý.</w:t>
            </w:r>
            <w:r>
              <w:rPr>
                <w:color w:val="000000"/>
              </w:rPr>
            </w:r>
            <w:r>
              <w:rPr>
                <w:color w:val="000000"/>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La, Quận Hà Đông, Thành phố Hà Nội (nay là phường Kiến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Phú La, Quận Hà Đông, Thành phố Hà Nội (nay là phường Kiến Hưng,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Phú La, Quận Hà Đông, Thành phố Hà Nội (nay là phường Kiến Hưng,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Phú La, Quận Hà Đông, Thành phố Hà Nội (nay là phường Kiến Hưng,  thành phố Hà Nội)</w:t>
            </w:r>
            <w:r>
              <w:rPr>
                <w:sz w:val="22"/>
                <w:szCs w:val="22"/>
              </w:rPr>
            </w:r>
            <w:r/>
          </w:p>
        </w:tc>
      </w:tr>
      <w:tr>
        <w:trPr>
          <w:trHeight w:val="36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Dũng Bđs Thổ Cư Hà Đông 0984042591</w:t>
            </w:r>
            <w:r>
              <w:rPr>
                <w:sz w:val="22"/>
                <w:szCs w:val="22"/>
              </w:rPr>
              <w:t xml:space="preserve"> </w:t>
            </w:r>
            <w:r>
              <w:rPr>
                <w:sz w:val="22"/>
                <w:szCs w:val="22"/>
              </w:rPr>
              <w:b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Dũng Bđs Thổ Cư Hà Đông 0984042591</w:t>
            </w:r>
            <w:r>
              <w:rPr>
                <w:sz w:val="22"/>
                <w:szCs w:val="22"/>
              </w:rPr>
              <w:b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0909889808</w:t>
            </w:r>
            <w:r>
              <w:rPr>
                <w:sz w:val="22"/>
                <w:szCs w:val="22"/>
              </w:rPr>
              <w:br/>
            </w:r>
            <w:r>
              <w:rPr>
                <w:sz w:val="22"/>
                <w:szCs w:val="22"/>
              </w:rPr>
              <w:t xml:space="preserve">(</w:t>
            </w:r>
            <w:r>
              <w:rPr>
                <w:sz w:val="22"/>
                <w:szCs w:val="22"/>
              </w:rPr>
              <w:t xml:space="preserve">anh Hải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t xml:space="preserve">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t xml:space="preserve">Đang giao dịch</w:t>
            </w: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02/2026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02/2026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02/2026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La, Quận Hà Đông, Thành phố Hà Nội </w:t>
            </w:r>
            <w:r>
              <w:rPr>
                <w:color w:val="000000" w:themeColor="text1"/>
                <w:sz w:val="22"/>
                <w:szCs w:val="22"/>
              </w:rPr>
              <w:t xml:space="preserve">(nay là phường Kiến Hưng,  thành phố Hà Nội)</w:t>
            </w:r>
            <w:r>
              <w:rPr>
                <w:color w:val="000000" w:themeColor="text1"/>
                <w:sz w:val="22"/>
                <w:szCs w:val="22"/>
              </w:rPr>
              <w:t xml:space="preserve">, tài sản tiếp giáp </w:t>
            </w:r>
            <w:r>
              <w:rPr>
                <w:color w:val="000000" w:themeColor="text1"/>
                <w:sz w:val="22"/>
                <w:szCs w:val="22"/>
              </w:rPr>
              <w:t xml:space="preserve">đường nội khu, Khu đô thị mới Văn Phú, cách phố Văn Khê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La, Quận Hà Đông, Thành phố Hà Nội</w:t>
            </w:r>
            <w:r>
              <w:rPr>
                <w:color w:val="000000" w:themeColor="text1"/>
                <w:sz w:val="22"/>
                <w:szCs w:val="22"/>
              </w:rPr>
              <w:t xml:space="preserve"> </w:t>
            </w:r>
            <w:r>
              <w:rPr>
                <w:color w:val="000000" w:themeColor="text1"/>
                <w:sz w:val="22"/>
                <w:szCs w:val="22"/>
              </w:rPr>
              <w:t xml:space="preserve">(nay là phường Kiến Hưng,  thành phố Hà Nội)</w:t>
            </w:r>
            <w:r>
              <w:rPr>
                <w:color w:val="000000" w:themeColor="text1"/>
                <w:sz w:val="22"/>
                <w:szCs w:val="22"/>
              </w:rPr>
              <w:t xml:space="preserve">, tài sản tiếp giáp </w:t>
            </w:r>
            <w:r>
              <w:rPr>
                <w:color w:val="000000" w:themeColor="text1"/>
                <w:sz w:val="22"/>
                <w:szCs w:val="22"/>
              </w:rPr>
              <w:t xml:space="preserve">đường nội khu, Khu đô thị mới Văn Phú</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La, Quận Hà Đông, Thành phố Hà Nội</w:t>
            </w:r>
            <w:r>
              <w:rPr>
                <w:color w:val="000000" w:themeColor="text1"/>
                <w:sz w:val="22"/>
                <w:szCs w:val="22"/>
              </w:rPr>
              <w:t xml:space="preserve"> </w:t>
            </w:r>
            <w:r>
              <w:rPr>
                <w:color w:val="000000" w:themeColor="text1"/>
                <w:sz w:val="22"/>
                <w:szCs w:val="22"/>
              </w:rPr>
              <w:t xml:space="preserve">(nay là phường Kiến Hưng,  thành phố Hà Nội)</w:t>
            </w:r>
            <w:r>
              <w:rPr>
                <w:color w:val="000000" w:themeColor="text1"/>
                <w:sz w:val="22"/>
                <w:szCs w:val="22"/>
              </w:rPr>
              <w:t xml:space="preserve">, tài sản tiếp giáp </w:t>
            </w:r>
            <w:r>
              <w:rPr>
                <w:color w:val="000000" w:themeColor="text1"/>
                <w:sz w:val="22"/>
                <w:szCs w:val="22"/>
              </w:rPr>
              <w:t xml:space="preserve">đường nội khu, Khu đô thị mới Văn Phú</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La, Quận Hà Đông, Thành phố Hà Nội</w:t>
            </w:r>
            <w:r>
              <w:rPr>
                <w:color w:val="000000" w:themeColor="text1"/>
                <w:sz w:val="22"/>
                <w:szCs w:val="22"/>
              </w:rPr>
              <w:t xml:space="preserve"> </w:t>
            </w:r>
            <w:r>
              <w:rPr>
                <w:color w:val="000000" w:themeColor="text1"/>
                <w:sz w:val="22"/>
                <w:szCs w:val="22"/>
              </w:rPr>
              <w:t xml:space="preserve">(nay là phường Kiến Hưng,  thành phố Hà Nội)</w:t>
            </w:r>
            <w:r>
              <w:rPr>
                <w:color w:val="000000" w:themeColor="text1"/>
                <w:sz w:val="22"/>
                <w:szCs w:val="22"/>
              </w:rPr>
              <w:t xml:space="preserve">, tài sản tiếp giáp </w:t>
            </w:r>
            <w:r>
              <w:rPr>
                <w:color w:val="000000" w:themeColor="text1"/>
                <w:sz w:val="22"/>
                <w:szCs w:val="22"/>
              </w:rPr>
              <w:t xml:space="preserve">đường nội khu, Khu đô thị mới Văn Phú</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none"/>
              </w:rPr>
              <w:t xml:space="preserve">12,5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19.710.000.000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2.986.894.764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2.091.799.395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1.264.645.375</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7.137.144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6.640.633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6.640.633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w:t>
            </w:r>
            <w:r>
              <w:rPr>
                <w:color w:val="000000"/>
                <w:sz w:val="22"/>
                <w:szCs w:val="22"/>
              </w:rPr>
              <w:t xml:space="preserve">hoàn</w:t>
            </w:r>
            <w:r>
              <w:rPr>
                <w:color w:val="000000"/>
                <w:sz w:val="22"/>
                <w:szCs w:val="22"/>
              </w:rPr>
              <w:t xml:space="preserve"> </w:t>
            </w:r>
            <w:r>
              <w:rPr>
                <w:color w:val="000000"/>
                <w:sz w:val="22"/>
                <w:szCs w:val="22"/>
              </w:rPr>
              <w:t xml:space="preserve">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19.063.105.236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22.658.200.605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18.445.354.625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211.812.280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251.757.785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204.948.385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891"/>
        <w:gridCol w:w="1661"/>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19.063.105.236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22.658.200.605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18.445.354.625</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211.812.280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251.757.785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204.948.385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211.812.280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251.757.785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211.812.280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251.757.785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Phú La, Quận Hà Đông, Thành phố Hà Nội (nay là phường Kiến Hưng,  thành phố Hà Nội), tài sản tiếp giáp đường nội khu, Khu đô thị mới Văn Phú, cách phố Văn Khê khoảng 300m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Phú La, Quận Hà Đông, Thành phố Hà Nội (nay là phường Kiến Hưng,  thành phố Hà Nội), tài sản tiếp giáp đường nội khu, Khu đô thị mới Văn Phú</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Phú La, Quận Hà Đông, Thành phố Hà Nội (nay là phường Kiến Hưng,  thành phố Hà Nội), tài sản tiếp giáp đường nội khu, Khu đô thị mới Văn Phú</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Phú La, Quận Hà Đông, Thành phố Hà Nội (nay là phường Kiến Hưng,  thành phố Hà Nội), tài sản tiếp giáp đường nội khu, Khu đô thị mới Văn Phú</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211.812.280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251.757.785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-37.763.668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211.812.280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213.994.117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211.812.280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213.994.117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211.812.280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213.994.117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1"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211.812.280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213.994.117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204.948.385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891"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66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211.812.280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213.994.117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204.948.385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61"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210.251.594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1"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891"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1"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61"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37.763.668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891"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61"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37.763.668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0,74% </w:t>
      </w:r>
      <w:r>
        <w:t xml:space="preserve">đến</w:t>
      </w:r>
      <w:r>
        <w:t xml:space="preserve"> </w:t>
      </w:r>
      <w:r>
        <w:t xml:space="preserve">2,52%,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211.812.280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70.618.214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213.994.117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71.324.239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204.948.385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68.309.297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210.251.750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210.000.000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210.000.000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2"/>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pPr>
            <w:r>
              <w:rPr>
                <w:rFonts w:ascii="Times New Roman" w:hAnsi="Times New Roman" w:eastAsia="Times New Roman" w:cs="Times New Roman"/>
                <w:color w:val="000000"/>
                <w:sz w:val="24"/>
              </w:rPr>
              <w:t xml:space="preserve">Quyền sử dụng đất tại thửa đất số: 127 (thửa cũ :132), tờ bản đồ số 17 (tờ cũ: 14) có địa chỉ: LK12-28, Khu đô thị mới Văn Phú, phường Phú La, quận Hà Đông, thành phố Hà Nội (nay là phường Kiến Hưng, thành phố Hà Nội)  theo Giấy chứng nhận quyền sử dụng đấ</w:t>
            </w:r>
            <w:r>
              <w:rPr>
                <w:rFonts w:ascii="Times New Roman" w:hAnsi="Times New Roman" w:eastAsia="Times New Roman" w:cs="Times New Roman"/>
                <w:color w:val="000000"/>
                <w:sz w:val="24"/>
              </w:rPr>
              <w:t xml:space="preserve">t, quyền sở hữu nhà ở và tài sản khác gắn liền với đất số: CX 647251, số vào sổ cấp GCN: CS-HĐO 33809 do Sở Tài nguyên và Môi trường thành phố Hà Nội cấp ngày 13/12/2020; Chủ sử dụng đất là Ông Trần Văn Ban và Bà Nguyễn Thị Anh</w:t>
            </w:r>
            <w:r>
              <w:rPr>
                <w:b/>
                <w:bCs/>
              </w:rPr>
              <w:t xml:space="preserve">.</w:t>
            </w:r>
            <w:r>
              <w:rPr>
                <w:sz w:val="22"/>
              </w:rPr>
            </w: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2582" w:type="dxa"/>
            <w:vAlign w:val="center"/>
            <w:textDirection w:val="lrTb"/>
            <w:noWrap w:val="false"/>
          </w:tcPr>
          <w:p>
            <w:pPr>
              <w:pBdr/>
              <w:spacing w:after="40" w:before="40" w:line="288" w:lineRule="auto"/>
              <w:ind/>
              <w:jc w:val="center"/>
              <w:rPr/>
            </w:pPr>
            <w:r>
              <w:rPr>
                <w:color w:val="000000" w:themeColor="text1"/>
              </w:rPr>
              <w:t xml:space="preserve">210.000.000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18.900.000.000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18.900.000.000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tám tỷ chín trăm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76" w:lineRule="auto"/>
        <w:ind w:left="0"/>
        <w:jc w:val="both"/>
        <w:rPr/>
      </w:pPr>
      <w:r/>
      <w:r/>
    </w:p>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rFonts w:ascii="Times New Roman" w:hAnsi="Times New Roman" w:cs="Times New Roman"/>
          <w:bCs/>
          <w:color w:val="000000" w:themeColor="text1"/>
          <w:spacing w:val="-2"/>
          <w:sz w:val="24"/>
          <w:szCs w:val="24"/>
          <w:highlight w:val="white"/>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rFonts w:ascii="Times New Roman" w:hAnsi="Times New Roman" w:eastAsia="Times New Roman" w:cs="Times New Roman"/>
          <w:color w:val="000000"/>
          <w:sz w:val="24"/>
        </w:rPr>
        <w:t xml:space="preserve">CTXD gắn liền với đất là một nhà 5 tầng xây dựng </w:t>
      </w:r>
      <w:r>
        <w:rPr>
          <w:rFonts w:ascii="Times New Roman" w:hAnsi="Times New Roman" w:eastAsia="Times New Roman" w:cs="Times New Roman"/>
          <w:color w:val="000000" w:themeColor="text1"/>
          <w:sz w:val="24"/>
          <w:szCs w:val="24"/>
          <w:highlight w:val="white"/>
        </w:rPr>
        <w:t xml:space="preserve">năm 2021, diện tích xây dựng 67,5m². CTXD tại thời điểm khảo sát đã được chứng nhận trên Giấy chứng nhận quyền sử dụng đất quyền sở hữu nhà ở và tài sản khác gắn liền với đất số: 'CX </w:t>
      </w:r>
      <w:r>
        <w:rPr>
          <w:rFonts w:ascii="Times New Roman" w:hAnsi="Times New Roman" w:eastAsia="Times New Roman" w:cs="Times New Roman"/>
          <w:color w:val="000000" w:themeColor="text1"/>
          <w:sz w:val="24"/>
          <w:szCs w:val="24"/>
          <w:highlight w:val="white"/>
        </w:rPr>
        <w:t xml:space="preserve">647251.</w:t>
      </w:r>
      <w:r>
        <w:rPr>
          <w:rFonts w:ascii="Times New Roman" w:hAnsi="Times New Roman" w:eastAsia="Times New Roman" w:cs="Times New Roman"/>
          <w:bCs/>
          <w:color w:val="000000" w:themeColor="text1"/>
          <w:spacing w:val="-2"/>
          <w:sz w:val="24"/>
          <w:szCs w:val="24"/>
          <w:highlight w:val="white"/>
          <w:lang w:val="pt-BR"/>
        </w:rPr>
        <w:t xml:space="preserve"> Tuy nhiên </w:t>
      </w:r>
      <w:r>
        <w:rPr>
          <w:rFonts w:ascii="Times New Roman" w:hAnsi="Times New Roman" w:eastAsia="Times New Roman" w:cs="Times New Roman"/>
          <w:color w:val="000000" w:themeColor="text1"/>
          <w:spacing w:val="3"/>
          <w:sz w:val="24"/>
          <w:szCs w:val="24"/>
          <w:highlight w:val="white"/>
        </w:rPr>
        <w:t xml:space="preserve">theo đề nghị của Ngân hàng, Tổ thẩm định không xác định giá trị công trình hiện có trên đất, nhưng vẫn coi đó là phần không thể tách rời của tài sản thẩm định. Đề nghị đơn vị sử dụng kết quả lưu ý.</w:t>
      </w:r>
      <w:r>
        <w:rPr>
          <w:rFonts w:ascii="Times New Roman" w:hAnsi="Times New Roman" w:cs="Times New Roman"/>
          <w:bCs/>
          <w:color w:val="000000" w:themeColor="text1"/>
          <w:spacing w:val="-2"/>
          <w:sz w:val="24"/>
          <w:szCs w:val="24"/>
          <w:highlight w:val="white"/>
        </w:rPr>
      </w:r>
      <w:r>
        <w:rPr>
          <w:rFonts w:ascii="Times New Roman" w:hAnsi="Times New Roman" w:cs="Times New Roman"/>
          <w:bCs/>
          <w:color w:val="000000" w:themeColor="text1"/>
          <w:spacing w:val="-2"/>
          <w:sz w:val="24"/>
          <w:szCs w:val="24"/>
          <w:highlight w:val="white"/>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275/2026/0236/VFI-CT.65.A</w:t>
      </w:r>
      <w:r>
        <w:rPr>
          <w:color w:val="ff0000"/>
          <w:lang w:val="vi-VN"/>
        </w:rPr>
        <w:t xml:space="preserve"> </w:t>
      </w:r>
      <w:r>
        <w:rPr>
          <w:color w:val="000000" w:themeColor="text1"/>
        </w:rPr>
        <w:t xml:space="preserve">ngày 30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275/2026/0236/VFI-BC.</w:t>
      </w:r>
      <w:r>
        <w:rPr>
          <w:i/>
          <w:color w:val="000000" w:themeColor="text1"/>
          <w:highlight w:val="white"/>
        </w:rPr>
        <w:t xml:space="preserve">65.A</w:t>
      </w:r>
      <w:r>
        <w:rPr>
          <w:i/>
          <w:color w:val="000000" w:themeColor="text1"/>
          <w:highlight w:val="white"/>
        </w:rPr>
        <w:t xml:space="preserve"> </w:t>
      </w:r>
      <w:r>
        <w:rPr>
          <w:i/>
          <w:color w:val="000000" w:themeColor="text1"/>
          <w:highlight w:val="white"/>
        </w:rPr>
        <w:t xml:space="preserve">ngày</w:t>
      </w:r>
      <w:r>
        <w:rPr>
          <w:i/>
          <w:color w:val="000000" w:themeColor="text1"/>
          <w:highlight w:val="white"/>
          <w:lang w:val="pt-BR"/>
        </w:rPr>
        <w:t xml:space="preserve"> </w:t>
      </w:r>
      <w:r>
        <w:rPr>
          <w:i/>
          <w:color w:val="000000" w:themeColor="text1"/>
          <w:highlight w:val="white"/>
          <w:lang w:val="pt-BR"/>
        </w:rPr>
        <w:t xml:space="preserve">02 tháng 02 năm 2026</w:t>
      </w:r>
      <w:r>
        <w:rPr>
          <w:i/>
          <w:color w:val="000000" w:themeColor="text1"/>
          <w:highlight w:val="white"/>
          <w:lang w:val="pt-BR"/>
        </w:rPr>
        <w:t xml:space="preserve"> </w:t>
      </w:r>
      <w:r>
        <w:rPr>
          <w:i/>
          <w:color w:val="000000" w:themeColor="text1"/>
          <w:highlight w:val="white"/>
          <w:lang w:val="pt-BR"/>
        </w:rPr>
        <w:t xml:space="preserve">củ</w:t>
      </w:r>
      <w:r>
        <w:rPr>
          <w:i/>
          <w:lang w:val="pt-BR"/>
        </w:rPr>
        <w:t xml:space="preserve">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879"/>
        <w:gridCol w:w="5646"/>
      </w:tblGrid>
      <w:tr>
        <w:trPr/>
        <w:tc>
          <w:tcPr>
            <w:tcBorders/>
            <w:tcW w:w="3879"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5646"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3879"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99160" cy="301120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09189" name=""/>
                              <pic:cNvPicPr>
                                <a:picLocks noChangeAspect="1"/>
                              </pic:cNvPicPr>
                              <pic:nvPr/>
                            </pic:nvPicPr>
                            <pic:blipFill rotWithShape="1">
                              <a:blip r:embed="rId18"/>
                              <a:stretch/>
                            </pic:blipFill>
                            <pic:spPr bwMode="auto">
                              <a:xfrm flipH="0" flipV="0">
                                <a:off x="0" y="0"/>
                                <a:ext cx="2099160" cy="3011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5.29pt;height:237.1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5646"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764877" cy="28207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98382" name=""/>
                              <pic:cNvPicPr>
                                <a:picLocks noChangeAspect="1"/>
                              </pic:cNvPicPr>
                              <pic:nvPr/>
                            </pic:nvPicPr>
                            <pic:blipFill rotWithShape="1">
                              <a:blip r:embed="rId19"/>
                              <a:stretch/>
                            </pic:blipFill>
                            <pic:spPr bwMode="auto">
                              <a:xfrm flipH="0" flipV="0">
                                <a:off x="0" y="0"/>
                                <a:ext cx="3764876" cy="28207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96.45pt;height:222.1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bl>
    <w:p>
      <w:pPr>
        <w:pBdr/>
        <w:spacing/>
        <w:ind/>
        <w:rPr>
          <w:sz w:val="2"/>
          <w:szCs w:val="2"/>
        </w:rPr>
      </w:pPr>
      <w:r>
        <w:rPr>
          <w:sz w:val="2"/>
          <w:szCs w:val="2"/>
        </w:rPr>
      </w:r>
      <w:r>
        <w:rPr>
          <w:sz w:val="2"/>
          <w:szCs w:val="2"/>
        </w:rPr>
      </w:r>
      <w:r>
        <w:rPr>
          <w:sz w:val="2"/>
          <w:szCs w:val="2"/>
        </w:rPr>
      </w:r>
    </w:p>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3879"/>
        <w:gridCol w:w="5646"/>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60710" cy="222053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58352" name=""/>
                              <pic:cNvPicPr>
                                <a:picLocks noChangeAspect="1"/>
                              </pic:cNvPicPr>
                              <pic:nvPr/>
                            </pic:nvPicPr>
                            <pic:blipFill rotWithShape="1">
                              <a:blip r:embed="rId20"/>
                              <a:stretch/>
                            </pic:blipFill>
                            <pic:spPr bwMode="auto">
                              <a:xfrm flipH="0" flipV="0">
                                <a:off x="0" y="0"/>
                                <a:ext cx="2960709" cy="2220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3.13pt;height:174.85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89066" cy="22418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55007" name=""/>
                              <pic:cNvPicPr>
                                <a:picLocks noChangeAspect="1"/>
                              </pic:cNvPicPr>
                              <pic:nvPr/>
                            </pic:nvPicPr>
                            <pic:blipFill rotWithShape="1">
                              <a:blip r:embed="rId21"/>
                              <a:stretch/>
                            </pic:blipFill>
                            <pic:spPr bwMode="auto">
                              <a:xfrm flipH="0" flipV="0">
                                <a:off x="0" y="0"/>
                                <a:ext cx="2989066" cy="2241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5.36pt;height:176.5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7499" cy="21956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13778" name=""/>
                              <pic:cNvPicPr>
                                <a:picLocks noChangeAspect="1"/>
                              </pic:cNvPicPr>
                              <pic:nvPr/>
                            </pic:nvPicPr>
                            <pic:blipFill rotWithShape="1">
                              <a:blip r:embed="rId22"/>
                              <a:stretch/>
                            </pic:blipFill>
                            <pic:spPr bwMode="auto">
                              <a:xfrm flipH="0" flipV="0">
                                <a:off x="0" y="0"/>
                                <a:ext cx="2927499" cy="2195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51pt;height:172.88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02690" cy="217701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25318" name=""/>
                              <pic:cNvPicPr>
                                <a:picLocks noChangeAspect="1"/>
                              </pic:cNvPicPr>
                              <pic:nvPr/>
                            </pic:nvPicPr>
                            <pic:blipFill rotWithShape="1">
                              <a:blip r:embed="rId23"/>
                              <a:stretch/>
                            </pic:blipFill>
                            <pic:spPr bwMode="auto">
                              <a:xfrm flipH="0" flipV="0">
                                <a:off x="0" y="0"/>
                                <a:ext cx="2902689" cy="21770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56pt;height:171.4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w:t>
      </w:r>
      <w:r>
        <w:rPr>
          <w:b/>
          <w:lang w:val="vi-VN"/>
        </w:rPr>
        <w:t xml:space="preserve">U THẬP THỊ</w:t>
      </w:r>
      <w:r>
        <w:rPr>
          <w:b/>
          <w:lang w:val="vi-VN"/>
        </w:rPr>
        <w:t xml:space="preserve">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275/2026/0236/VFI-BC.65.A</w:t>
      </w:r>
      <w:r>
        <w:rPr>
          <w:i/>
        </w:rPr>
        <w:t xml:space="preserve"> </w:t>
      </w:r>
      <w:r>
        <w:rPr>
          <w:i/>
          <w:highlight w:val="yellow"/>
        </w:rPr>
        <w:t xml:space="preserve">ngày</w:t>
      </w:r>
      <w:r>
        <w:rPr>
          <w:i/>
          <w:highlight w:val="yellow"/>
          <w:lang w:val="pt-BR"/>
        </w:rPr>
        <w:t xml:space="preserve"> </w:t>
      </w:r>
      <w:r>
        <w:rPr>
          <w:i/>
          <w:highlight w:val="yellow"/>
          <w:lang w:val="pt-BR"/>
        </w:rPr>
        <w:t xml:space="preserve">02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Dũng Bđs Thổ Cư Hà Đông 0984042591</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Tháng 02/2026</w:t>
            </w:r>
            <w:r>
              <w:rPr>
                <w:sz w:val="22"/>
                <w:szCs w:val="22"/>
                <w:highlight w:val="yellow"/>
              </w:rPr>
            </w:r>
            <w:r>
              <w:rPr>
                <w:sz w:val="22"/>
                <w:szCs w:val="22"/>
                <w:highlight w:val="yellow"/>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Phường Phú La, Quận Hà Đông, Thành phố Hà Nội (nay là phường Kiến Hưng,  thành phố Hà Nội), tài sản tiếp giáp đường nội khu, Khu đô thị mới Văn Phú</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7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71736" cy="2995703"/>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5471736" cy="29957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0.85pt;height:235.88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26165" cy="3240631"/>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5526164" cy="32406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5.13pt;height:255.17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87022" cy="247753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587021" cy="24775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3.70pt;height:195.08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90612" cy="24775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890612" cy="24775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7.61pt;height:195.0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Thị Hồng Phúc</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Dũng Bđs Thổ Cư Hà Đông 0984042591</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Phường Phú La, Quận Hà Đông, Thành phố Hà Nội (nay là phường Kiến Hưng,  thành phố Hà Nội), tài sản tiếp giáp đường nội khu, Khu đô thị mới Văn Phú</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71736" cy="34797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471736" cy="347976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0.85pt;height:274.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8831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38831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4.2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74040" cy="3288301"/>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5474039" cy="32883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1.03pt;height:258.9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0909889808</w:t>
            </w:r>
            <w:r>
              <w:rPr>
                <w:sz w:val="22"/>
                <w:szCs w:val="22"/>
              </w:rPr>
              <w:t xml:space="preserve"> </w:t>
            </w:r>
            <w:r>
              <w:rPr>
                <w:sz w:val="22"/>
                <w:szCs w:val="22"/>
              </w:rPr>
              <w:br/>
              <w:t xml:space="preserve">(anh Hải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19.710.000.000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Phường Phú La, Quận Hà Đông, Thành phố Hà Nội (nay là phường Kiến Hưng,  thành phố Hà Nội), tài sản tiếp giáp đường nội khu, Khu đô thị mới Văn Phú</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74065" cy="3488428"/>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5674063" cy="34884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6.78pt;height:274.68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683090" cy="2847975"/>
                      <wp:effectExtent l="0" t="0" r="0" b="0"/>
                      <wp:docPr id="20" name=""/>
                      <wp:cNvGraphicFramePr/>
                      <a:graphic xmlns:a="http://schemas.openxmlformats.org/drawingml/2006/main">
                        <a:graphicData uri="http://schemas.openxmlformats.org/drawingml/2006/picture">
                          <pic:pic xmlns:pic="http://schemas.openxmlformats.org/drawingml/2006/picture">
                            <pic:nvPicPr>
                              <pic:cNvPr id="1285264924" name="" descr=""/>
                              <pic:cNvPicPr/>
                              <pic:nvPr/>
                            </pic:nvPicPr>
                            <pic:blipFill rotWithShape="1">
                              <a:blip r:embed="rId32"/>
                              <a:stretch/>
                            </pic:blipFill>
                            <pic:spPr bwMode="auto">
                              <a:xfrm flipH="0" flipV="0">
                                <a:off x="0" y="0"/>
                                <a:ext cx="1683090" cy="28479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2.53pt;height:224.25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97303" cy="2847975"/>
                      <wp:effectExtent l="0" t="0" r="0" b="0"/>
                      <wp:docPr id="21" name=""/>
                      <wp:cNvGraphicFramePr/>
                      <a:graphic xmlns:a="http://schemas.openxmlformats.org/drawingml/2006/main">
                        <a:graphicData uri="http://schemas.openxmlformats.org/drawingml/2006/picture">
                          <pic:pic xmlns:pic="http://schemas.openxmlformats.org/drawingml/2006/picture">
                            <pic:nvPicPr>
                              <pic:cNvPr id="17015215" name="" descr=""/>
                              <pic:cNvPicPr/>
                              <pic:nvPr/>
                            </pic:nvPicPr>
                            <pic:blipFill rotWithShape="1">
                              <a:blip r:embed="rId33"/>
                              <a:stretch/>
                            </pic:blipFill>
                            <pic:spPr bwMode="auto">
                              <a:xfrm rot="0" flipH="0" flipV="0">
                                <a:off x="0" y="0"/>
                                <a:ext cx="3797303" cy="28479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99.00pt;height:224.25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Thị Hồng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hd w:val="nil" w:color="auto"/>
        <w:spacing/>
        <w:ind/>
        <w:rPr>
          <w:lang w:val="pt-BR"/>
        </w:rPr>
      </w:pPr>
      <w:r>
        <w:rPr>
          <w:iCs/>
          <w:lang w:val="pt-BR"/>
        </w:rPr>
      </w:r>
      <w:r>
        <mc:AlternateContent>
          <mc:Choice Requires="wpg">
            <w:drawing>
              <wp:inline xmlns:wp="http://schemas.openxmlformats.org/drawingml/2006/wordprocessingDrawing" distT="0" distB="0" distL="0" distR="0">
                <wp:extent cx="6087176" cy="852433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07172" name=""/>
                        <pic:cNvPicPr>
                          <a:picLocks noChangeAspect="1"/>
                        </pic:cNvPicPr>
                        <pic:nvPr/>
                      </pic:nvPicPr>
                      <pic:blipFill rotWithShape="1">
                        <a:blip r:embed="rId34"/>
                        <a:stretch/>
                      </pic:blipFill>
                      <pic:spPr bwMode="auto">
                        <a:xfrm flipH="0" flipV="0">
                          <a:off x="0" y="0"/>
                          <a:ext cx="6087175" cy="8524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9.31pt;height:671.21pt;mso-wrap-distance-left:0.00pt;mso-wrap-distance-top:0.00pt;mso-wrap-distance-right:0.00pt;mso-wrap-distance-bottom:0.00pt;z-index:1;" stroked="false">
                <v:imagedata r:id="rId34" o:title=""/>
                <o:lock v:ext="edit" rotation="t"/>
              </v:shape>
            </w:pict>
          </mc:Fallback>
        </mc:AlternateContent>
      </w:r>
      <w:r>
        <w:rPr>
          <w:iCs/>
          <w:lang w:val="pt-BR"/>
        </w:rPr>
        <w:br w:type="page" w:clear="all"/>
      </w:r>
      <w:r>
        <w:rPr>
          <w:lang w:val="pt-BR"/>
        </w:rPr>
      </w:r>
      <w:r>
        <w:rPr>
          <w:lang w:val="pt-BR"/>
        </w:rPr>
      </w:r>
    </w:p>
    <w:p>
      <w:pPr>
        <w:pBdr/>
        <w:spacing w:after="200" w:line="276" w:lineRule="auto"/>
        <w:ind/>
        <w:rPr>
          <w:iCs/>
          <w:highlight w:val="none"/>
        </w:rPr>
      </w:pPr>
      <w:r>
        <w:rPr>
          <w:iCs/>
          <w:lang w:val="pt-BR"/>
        </w:rPr>
      </w:r>
      <w:r>
        <mc:AlternateContent>
          <mc:Choice Requires="wpg">
            <w:drawing>
              <wp:inline xmlns:wp="http://schemas.openxmlformats.org/drawingml/2006/wordprocessingDrawing" distT="0" distB="0" distL="0" distR="0">
                <wp:extent cx="6226878" cy="843861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96686" name=""/>
                        <pic:cNvPicPr>
                          <a:picLocks noChangeAspect="1"/>
                        </pic:cNvPicPr>
                        <pic:nvPr/>
                      </pic:nvPicPr>
                      <pic:blipFill rotWithShape="1">
                        <a:blip r:embed="rId35"/>
                        <a:stretch/>
                      </pic:blipFill>
                      <pic:spPr bwMode="auto">
                        <a:xfrm flipH="0" flipV="0">
                          <a:off x="0" y="0"/>
                          <a:ext cx="6226877" cy="8438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90.31pt;height:664.46pt;mso-wrap-distance-left:0.00pt;mso-wrap-distance-top:0.00pt;mso-wrap-distance-right:0.00pt;mso-wrap-distance-bottom:0.00pt;z-index:1;" stroked="false">
                <v:imagedata r:id="rId35" o:title=""/>
                <o:lock v:ext="edit" rotation="t"/>
              </v:shape>
            </w:pict>
          </mc:Fallback>
        </mc:AlternateContent>
      </w:r>
      <w:r>
        <w:rPr>
          <w:iCs/>
          <w:highlight w:val="none"/>
        </w:rPr>
      </w:r>
      <w:r>
        <w:rPr>
          <w:iCs/>
          <w:highlight w:val="none"/>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lang w:val="pt-BR"/>
        </w:rPr>
      </w:pPr>
      <w:r>
        <w:rPr>
          <w:lang w:val="pt-BR"/>
        </w:rPr>
      </w:r>
      <w:r>
        <mc:AlternateContent>
          <mc:Choice Requires="wpg">
            <w:drawing>
              <wp:inline xmlns:wp="http://schemas.openxmlformats.org/drawingml/2006/wordprocessingDrawing" distT="0" distB="0" distL="0" distR="0">
                <wp:extent cx="6135655" cy="862911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09907" name=""/>
                        <pic:cNvPicPr>
                          <a:picLocks noChangeAspect="1"/>
                        </pic:cNvPicPr>
                        <pic:nvPr/>
                      </pic:nvPicPr>
                      <pic:blipFill rotWithShape="1">
                        <a:blip r:embed="rId36"/>
                        <a:stretch/>
                      </pic:blipFill>
                      <pic:spPr bwMode="auto">
                        <a:xfrm flipH="0" flipV="0">
                          <a:off x="0" y="0"/>
                          <a:ext cx="6135655" cy="86291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83.12pt;height:679.46pt;mso-wrap-distance-left:0.00pt;mso-wrap-distance-top:0.00pt;mso-wrap-distance-right:0.00pt;mso-wrap-distance-bottom:0.00pt;z-index:1;" stroked="false">
                <v:imagedata r:id="rId36" o:title=""/>
                <o:lock v:ext="edit" rotation="t"/>
              </v:shape>
            </w:pict>
          </mc:Fallback>
        </mc:AlternateContent>
      </w:r>
      <w:r>
        <w:rPr>
          <w:lang w:val="pt-BR"/>
        </w:rPr>
      </w:r>
      <w:r>
        <w:rPr>
          <w:lang w:val="pt-BR"/>
        </w:rPr>
      </w:r>
    </w:p>
    <w:p>
      <w:pPr>
        <w:pBdr/>
        <w:spacing w:after="200" w:line="276" w:lineRule="auto"/>
        <w:ind/>
        <w:rPr>
          <w:lang w:val="pt-BR"/>
        </w:rPr>
      </w:pPr>
      <w:r>
        <w:rPr>
          <w:highlight w:val="none"/>
          <w:lang w:val="pt-BR" w:bidi="pt-BR"/>
        </w:rP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517</cp:revision>
  <dcterms:created xsi:type="dcterms:W3CDTF">2025-09-15T02:01:00Z</dcterms:created>
  <dcterms:modified xsi:type="dcterms:W3CDTF">2026-02-03T08:24:36Z</dcterms:modified>
</cp:coreProperties>
</file>