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016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016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275/2026/0249/VFI-CT.48.A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ĐỨC SƠN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Quyền sử dụng đất tại thửa đất số: 299, tờ bản đồ số: 01 có địa chỉ: Thôn Trát Cầu, xã Tiền Phong, huyện Thường Tín, thành phố Hà Nội (nay là xã Thường Tín,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CU 173184, số vào sổ cấp GCN: CS-TTI14241 do Sở Tài nguyên và Môi trường thành phố Hà Nội cấp ngày 28/02/2020 cho Ông Nguyễn Đức Sơn và Bà Đỗ Thị Kim Anh</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3.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275/2026/0249/VFI-CT.48.A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ĐỨC SƠN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Quyền sử dụng đất tại thửa đất số: 299, tờ bản đồ số: 01 có địa chỉ: Thôn Trát Cầu, xã Tiền Phong, huyện Thường Tín, thành phố Hà Nội (nay là xã Thường Tín,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CU 173184, số vào sổ cấp GCN: CS-TTI14241 do Sở Tài nguyên và Môi trường thành phố Hà Nội cấp ngày 28/02/2020 cho Ông Nguyễn Đức Sơn và Bà Đỗ Thị Kim Anh</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9"/>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9"/>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08" w:type="dxa"/>
        <w:tblBorders/>
        <w:tblLayout w:type="fixed"/>
        <w:tblLook w:val="04A0" w:firstRow="1" w:lastRow="0" w:firstColumn="1" w:lastColumn="0" w:noHBand="0" w:noVBand="1"/>
      </w:tblPr>
      <w:tblGrid>
        <w:gridCol w:w="1588"/>
        <w:gridCol w:w="3302"/>
        <w:gridCol w:w="4890"/>
        <w:gridCol w:w="29"/>
      </w:tblGrid>
      <w:tr>
        <w:trPr>
          <w:trHeight w:val="1152"/>
        </w:trPr>
        <w:tc>
          <w:tcPr>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2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890" w:type="dxa"/>
            <w:textDirection w:val="lrTb"/>
            <w:noWrap w:val="false"/>
          </w:tcPr>
          <w:p>
            <w:pPr>
              <w:pStyle w:val="1038"/>
              <w:pBdr/>
              <w:spacing w:after="60"/>
              <w:ind/>
              <w:rPr>
                <w:color w:val="000000" w:themeColor="text1"/>
                <w:sz w:val="24"/>
                <w:szCs w:val="24"/>
              </w:rPr>
            </w:pPr>
            <w:r>
              <w:rPr>
                <w:rStyle w:val="1037"/>
                <w:rFonts w:ascii="Times New Roman" w:hAnsi="Times New Roman"/>
                <w:color w:val="000000" w:themeColor="text1"/>
                <w:lang w:val="pt-BR"/>
              </w:rPr>
              <w:t xml:space="preserve">Số</w:t>
            </w:r>
            <w:r>
              <w:rPr>
                <w:rStyle w:val="1037"/>
                <w:rFonts w:ascii="Times New Roman" w:hAnsi="Times New Roman"/>
                <w:color w:val="000000" w:themeColor="text1"/>
                <w:lang w:val="pt-BR"/>
              </w:rPr>
              <w:t xml:space="preserve">: </w:t>
            </w:r>
            <w:r>
              <w:rPr>
                <w:rStyle w:val="1037"/>
                <w:rFonts w:ascii="Times New Roman" w:hAnsi="Times New Roman"/>
                <w:color w:val="000000" w:themeColor="text1"/>
                <w:lang w:val="pt-BR"/>
              </w:rPr>
              <w:t xml:space="preserve">275/2026/0249/VFI-CT.48.A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890" w:type="dxa"/>
            <w:textDirection w:val="lrTb"/>
            <w:noWrap w:val="false"/>
          </w:tcPr>
          <w:p>
            <w:pPr>
              <w:pStyle w:val="1038"/>
              <w:pBdr/>
              <w:spacing w:after="60"/>
              <w:ind w:right="-56"/>
              <w:jc w:val="right"/>
              <w:rPr>
                <w:color w:val="000000" w:themeColor="text1"/>
                <w:sz w:val="24"/>
                <w:szCs w:val="24"/>
                <w:lang w:val="vi-VN"/>
              </w:rPr>
            </w:pPr>
            <w:r>
              <w:rPr>
                <w:rStyle w:val="1037"/>
                <w:rFonts w:ascii="Times New Roman" w:hAnsi="Times New Roman"/>
                <w:i/>
                <w:color w:val="auto"/>
              </w:rPr>
              <w:t xml:space="preserve">TP. </w:t>
            </w:r>
            <w:r>
              <w:rPr>
                <w:rStyle w:val="1037"/>
                <w:rFonts w:ascii="Times New Roman" w:hAnsi="Times New Roman"/>
                <w:i/>
                <w:color w:val="auto"/>
              </w:rPr>
              <w:t xml:space="preserve">Hà</w:t>
            </w:r>
            <w:r>
              <w:rPr>
                <w:rStyle w:val="1037"/>
                <w:rFonts w:ascii="Times New Roman" w:hAnsi="Times New Roman"/>
                <w:i/>
                <w:color w:val="auto"/>
              </w:rPr>
              <w:t xml:space="preserve"> </w:t>
            </w:r>
            <w:r>
              <w:rPr>
                <w:rStyle w:val="1037"/>
                <w:rFonts w:ascii="Times New Roman" w:hAnsi="Times New Roman"/>
                <w:i/>
                <w:color w:val="auto"/>
              </w:rPr>
              <w:t xml:space="preserve">Nội</w:t>
            </w:r>
            <w:r>
              <w:rPr>
                <w:rStyle w:val="1037"/>
                <w:rFonts w:ascii="Times New Roman" w:hAnsi="Times New Roman"/>
                <w:i/>
                <w:color w:val="auto"/>
                <w:lang w:val="vi-VN"/>
              </w:rPr>
              <w:t xml:space="preserve">, </w:t>
            </w:r>
            <w:r>
              <w:rPr>
                <w:rStyle w:val="1037"/>
                <w:rFonts w:ascii="Times New Roman" w:hAnsi="Times New Roman"/>
                <w:i/>
                <w:color w:val="000000" w:themeColor="text1"/>
                <w:lang w:val="vi-VN"/>
              </w:rPr>
              <w:t xml:space="preserve">ngày 2 tháng 2 năm 2026</w:t>
            </w:r>
            <w:r>
              <w:rPr>
                <w:color w:val="000000" w:themeColor="text1"/>
                <w:sz w:val="24"/>
                <w:szCs w:val="24"/>
                <w:lang w:val="vi-VN"/>
              </w:rPr>
            </w:r>
            <w:r>
              <w:rPr>
                <w:color w:val="000000" w:themeColor="text1"/>
                <w:sz w:val="24"/>
                <w:szCs w:val="24"/>
                <w:lang w:val="vi-VN"/>
              </w:rPr>
            </w:r>
          </w:p>
        </w:tc>
      </w:tr>
    </w:tbl>
    <w:p>
      <w:pPr>
        <w:pStyle w:val="1038"/>
        <w:pBdr/>
        <w:spacing w:after="120" w:before="200" w:line="288" w:lineRule="auto"/>
        <w:ind/>
        <w:jc w:val="center"/>
        <w:rPr>
          <w:rStyle w:val="1037"/>
          <w:rFonts w:ascii="Times New Roman" w:hAnsi="Times New Roman"/>
          <w:b/>
          <w:bCs/>
          <w:color w:val="auto"/>
          <w:sz w:val="30"/>
          <w:szCs w:val="30"/>
          <w:lang w:val="vi-VN"/>
        </w:rPr>
      </w:pPr>
      <w:r>
        <w:rPr>
          <w:rStyle w:val="1037"/>
          <w:rFonts w:ascii="Times New Roman" w:hAnsi="Times New Roman"/>
          <w:b/>
          <w:bCs/>
          <w:color w:val="auto"/>
          <w:sz w:val="30"/>
          <w:szCs w:val="30"/>
          <w:lang w:val="vi-VN"/>
        </w:rPr>
        <w:t xml:space="preserve">CHỨNG THƯ THẨM ĐỊNH GIÁ</w:t>
      </w:r>
      <w:r>
        <w:rPr>
          <w:rStyle w:val="1037"/>
          <w:rFonts w:ascii="Times New Roman" w:hAnsi="Times New Roman"/>
          <w:b/>
          <w:bCs/>
          <w:color w:val="auto"/>
          <w:sz w:val="30"/>
          <w:szCs w:val="30"/>
          <w:lang w:val="vi-VN"/>
        </w:rPr>
      </w:r>
      <w:r>
        <w:rPr>
          <w:rStyle w:val="103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ĐỨC SƠN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275/2026/0249/VFI-HĐTĐ.48.A</w:t>
      </w:r>
      <w:r>
        <w:rPr>
          <w:spacing w:val="-4"/>
          <w:lang w:val="vi-VN"/>
        </w:rPr>
        <w:t xml:space="preserve"> ký ngày </w:t>
      </w:r>
      <w:r>
        <w:rPr>
          <w:color w:val="000000" w:themeColor="text1"/>
          <w:spacing w:val="-4"/>
        </w:rPr>
        <w:t xml:space="preserve">28 tháng 1 năm 2026</w:t>
      </w:r>
      <w:r>
        <w:rPr>
          <w:spacing w:val="-4"/>
          <w:lang w:val="vi-VN"/>
        </w:rPr>
        <w:t xml:space="preserve"> </w:t>
      </w:r>
      <w:r>
        <w:rPr>
          <w:spacing w:val="-4"/>
          <w:lang w:val="vi-VN"/>
        </w:rPr>
        <w:t xml:space="preserve">giữa </w:t>
      </w:r>
      <w:r>
        <w:rPr>
          <w:rFonts w:ascii="Times New Roman" w:hAnsi="Times New Roman" w:eastAsia="Times New Roman" w:cs="Times New Roman"/>
          <w:color w:val="000000"/>
          <w:sz w:val="24"/>
        </w:rPr>
        <w:t xml:space="preserve">Ông Nguyễn Đức Sơn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275/2026/0249/VFI-BC.48.A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 tháng 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430"/>
        <w:gridCol w:w="422"/>
        <w:gridCol w:w="5421"/>
      </w:tblGrid>
      <w:tr>
        <w:trPr>
          <w:trHeight w:val="336"/>
        </w:trPr>
        <w:tc>
          <w:tcPr>
            <w:shd w:val="clear" w:color="auto" w:fill="auto"/>
            <w:tcBorders/>
            <w:tcW w:w="2430"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2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5421"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189"/>
              </w:tabs>
              <w:spacing w:after="40" w:before="40" w:line="276" w:lineRule="auto"/>
              <w:ind w:right="0" w:firstLine="0" w:left="0"/>
              <w:rPr/>
            </w:pPr>
            <w:r>
              <w:rPr>
                <w:rFonts w:ascii="Times New Roman" w:hAnsi="Times New Roman" w:eastAsia="Times New Roman" w:cs="Times New Roman"/>
                <w:b/>
                <w:color w:val="000000"/>
                <w:sz w:val="24"/>
              </w:rPr>
              <w:t xml:space="preserve">ÔNG NGUYỄN ĐỨC SƠN</w:t>
            </w:r>
            <w:r/>
          </w:p>
        </w:tc>
      </w:tr>
      <w:tr>
        <w:trPr>
          <w:trHeight w:val="20"/>
        </w:trPr>
        <w:tc>
          <w:tcPr>
            <w:shd w:val="clear" w:color="auto" w:fill="auto"/>
            <w:tcBorders/>
            <w:tcW w:w="2430"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2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54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1983</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299, tờ bản đồ số: 01 có địa chỉ: Thôn Trát Cầu, xã Tiền Phong, huyện Thường Tín, thành phố Hà Nội (nay là xã Thường Tín,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CU 173184, số vào sổ cấp GCN: CS-TTI14241 do Sở Tài nguyên và Môi trường thành phố Hà Nội cấp ngày 28/02/2020 cho Ông Nguyễn Đức Sơn và Bà Đỗ Thị Kim Anh</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2551"/>
        <w:gridCol w:w="1492"/>
        <w:gridCol w:w="2581"/>
        <w:gridCol w:w="2164"/>
      </w:tblGrid>
      <w:tr>
        <w:trPr>
          <w:trHeight w:val="20"/>
        </w:trPr>
        <w:tc>
          <w:tcPr>
            <w:shd w:val="clear" w:color="000000" w:fill="ffffff"/>
            <w:tcBorders/>
            <w:tcW w:w="737"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551"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492"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737"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24" w:type="dxa"/>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299, tờ bản đồ số: 01 có địa chỉ: Thôn Trát Cầu, xã Tiền Phong, huyện Thường Tín, thành phố Hà Nội (nay là xã Thường Tín,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CU 173184, số vào sổ cấp GCN: CS-TTI14241 do Sở Tài nguyên và Môi trường thành phố Hà Nội cấp ngày 28/02/2020 cho Ông Nguyễn Đức Sơn và Bà Đỗ Thị Kim Anh</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37"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551" w:type="dxa"/>
            <w:vAlign w:val="center"/>
            <w:textDirection w:val="lrTb"/>
            <w:noWrap w:val="false"/>
          </w:tcPr>
          <w:p>
            <w:pPr>
              <w:pBdr/>
              <w:spacing w:after="40" w:before="40" w:line="288" w:lineRule="auto"/>
              <w:ind/>
              <w:rPr>
                <w:b w:val="0"/>
                <w:bCs w:val="0"/>
              </w:rPr>
            </w:pPr>
            <w:r>
              <w:rPr>
                <w:b w:val="0"/>
                <w:bCs w:val="0"/>
              </w:rPr>
              <w:t xml:space="preserve">Đất ở tại nông thôn</w:t>
            </w:r>
            <w:r>
              <w:rPr>
                <w:b w:val="0"/>
                <w:bCs w:val="0"/>
              </w:rPr>
            </w:r>
            <w:r>
              <w:rPr>
                <w:b w:val="0"/>
                <w:bCs w:val="0"/>
              </w:rPr>
            </w:r>
          </w:p>
        </w:tc>
        <w:tc>
          <w:tcPr>
            <w:tcBorders/>
            <w:tcW w:w="1492" w:type="dxa"/>
            <w:vAlign w:val="center"/>
            <w:textDirection w:val="lrTb"/>
            <w:noWrap/>
          </w:tcPr>
          <w:p>
            <w:pPr>
              <w:pBdr/>
              <w:spacing w:after="40" w:before="40" w:line="288" w:lineRule="auto"/>
              <w:ind/>
              <w:jc w:val="center"/>
              <w:rPr>
                <w:color w:val="000000"/>
              </w:rPr>
            </w:pPr>
            <w:r>
              <w:rPr>
                <w:color w:val="000000" w:themeColor="text1"/>
              </w:rPr>
              <w:t xml:space="preserve">279,0</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25.000.000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6.975.000.000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6.975.000.000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chín trăm bảy mươi lăm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588"/>
        <w:gridCol w:w="3444"/>
        <w:gridCol w:w="5031"/>
        <w:gridCol w:w="29"/>
      </w:tblGrid>
      <w:tr>
        <w:trPr>
          <w:trHeight w:val="1152"/>
        </w:trPr>
        <w:tc>
          <w:tcPr>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50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7" w:tooltip="mailto:ilotus.contact@gmail.com" w:history="1">
              <w:r>
                <w:rPr>
                  <w:rStyle w:val="102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031" w:type="dxa"/>
            <w:textDirection w:val="lrTb"/>
            <w:noWrap w:val="false"/>
          </w:tcPr>
          <w:p>
            <w:pPr>
              <w:pStyle w:val="1038"/>
              <w:pBdr/>
              <w:spacing w:after="60"/>
              <w:ind/>
              <w:rPr>
                <w:color w:val="000000" w:themeColor="text1"/>
                <w:sz w:val="24"/>
                <w:szCs w:val="24"/>
              </w:rPr>
            </w:pPr>
            <w:r>
              <w:rPr>
                <w:rStyle w:val="1037"/>
                <w:rFonts w:ascii="Times New Roman" w:hAnsi="Times New Roman"/>
                <w:color w:val="000000" w:themeColor="text1"/>
                <w:lang w:val="pt-BR"/>
              </w:rPr>
              <w:t xml:space="preserve">Số</w:t>
            </w:r>
            <w:r>
              <w:rPr>
                <w:rStyle w:val="1037"/>
                <w:rFonts w:ascii="Times New Roman" w:hAnsi="Times New Roman"/>
                <w:color w:val="000000" w:themeColor="text1"/>
                <w:lang w:val="pt-BR"/>
              </w:rPr>
              <w:t xml:space="preserve">: </w:t>
            </w:r>
            <w:r>
              <w:rPr>
                <w:rStyle w:val="1037"/>
                <w:rFonts w:ascii="Times New Roman" w:hAnsi="Times New Roman"/>
                <w:color w:val="000000" w:themeColor="text1"/>
                <w:lang w:val="pt-BR"/>
              </w:rPr>
              <w:t xml:space="preserve">275/2026/0249/VFI-CT.48.A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38"/>
              <w:pBdr/>
              <w:spacing w:after="60"/>
              <w:ind w:right="-56"/>
              <w:jc w:val="right"/>
              <w:rPr>
                <w:color w:val="000000" w:themeColor="text1"/>
                <w:sz w:val="24"/>
                <w:szCs w:val="24"/>
                <w:lang w:val="vi-VN"/>
              </w:rPr>
            </w:pPr>
            <w:r>
              <w:rPr>
                <w:rStyle w:val="1037"/>
                <w:rFonts w:ascii="Times New Roman" w:hAnsi="Times New Roman"/>
                <w:i/>
                <w:color w:val="auto"/>
              </w:rPr>
              <w:t xml:space="preserve">TP. </w:t>
            </w:r>
            <w:r>
              <w:rPr>
                <w:rStyle w:val="1037"/>
                <w:rFonts w:ascii="Times New Roman" w:hAnsi="Times New Roman"/>
                <w:i/>
                <w:color w:val="auto"/>
              </w:rPr>
              <w:t xml:space="preserve">Hà</w:t>
            </w:r>
            <w:r>
              <w:rPr>
                <w:rStyle w:val="1037"/>
                <w:rFonts w:ascii="Times New Roman" w:hAnsi="Times New Roman"/>
                <w:i/>
                <w:color w:val="auto"/>
              </w:rPr>
              <w:t xml:space="preserve"> </w:t>
            </w:r>
            <w:r>
              <w:rPr>
                <w:rStyle w:val="1037"/>
                <w:rFonts w:ascii="Times New Roman" w:hAnsi="Times New Roman"/>
                <w:i/>
                <w:color w:val="auto"/>
              </w:rPr>
              <w:t xml:space="preserve">Nội</w:t>
            </w:r>
            <w:r>
              <w:rPr>
                <w:rStyle w:val="1037"/>
                <w:rFonts w:ascii="Times New Roman" w:hAnsi="Times New Roman"/>
                <w:i/>
                <w:color w:val="auto"/>
                <w:lang w:val="vi-VN"/>
              </w:rPr>
              <w:t xml:space="preserve">, </w:t>
            </w:r>
            <w:r>
              <w:rPr>
                <w:rStyle w:val="1037"/>
                <w:rFonts w:ascii="Times New Roman" w:hAnsi="Times New Roman"/>
                <w:i/>
                <w:color w:val="000000" w:themeColor="text1"/>
                <w:lang w:val="vi-VN"/>
              </w:rPr>
              <w:t xml:space="preserve">ngày 2 tháng 2 năm 2026</w:t>
            </w:r>
            <w:r>
              <w:rPr>
                <w:color w:val="000000" w:themeColor="text1"/>
                <w:sz w:val="24"/>
                <w:szCs w:val="24"/>
                <w:lang w:val="vi-VN"/>
              </w:rPr>
            </w:r>
            <w:r>
              <w:rPr>
                <w:color w:val="000000" w:themeColor="text1"/>
                <w:sz w:val="24"/>
                <w:szCs w:val="24"/>
                <w:lang w:val="vi-VN"/>
              </w:rPr>
            </w:r>
          </w:p>
        </w:tc>
      </w:tr>
    </w:tbl>
    <w:p>
      <w:pPr>
        <w:pStyle w:val="103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275/2026/0249/VFI-CT.48.A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 tháng 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183"/>
        <w:gridCol w:w="284"/>
        <w:gridCol w:w="5900"/>
      </w:tblGrid>
      <w:tr>
        <w:trPr>
          <w:trHeight w:val="20"/>
        </w:trPr>
        <w:tc>
          <w:tcPr>
            <w:tcBorders/>
            <w:tcW w:w="2183"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189"/>
              </w:tabs>
              <w:spacing w:after="40" w:before="40" w:line="276" w:lineRule="auto"/>
              <w:ind w:right="0" w:firstLine="0" w:left="0"/>
              <w:rPr/>
            </w:pPr>
            <w:r>
              <w:rPr>
                <w:rFonts w:ascii="Times New Roman" w:hAnsi="Times New Roman" w:eastAsia="Times New Roman" w:cs="Times New Roman"/>
                <w:b/>
                <w:color w:val="000000"/>
                <w:sz w:val="24"/>
              </w:rPr>
              <w:t xml:space="preserve">ÔNG NGUYỄN ĐỨC SƠN</w:t>
            </w:r>
            <w:r/>
          </w:p>
        </w:tc>
      </w:tr>
      <w:tr>
        <w:trPr>
          <w:trHeight w:val="20"/>
        </w:trPr>
        <w:tc>
          <w:tcPr>
            <w:tcBorders/>
            <w:tcW w:w="2183"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1983</w:t>
            </w:r>
            <w:r/>
          </w:p>
        </w:tc>
      </w:tr>
      <w:tr>
        <w:trPr>
          <w:trHeight w:val="20"/>
        </w:trPr>
        <w:tc>
          <w:tcPr>
            <w:tcBorders/>
            <w:tcW w:w="2183"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299, tờ bản đồ số: 01 có địa chỉ: Thôn Trát Cầu, xã Tiền Phong, huyện Thường Tín, thành phố Hà Nội (nay là xã Thường Tín,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CU 173184, số vào sổ cấp GCN: CS-TTI14241 do Sở Tài nguyên và Môi trường thành phố Hà Nội cấp ngày 28/02/2020 cho Ông Nguyễn Đức Sơn và Bà Đỗ Thị Kim Anh</w:t>
            </w:r>
            <w:r>
              <w:rPr>
                <w:b/>
                <w:bCs/>
                <w:spacing w:val="2"/>
                <w:lang w:val="vi-VN"/>
              </w:rPr>
            </w:r>
            <w:r>
              <w:rPr>
                <w:b/>
                <w:bCs/>
                <w:spacing w:val="2"/>
                <w:lang w:val="vi-VN"/>
              </w:rPr>
            </w:r>
          </w:p>
        </w:tc>
      </w:tr>
      <w:tr>
        <w:trPr>
          <w:trHeight w:val="20"/>
        </w:trPr>
        <w:tc>
          <w:tcPr>
            <w:tcBorders/>
            <w:tcW w:w="2183"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183"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183"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183"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xã Thường Tín, thành phố Hà Nội</w:t>
            </w:r>
            <w:r/>
          </w:p>
        </w:tc>
      </w:tr>
      <w:tr>
        <w:trPr>
          <w:trHeight w:val="20"/>
        </w:trPr>
        <w:tc>
          <w:tcPr>
            <w:tcBorders/>
            <w:tcW w:w="2183"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Style w:val="101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20.8589233, 105.8258619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183"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5900"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9"/>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9"/>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9"/>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9"/>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9"/>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9"/>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9"/>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9"/>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CU 173184, số vào sổ cấp GCN: CS-TTI14241 do Sở Tài nguyên và Môi trường thành phố Hà Nội cấp ngày 28/02/2020 cho Ông Nguyễn Đức Sơn và Bà Đỗ Thị Kim Anh</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9"/>
        <w:numPr>
          <w:ilvl w:val="0"/>
          <w:numId w:val="2"/>
        </w:numPr>
        <w:pBdr/>
        <w:tabs>
          <w:tab w:val="left" w:leader="none" w:pos="993"/>
        </w:tabs>
        <w:spacing w:after="120" w:before="120" w:line="276" w:lineRule="auto"/>
        <w:ind/>
        <w:jc w:val="both"/>
        <w:rPr>
          <w:b/>
          <w:highlight w:val="white"/>
        </w:rPr>
      </w:pPr>
      <w:r>
        <w:rPr>
          <w:color w:val="000000" w:themeColor="text1"/>
          <w:lang w:val="pt-BR"/>
        </w:rPr>
      </w:r>
      <w:r>
        <w:rPr>
          <w:rFonts w:ascii="Times New Roman" w:hAnsi="Times New Roman" w:eastAsia="Times New Roman" w:cs="Times New Roman"/>
          <w:color w:val="000000"/>
          <w:sz w:val="24"/>
        </w:rPr>
        <w:t xml:space="preserve">Hợp đồng số </w:t>
      </w:r>
      <w:r>
        <w:rPr>
          <w:rFonts w:ascii="Times New Roman" w:hAnsi="Times New Roman" w:eastAsia="Times New Roman" w:cs="Times New Roman"/>
          <w:color w:val="081b3a"/>
          <w:spacing w:val="3"/>
          <w:sz w:val="24"/>
          <w:highlight w:val="white"/>
        </w:rPr>
        <w:t xml:space="preserve">275/2026/0249/VFI-HĐTĐ.48.A</w:t>
      </w:r>
      <w:r>
        <w:rPr>
          <w:rFonts w:ascii="Times New Roman" w:hAnsi="Times New Roman" w:eastAsia="Times New Roman" w:cs="Times New Roman"/>
          <w:color w:val="000000"/>
          <w:sz w:val="24"/>
        </w:rPr>
        <w:t xml:space="preserve"> ngà</w:t>
      </w:r>
      <w:r>
        <w:rPr>
          <w:rFonts w:ascii="Times New Roman" w:hAnsi="Times New Roman" w:eastAsia="Times New Roman" w:cs="Times New Roman"/>
          <w:color w:val="000000"/>
          <w:sz w:val="24"/>
          <w:highlight w:val="white"/>
        </w:rPr>
        <w:t xml:space="preserve">y</w:t>
      </w:r>
      <w:r>
        <w:rPr>
          <w:rFonts w:ascii="Times New Roman" w:hAnsi="Times New Roman" w:eastAsia="Times New Roman" w:cs="Times New Roman"/>
          <w:color w:val="000000"/>
          <w:sz w:val="24"/>
          <w:highlight w:val="white"/>
        </w:rPr>
        <w:t xml:space="preserve"> 28/1/2026 gi</w:t>
      </w:r>
      <w:r>
        <w:rPr>
          <w:rFonts w:ascii="Times New Roman" w:hAnsi="Times New Roman" w:eastAsia="Times New Roman" w:cs="Times New Roman"/>
          <w:color w:val="000000"/>
          <w:sz w:val="24"/>
          <w:highlight w:val="white"/>
        </w:rPr>
        <w:t xml:space="preserve">ữa Ông Nguyễn Đức Sơn với Công ty Cổ phần Thẩm định và Đầu tư Tài chính Hoa Sen</w:t>
      </w:r>
      <w:r>
        <w:rPr>
          <w:color w:val="000000" w:themeColor="text1"/>
          <w:highlight w:val="white"/>
          <w:lang w:val="pt-BR"/>
        </w:rPr>
        <w:t xml:space="preserve">.</w:t>
      </w:r>
      <w:r>
        <w:rPr>
          <w:b/>
          <w:highlight w:val="white"/>
          <w:lang w:val="pt-BR"/>
        </w:rPr>
      </w:r>
      <w:r>
        <w:rPr>
          <w:b/>
          <w:highlight w:val="white"/>
        </w:rPr>
      </w:r>
    </w:p>
    <w:p>
      <w:pPr>
        <w:pStyle w:val="1039"/>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lang w:val="pt-BR"/>
        </w:rPr>
        <w:tab/>
      </w:r>
      <w:r>
        <w:rPr>
          <w:rFonts w:ascii="Times New Roman" w:hAnsi="Times New Roman" w:eastAsia="Times New Roman" w:cs="Times New Roman"/>
          <w:b/>
          <w:color w:val="000000"/>
          <w:sz w:val="24"/>
        </w:rPr>
        <w:t xml:space="preserve">Tổng quan về thị trường bất động sản huyện Thường Tín cũ</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Cuối năm 2025, khu vực Thường Tín (bất động sản Thường Tín) đang trở thành điểm nóng trên bản đồ đầu tư bất động sản, thu hút nhiều nhà đầu tư và người mua ở thực. Sự phát triển hạ tầng, các dự án đô thị quy mô và nhu cầu nhà ở tăng cao đã tạo nên cú hích </w:t>
      </w:r>
      <w:r>
        <w:rPr>
          <w:rFonts w:ascii="Times New Roman" w:hAnsi="Times New Roman" w:eastAsia="Times New Roman" w:cs="Times New Roman"/>
          <w:color w:val="000000"/>
          <w:sz w:val="24"/>
        </w:rPr>
        <w:t xml:space="preserve">lớn cho bất động sản Thường Tín, khiến thị trường khu vực này ngày càng sôi động.</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b/>
          <w:color w:val="000000"/>
          <w:sz w:val="24"/>
        </w:rPr>
        <w:t xml:space="preserve">Hạ tầng hoàn thiện – động lực tăng trưởng</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Một trong những yếu tố quan trọng giúp bất động sản Thường Tín tăng giá trị là hệ thống hạ tầng giao thông đang được đồng bộ. Các tuyến đường trọng điểm như Quốc lộ 1A, cao tốc Bắc – Nam, Vành đai 4 và các tuyến đường kết nối nội khu đang dần hoàn thiện, g</w:t>
      </w:r>
      <w:r>
        <w:rPr>
          <w:rFonts w:ascii="Times New Roman" w:hAnsi="Times New Roman" w:eastAsia="Times New Roman" w:cs="Times New Roman"/>
          <w:color w:val="000000"/>
          <w:sz w:val="24"/>
        </w:rPr>
        <w:t xml:space="preserve">iúp giảm thời gian di chuyển về trung tâm Hà Nội và các tỉnh lân cận.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Các dự án hạ tầng này không chỉ cải thiện khả năng kết nối mà còn mở ra cơ hội cho các nhà đầu tư phát triển dự án nhà ở, khu đô thị và các công trình dịch vụ. Trên các diễn đàn và mạng xã hội, nhà đầu tư đều đánh giá cao tiềm năng sinh lời dài hạn của bất</w:t>
      </w:r>
      <w:r>
        <w:rPr>
          <w:rFonts w:ascii="Times New Roman" w:hAnsi="Times New Roman" w:eastAsia="Times New Roman" w:cs="Times New Roman"/>
          <w:color w:val="000000"/>
          <w:sz w:val="24"/>
        </w:rPr>
        <w:t xml:space="preserve"> động sản Thường Tín nhờ hạ tầng giao thông thuận lợi.</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b/>
          <w:color w:val="000000"/>
          <w:sz w:val="24"/>
        </w:rPr>
        <w:t xml:space="preserve">Chuyển mình từ vùng ven thành khu đô thị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Trước đây, Thường Tín được biết đến là một huyện ngoại thành với nhiều làng nghề truyền thống. Tuy nhiên, những năm gần đây, diện mạo của khu vực này đang thay đổi mạnh mẽ. Các dự án đô thị lớn như khu đô thị mới Thống Nhất, khu đô thị Tây Nam Thường Tín, </w:t>
      </w:r>
      <w:r>
        <w:rPr>
          <w:rFonts w:ascii="Times New Roman" w:hAnsi="Times New Roman" w:eastAsia="Times New Roman" w:cs="Times New Roman"/>
          <w:color w:val="000000"/>
          <w:sz w:val="24"/>
        </w:rPr>
        <w:t xml:space="preserve">Hồng Hà Eco City… đang hình thành, cung cấp đa dạng sản phẩm từ căn hộ, nhà liền kề đến biệt thự.</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Sự phát triển này giúp Thường Tín không chỉ mở rộng quỹ nhà ở mà còn phát triển hệ thống tiện ích xã hội như trường học, </w:t>
      </w:r>
      <w:hyperlink r:id="rId18" w:tooltip="http://bvthuongtin.vn/" w:history="1">
        <w:r>
          <w:rPr>
            <w:rStyle w:val="1029"/>
            <w:rFonts w:ascii="Times New Roman" w:hAnsi="Times New Roman" w:eastAsia="Times New Roman" w:cs="Times New Roman"/>
            <w:color w:val="000000"/>
            <w:sz w:val="24"/>
            <w:u w:val="single"/>
          </w:rPr>
          <w:t xml:space="preserve">bệnh viện</w:t>
        </w:r>
      </w:hyperlink>
      <w:r>
        <w:rPr>
          <w:rFonts w:ascii="Times New Roman" w:hAnsi="Times New Roman" w:eastAsia="Times New Roman" w:cs="Times New Roman"/>
          <w:color w:val="000000"/>
          <w:sz w:val="24"/>
        </w:rPr>
        <w:t xml:space="preserve">, trung tâm thương mại và công viên. Những thay đổi này đang dần nâng cao chất lượng sống cho cư dân, biến Thường Tín trở thành điểm đến lý tưởng cho các gia đình trẻ và người lao động tại Hà Nội.</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b/>
          <w:color w:val="000000"/>
          <w:sz w:val="24"/>
        </w:rPr>
        <w:t xml:space="preserve">Nhu cầu nhà ở tăng mạnh, nguồn cung hạn chế</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Sự bùng nổ về nhu cầu nhà ở là một đặc điểm nổi bật của thị trường bất động sản Thường Tín cuối năm 2025. Trên các nhóm mua bán bất động sản, nhiều nhà đầu tư và người mua ở thực chia sẻ rằng họ gặp khó khăn khi tìm căn hộ hoặc đất thổ cư phù hợp do nguồn </w:t>
      </w:r>
      <w:r>
        <w:rPr>
          <w:rFonts w:ascii="Times New Roman" w:hAnsi="Times New Roman" w:eastAsia="Times New Roman" w:cs="Times New Roman"/>
          <w:color w:val="000000"/>
          <w:sz w:val="24"/>
        </w:rPr>
        <w:t xml:space="preserve">cung còn hạn chế, đặc biệt ở phân khúc trung và cao cấp.</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Theo khảo sát, giá căn hộ và nhà liền kề tại Thường Tín đang dao động từ 40–50 triệu đồng/m², thấp hơn mức trung bình của Hà Nội nhưng vẫn có xu hướng tăng nhanh. Điều này khiến thị trường khu vực trở thành “điểm nóng” cho nhà đầu tư tìm kiếm cơ hội tăng g</w:t>
      </w:r>
      <w:r>
        <w:rPr>
          <w:rFonts w:ascii="Times New Roman" w:hAnsi="Times New Roman" w:eastAsia="Times New Roman" w:cs="Times New Roman"/>
          <w:color w:val="000000"/>
          <w:sz w:val="24"/>
        </w:rPr>
        <w:t xml:space="preserve">iá và lợi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Sự tham gia của các chủ đầu tư lớn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Nhiều chủ đầu tư uy tín như Bitexco, Tecco, Vinaconex… đã nhắm đến thị trường Thường Tín để phát triển dự án quy mô. Các dự án này không chỉ cung cấp đa dạng loại hình nhà ở mà còn chú trọng phát triển tiện ích đồng bộ, mang đến trải nghiệm sống hiện đại c</w:t>
      </w:r>
      <w:r>
        <w:rPr>
          <w:rFonts w:ascii="Times New Roman" w:hAnsi="Times New Roman" w:eastAsia="Times New Roman" w:cs="Times New Roman"/>
          <w:color w:val="000000"/>
          <w:sz w:val="24"/>
        </w:rPr>
        <w:t xml:space="preserve">ho cư dân.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Trên mạng xã hội, các bài đăng về dự án Thường Tín liên tục nhận được sự quan tâm lớn từ nhà đầu tư và người mua. Việc xuất hiện của các chủ đầu tư lớn cũng góp phần củng cố giá trị của bất động sản Thường Tín, tạo niềm tin về tiềm năng tăng giá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b/>
          <w:color w:val="000000"/>
          <w:sz w:val="24"/>
        </w:rPr>
        <w:t xml:space="preserve">Triển vọng thị trường cuối năm 2025 và đầu 2026</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Mặc dù Thường Tín vẫn là huyện ngoại thành, nhưng triển vọng thị trường bất động sản Thường Tín đang rất tích cực nhờ hạ tầng phát triển và các dự án đô thị mới. Dòng vốn đầu tư vẫn đổ về mạnh mẽ, người mua thực quan tâm đến nhà ở có pháp lý rõ ràng và vị </w:t>
      </w:r>
      <w:r>
        <w:rPr>
          <w:rFonts w:ascii="Times New Roman" w:hAnsi="Times New Roman" w:eastAsia="Times New Roman" w:cs="Times New Roman"/>
          <w:color w:val="000000"/>
          <w:sz w:val="24"/>
        </w:rPr>
        <w:t xml:space="preserve">trí thuận tiện.</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Nhiều chuyên gia dự báo rằng, trong năm 2026, bất động sản Thường Tín sẽ tiếp tục duy trì đà tăng giá ổn định, đặc biệt là phân khúc căn hộ, đất thổ cư và nhà liền kề, trở thành lựa chọn hấp dẫn cả với nhà đầu tư lẫn người có nhu cầu an cư.</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w:t>
      </w:r>
      <w:hyperlink r:id="rId19" w:tooltip="https://bighousing.vn/thi-truong-bat-dong-san-thuong-tin-cuoi-2025/#:~:text=S%E1%BB%B1%20ph%C3%A1t%20tri%E1%BB%83n%20h%E1%BA%A1%20t%E1%BA%A7ng%2C%20c%C3%A1c%20d%E1%BB%B1%20%C3%A1n,d%C3%A0i%20h%E1%BA%A1n%20c%E1%BB%A7a%20b%E1%BA%A5t%20%C4%91%E1%BB%99ng%20s%E1%BA%A3n%20Th%C6%B0%E1%BB%9Dng%20T%C3%ADn." w:history="1">
        <w:r>
          <w:rPr>
            <w:rStyle w:val="1029"/>
            <w:rFonts w:ascii="Times New Roman" w:hAnsi="Times New Roman" w:eastAsia="Times New Roman" w:cs="Times New Roman"/>
            <w:i/>
            <w:color w:val="000000"/>
            <w:sz w:val="24"/>
            <w:u w:val="none"/>
          </w:rPr>
          <w:t xml:space="preserve">Sức bật thị trường bất động sản Thường Tín cuối năm 2025 - Big Housing Land</w:t>
        </w:r>
      </w:hyperlink>
      <w:r>
        <w:rPr>
          <w:rFonts w:ascii="Times New Roman" w:hAnsi="Times New Roman" w:eastAsia="Times New Roman" w:cs="Times New Roman"/>
          <w:i/>
          <w:color w:val="000000"/>
          <w:sz w:val="24"/>
        </w:rPr>
        <w:t xml:space="preserve">)</w:t>
      </w:r>
      <w:r>
        <w:rPr>
          <w:bCs/>
          <w:i/>
          <w:lang w:val="pt-BR"/>
        </w:rPr>
      </w:r>
      <w:r>
        <w:rPr>
          <w:bCs/>
          <w:i/>
          <w:lang w:val="pt-BR"/>
        </w:rPr>
      </w:r>
    </w:p>
    <w:p>
      <w:pPr>
        <w:pStyle w:val="103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r>
            <w:r>
              <w:rPr>
                <w:rFonts w:ascii="Times New Roman" w:hAnsi="Times New Roman" w:eastAsia="Times New Roman" w:cs="Times New Roman"/>
                <w:b/>
                <w:bCs/>
                <w:color w:val="000000"/>
                <w:sz w:val="24"/>
              </w:rPr>
              <w:t xml:space="preserve">Quyền sử dụng đất tại thửa đất số: 299, tờ bản đồ số: 01 có địa chỉ: Thôn Trát Cầu, xã Tiền Phong, huyện Thường Tín, thành phố Hà Nội (nay là xã Thường Tín, thành phố Hà Nội) theo Giấy chứng nhận Quyền sử dụng đất quyền sở hữu nhà ở và tài sản khác gắn liề</w:t>
            </w:r>
            <w:r>
              <w:rPr>
                <w:rFonts w:ascii="Times New Roman" w:hAnsi="Times New Roman" w:eastAsia="Times New Roman" w:cs="Times New Roman"/>
                <w:b/>
                <w:bCs/>
                <w:color w:val="000000"/>
                <w:sz w:val="24"/>
              </w:rPr>
              <w:t xml:space="preserve">n với đất số: CU 173184, số vào sổ cấp GCN: CS-TTI14241 do Sở Tài nguyên và Môi trường thành phố Hà Nội cấp ngày 28/02/2020 cho Ông Nguyễn Đức Sơn và Bà Đỗ Thị Kim 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299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01</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Thôn Trát Cầu, xã Tiền Phong, huyện Thường Tín, thành phố Hà Nội (nay là xã Thường Tín,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279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nông thôn</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Xử lý nợ thế chấp được công nhận QSDĐ như giao đất có thu tiền sử dụng đất</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2,5m  (</w:t>
            </w:r>
            <w:r>
              <w:rPr>
                <w:rFonts w:ascii="Times New Roman" w:hAnsi="Times New Roman" w:eastAsia="Times New Roman" w:cs="Times New Roman"/>
                <w:color w:val="000000"/>
                <w:sz w:val="24"/>
              </w:rPr>
              <w:t xml:space="preserve">Một phần thửa đất đang trích ra và gộp với lối đi chính làm ngõ đi vào, diện tích phần đất được trích ra khoảng 1m x 16m</w:t>
            </w:r>
            <w:r>
              <w:rPr>
                <w:rFonts w:ascii="Times New Roman" w:hAnsi="Times New Roman" w:eastAsia="Times New Roman" w:cs="Times New Roman"/>
                <w:color w:val="000000"/>
                <w:sz w:val="24"/>
              </w:rPr>
              <w:t xml:space="preserve">)</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2,5m  (</w:t>
            </w:r>
            <w:r>
              <w:rPr>
                <w:rFonts w:ascii="Times New Roman" w:hAnsi="Times New Roman" w:eastAsia="Times New Roman" w:cs="Times New Roman"/>
                <w:color w:val="000000"/>
                <w:sz w:val="24"/>
              </w:rPr>
              <w:t xml:space="preserve">Một phần thửa đất đang trích ra và gộp với lối đi chính làm ngõ đi vào, diện tích phần đất được trích ra khoảng 1,0m x 16m</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rFonts w:ascii="Times New Roman" w:hAnsi="Times New Roman" w:eastAsia="Times New Roman" w:cs="Times New Roman"/>
                <w:color w:val="000000"/>
                <w:sz w:val="24"/>
              </w:rPr>
              <w:t xml:space="preserve">Tài sản cách trục chính thôn khoảng 50m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none"/>
              </w:rPr>
              <w:t xml:space="preserve">Hướng Tây: Tiếp giáp đường giao thông.</w:t>
              <w:br/>
              <w:t xml:space="preserve"> Hướng Các hướng khác: Tiếp giáp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20.8589233</w:t>
            </w:r>
            <w:r>
              <w:rPr>
                <w:color w:val="000000"/>
              </w:rPr>
              <w:t xml:space="preserve">, </w:t>
            </w:r>
            <w:r>
              <w:rPr>
                <w:color w:val="000000"/>
              </w:rPr>
              <w:t xml:space="preserve">105.8258619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z-index:1;" stroked="false">
                      <v:imagedata r:id="rId20"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279,0</w:t>
            </w: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33,73</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 khác</w:t>
            </w: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Ổn định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Phù hợp để ở</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 Đất trống</w:t>
            </w:r>
            <w:r>
              <w:rPr>
                <w:b/>
                <w:bCs/>
                <w:color w:val="000000"/>
              </w:rPr>
            </w:r>
            <w:r>
              <w:rPr>
                <w:b/>
                <w:bCs/>
                <w:color w:val="000000"/>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9"/>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39"/>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Style w:val="1039"/>
        <w:numPr>
          <w:ilvl w:val="0"/>
          <w:numId w:val="3"/>
        </w:numPr>
        <w:pBdr/>
        <w:tabs>
          <w:tab w:val="left" w:leader="none" w:pos="993"/>
        </w:tabs>
        <w:spacing w:after="120" w:before="120" w:line="264" w:lineRule="auto"/>
        <w:ind/>
        <w:jc w:val="both"/>
        <w:rPr>
          <w:lang w:val="vi-VN"/>
        </w:rPr>
      </w:pPr>
      <w:r>
        <w:rPr>
          <w:spacing w:val="-2"/>
          <w:highlight w:val="none"/>
          <w:lang w:val="pt-BR" w:bidi="pt-BR"/>
        </w:rPr>
      </w:r>
      <w:r>
        <w:t xml:space="preserve">Tại thời điểm thẩm định giá, tổ thẩm định nhận thấy tài sản có </w:t>
      </w:r>
      <w:r>
        <w:rPr>
          <w:rFonts w:ascii="Times New Roman" w:hAnsi="Times New Roman" w:eastAsia="Times New Roman" w:cs="Times New Roman"/>
          <w:color w:val="000000"/>
          <w:sz w:val="24"/>
        </w:rPr>
        <w:t xml:space="preserve">một phần thửa đất đang trích ra và gộp với lối đi chính làm ngõ đi vào, diện tích phần đất được trích ra khoảng 1,0m x 16m</w:t>
      </w:r>
      <w:r>
        <w:t xml:space="preserve">; việc thẩm định giá được thực hiện trên giả định rằng phần diện tích đất này vẫn thuộc quyền sử dụng riêng của chủ tài sản </w:t>
      </w:r>
      <w:r>
        <w:t xml:space="preserve">và không phát sinh tranh chấp, khiếu nại liên quan.</w:t>
      </w:r>
      <w:r>
        <w:t xml:space="preserve"> </w:t>
      </w:r>
      <w:r>
        <w:rPr>
          <w:lang w:val="vi-VN"/>
        </w:rPr>
        <w:t xml:space="preserve">Khách hàng và các bên thứ ba khi sử dụng kết quả thẩm định giá cần lưu ý</w:t>
      </w:r>
      <w:r>
        <w:rPr>
          <w:lang w:val="vi-VN"/>
        </w:rPr>
      </w:r>
      <w:r>
        <w:rPr>
          <w:lang w:val="vi-VN"/>
        </w:rPr>
      </w:r>
    </w:p>
    <w:p>
      <w:pPr>
        <w:pBdr/>
        <w:tabs>
          <w:tab w:val="left" w:leader="none" w:pos="993"/>
        </w:tabs>
        <w:spacing w:after="120" w:before="120" w:line="264" w:lineRule="auto"/>
        <w:ind w:firstLine="0" w:left="0"/>
        <w:jc w:val="both"/>
        <w:rPr/>
      </w:pPr>
      <w:r>
        <w:rPr>
          <w:lang w:val="vi-VN"/>
        </w:rPr>
      </w: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p>
    <w:p>
      <w:pPr>
        <w:pStyle w:val="1039"/>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9"/>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9"/>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9"/>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9"/>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9"/>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9"/>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9"/>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9"/>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43"/>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453"/>
        <w:gridCol w:w="1984"/>
        <w:gridCol w:w="1772"/>
        <w:gridCol w:w="1772"/>
        <w:gridCol w:w="1772"/>
        <w:gridCol w:w="1772"/>
      </w:tblGrid>
      <w:tr>
        <w:trPr>
          <w:trHeight w:val="0"/>
        </w:trPr>
        <w:tc>
          <w:tcPr>
            <w:tcBorders>
              <w:top w:val="single" w:color="000000" w:sz="8" w:space="0"/>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Thường Tín, thành phố Hà Nội</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Xã Thanh Thùy, Huyện Thanh Oai, Thành phố Hà Nộ</w:t>
            </w:r>
            <w:r>
              <w:rPr>
                <w:rFonts w:ascii="Times New Roman" w:hAnsi="Times New Roman" w:eastAsia="Times New Roman" w:cs="Times New Roman"/>
                <w:color w:val="000000"/>
                <w:sz w:val="22"/>
                <w:highlight w:val="white"/>
              </w:rPr>
              <w:t xml:space="preserve">i</w:t>
            </w:r>
            <w:r>
              <w:rPr>
                <w:highlight w:val="white"/>
              </w:rPr>
            </w:r>
            <w:r>
              <w:rPr>
                <w:highlight w:val="white"/>
              </w:rP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Thường Tín, thành phố Hà Nội</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yellow"/>
              </w:rPr>
            </w:pP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rPr>
              <w:t xml:space="preserve">Xã Thường Tín, thành phố Hà Nội</w:t>
            </w:r>
            <w:r>
              <w:rPr>
                <w:highlight w:val="yellow"/>
              </w:rPr>
            </w:r>
            <w:r>
              <w:rPr>
                <w:highlight w:val="yellow"/>
              </w:rP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https://www.facebook.com/share/p/17qm4KrVLQ/</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0973390834</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(Sale Trinh)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0339886823</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(Sale Đình Long)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0339886823</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(Sale Đình Long)</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1/2026</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1/2026</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1/2026</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trục chính thôn khoảng 50m</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DT 427 khoảng 160m</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đường TL427 khoảng 1km</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đường DT427 khoảng 800m</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279</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56</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94,8</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97,2</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6,59</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2 mặt tiền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Ngõ cụt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val="0"/>
                <w:bCs w:val="0"/>
              </w:rPr>
            </w:pPr>
            <w:r>
              <w:rPr>
                <w:rFonts w:ascii="Times New Roman" w:hAnsi="Times New Roman" w:eastAsia="Times New Roman" w:cs="Times New Roman"/>
                <w:b w:val="0"/>
                <w:bCs w:val="0"/>
                <w:color w:val="000000"/>
                <w:sz w:val="22"/>
              </w:rPr>
              <w:t xml:space="preserve">3.090.000.000</w:t>
            </w:r>
            <w:r>
              <w:rPr>
                <w:b w:val="0"/>
                <w:bCs w:val="0"/>
              </w:rPr>
            </w:r>
            <w:r>
              <w:rPr>
                <w:b w:val="0"/>
                <w:bCs w:val="0"/>
              </w:rP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val="0"/>
                <w:bCs w:val="0"/>
              </w:rPr>
            </w:pPr>
            <w:r>
              <w:rPr>
                <w:rFonts w:ascii="Times New Roman" w:hAnsi="Times New Roman" w:eastAsia="Times New Roman" w:cs="Times New Roman"/>
                <w:b w:val="0"/>
                <w:bCs w:val="0"/>
                <w:color w:val="000000"/>
                <w:sz w:val="22"/>
              </w:rPr>
              <w:t xml:space="preserve">5.214.000.000</w:t>
            </w:r>
            <w:r>
              <w:rPr>
                <w:b w:val="0"/>
                <w:bCs w:val="0"/>
              </w:rPr>
            </w:r>
            <w:r>
              <w:rPr>
                <w:b w:val="0"/>
                <w:bCs w:val="0"/>
              </w:rP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val="0"/>
                <w:bCs w:val="0"/>
              </w:rPr>
            </w:pPr>
            <w:r>
              <w:rPr>
                <w:rFonts w:ascii="Times New Roman" w:hAnsi="Times New Roman" w:eastAsia="Times New Roman" w:cs="Times New Roman"/>
                <w:b w:val="0"/>
                <w:bCs w:val="0"/>
                <w:color w:val="000000"/>
                <w:sz w:val="22"/>
              </w:rPr>
              <w:t xml:space="preserve">5.929.200.000</w:t>
            </w:r>
            <w:r>
              <w:rPr>
                <w:b w:val="0"/>
                <w:bCs w:val="0"/>
              </w:rPr>
            </w:r>
            <w:r>
              <w:rPr>
                <w:b w:val="0"/>
                <w:bCs w:val="0"/>
              </w:rP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2.781.000.000</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4.692.600.000</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5.039.820.000</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ở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2.781.000.000</w:t>
            </w:r>
            <w:r>
              <w:rPr>
                <w:b/>
                <w:bCs/>
              </w:rPr>
            </w:r>
            <w:r>
              <w:rPr>
                <w:b/>
                <w:bCs/>
              </w:rP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4.692.600.000</w:t>
            </w:r>
            <w:r>
              <w:rPr>
                <w:b/>
                <w:bCs/>
              </w:rPr>
            </w:r>
            <w:r>
              <w:rPr>
                <w:b/>
                <w:bCs/>
              </w:rP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5.039.820.000</w:t>
            </w:r>
            <w:r>
              <w:rPr>
                <w:b/>
                <w:bCs/>
              </w:rPr>
            </w:r>
            <w:r>
              <w:rPr>
                <w:b/>
                <w:bCs/>
              </w:rP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49.660.714</w:t>
            </w:r>
            <w:r>
              <w:rPr>
                <w:b/>
                <w:bCs/>
              </w:rPr>
            </w:r>
            <w:r>
              <w:rPr>
                <w:b/>
                <w:bCs/>
              </w:rP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49.500.000</w:t>
            </w:r>
            <w:r>
              <w:rPr>
                <w:b/>
                <w:bCs/>
              </w:rPr>
            </w:r>
            <w:r>
              <w:rPr>
                <w:b/>
                <w:bCs/>
              </w:rP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51.850.000</w:t>
            </w:r>
            <w:r>
              <w:rPr>
                <w:b/>
                <w:bCs/>
              </w:rPr>
            </w:r>
            <w:r>
              <w:rPr>
                <w:b/>
                <w:bCs/>
              </w:rP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0"/>
        </w:trPr>
        <w:tc>
          <w:tcPr>
            <w:tcBorders>
              <w:left w:val="single" w:color="000000" w:sz="8" w:space="0"/>
              <w:bottom w:val="single" w:color="000000" w:sz="8" w:space="0"/>
              <w:right w:val="single" w:color="000000" w:sz="8" w:space="0"/>
            </w:tcBorders>
            <w:tcMar>
              <w:left w:w="15" w:type="dxa"/>
              <w:top w:w="15" w:type="dxa"/>
              <w:right w:w="15"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5" w:type="dxa"/>
              <w:top w:w="15" w:type="dxa"/>
              <w:right w:w="15"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5" w:type="dxa"/>
              <w:top w:w="15" w:type="dxa"/>
              <w:right w:w="15"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9"/>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09"/>
        <w:gridCol w:w="1787"/>
        <w:gridCol w:w="1134"/>
        <w:gridCol w:w="1524"/>
        <w:gridCol w:w="1524"/>
        <w:gridCol w:w="1524"/>
        <w:gridCol w:w="1524"/>
      </w:tblGrid>
      <w:tr>
        <w:trPr>
          <w:trHeight w:val="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Yếu tố so sánh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vị tính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thẩm định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2.781.000.000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4.692.600.000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5.039.820.000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đất ước tính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49.660.714</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51.850.000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Điều chỉnh các yếu tố so sánh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C1</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49.660.714</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51.850.000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C2</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cách trục chính thôn khoảng 50m</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cách DT 427 khoảng 160m</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cách đường TL427 khoảng 1km</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cách đường DT427 khoảng 800m</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1.555.500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49.660.714</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50.985.000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53.405.500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C3</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2,5</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-5.185.000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49.660.714</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46.035.000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48.220.500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C4</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279,0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56,0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94,8</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97,2</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-7.449.107</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-5.185.000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42.211.607</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41.085.000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43.035.500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C5</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6,59</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5,0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-5.185.000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37.245.536</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36.135.000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37.850.500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C6</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Tiếp giáp 2 mặt tiền</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32.279.464</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36.135.000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37.850.500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C7</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Tương đối vuông vức</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-5.185.000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27.313.393</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31.185.000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32.665.500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C8</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Ngõ cụt</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Không</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Không</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Không</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-4.966.071</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-5.185.000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Đồng/m²</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22.347.321</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26.235.000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27.480.500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D1</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trung bình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spacing w:after="0" w:before="0" w:line="240" w:lineRule="auto"/>
              <w:ind/>
              <w:jc w:val="center"/>
              <w:rPr/>
            </w:pPr>
            <w:r/>
            <w:r/>
          </w:p>
        </w:tc>
        <w:tc>
          <w:tcPr>
            <w:gridSpan w:val="3"/>
            <w:tcBorders>
              <w:bottom w:val="single" w:color="000000" w:sz="8" w:space="0"/>
              <w:right w:val="single" w:color="000000" w:sz="8" w:space="0"/>
            </w:tcBorders>
            <w:tcMar>
              <w:left w:w="108" w:type="dxa"/>
              <w:top w:w="0" w:type="dxa"/>
              <w:right w:w="108" w:type="dxa"/>
              <w:bottom w:w="0" w:type="dxa"/>
            </w:tcMar>
            <w:tcW w:w="45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25.354.274</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D2</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độ chênh lệch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-11,9%</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8,4%</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E</w:t>
            </w:r>
            <w:r/>
          </w:p>
        </w:tc>
        <w:tc>
          <w:tcPr>
            <w:gridSpan w:val="6"/>
            <w:tcBorders>
              <w:bottom w:val="single" w:color="000000" w:sz="8" w:space="0"/>
              <w:right w:val="single" w:color="000000" w:sz="8" w:space="0"/>
            </w:tcBorders>
            <w:tcMar>
              <w:left w:w="108" w:type="dxa"/>
              <w:top w:w="0" w:type="dxa"/>
              <w:right w:w="108" w:type="dxa"/>
              <w:bottom w:w="0" w:type="dxa"/>
            </w:tcMar>
            <w:tcW w:w="901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E1</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giá trị điều chỉnh gộp</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27.313.393</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26.235.000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27.480.500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E2</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số lần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Lần</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E3</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Biên độ điều chỉnh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10-15%</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5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E4</w:t>
            </w:r>
            <w:r/>
          </w:p>
        </w:tc>
        <w:tc>
          <w:tcPr>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giá trị điều chỉnh thuần</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(27.313.393)</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(23.265.000)</w:t>
            </w:r>
            <w:r/>
          </w:p>
        </w:tc>
        <w:tc>
          <w:tcPr>
            <w:tcBorders>
              <w:bottom w:val="single" w:color="000000" w:sz="8" w:space="0"/>
              <w:right w:val="single" w:color="000000" w:sz="8" w:space="0"/>
            </w:tcBorders>
            <w:tcMar>
              <w:left w:w="108" w:type="dxa"/>
              <w:top w:w="0" w:type="dxa"/>
              <w:right w:w="108" w:type="dxa"/>
              <w:bottom w:w="0" w:type="dxa"/>
            </w:tcMar>
            <w:tcW w:w="152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(24.369.500)</w:t>
            </w: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3,5% đến 11,9%, đảm bảo không quá 15% (theo Thông tư số 32/2024/TT-BTC ngày 16/5/2024 của Bộ Tài chính).</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Style w:val="104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4"/>
        <w:gridCol w:w="2887"/>
        <w:gridCol w:w="1843"/>
        <w:gridCol w:w="2126"/>
        <w:gridCol w:w="1984"/>
      </w:tblGrid>
      <w:tr>
        <w:trPr>
          <w:trHeight w:val="91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8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trung bình của mức giá chỉ dẫn sau điều chỉnh</w:t>
            </w:r>
            <w:r/>
          </w:p>
        </w:tc>
      </w:tr>
      <w:tr>
        <w:trPr>
          <w:trHeight w:val="320"/>
        </w:trPr>
        <w:tc>
          <w:tcPr>
            <w:tcBorders>
              <w:left w:val="single" w:color="000000" w:sz="8"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8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22.347.321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7.448.362 </w:t>
            </w:r>
            <w:r/>
          </w:p>
        </w:tc>
      </w:tr>
      <w:tr>
        <w:trPr>
          <w:trHeight w:val="320"/>
        </w:trPr>
        <w:tc>
          <w:tcPr>
            <w:tcBorders>
              <w:left w:val="single" w:color="000000" w:sz="8"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8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26.235.000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8.744.126 </w:t>
            </w:r>
            <w:r/>
          </w:p>
        </w:tc>
      </w:tr>
      <w:tr>
        <w:trPr>
          <w:trHeight w:val="320"/>
        </w:trPr>
        <w:tc>
          <w:tcPr>
            <w:tcBorders>
              <w:left w:val="single" w:color="000000" w:sz="8"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8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27.480.500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9.159.251 </w:t>
            </w:r>
            <w:r/>
          </w:p>
        </w:tc>
      </w:tr>
      <w:tr>
        <w:trPr>
          <w:trHeight w:val="31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5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2"/>
              </w:rPr>
              <w:t xml:space="preserve">              25.351.738 </w:t>
            </w:r>
            <w:r/>
          </w:p>
        </w:tc>
      </w:tr>
      <w:tr>
        <w:trPr>
          <w:trHeight w:val="31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5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Làm tròn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2"/>
              </w:rPr>
              <w:t xml:space="preserve">              25.000.000 </w:t>
            </w: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25.000.000</w:t>
      </w:r>
      <w:r>
        <w:rPr>
          <w:b/>
          <w:bCs/>
          <w:color w:val="000000" w:themeColor="text1"/>
        </w:rPr>
        <w:t xml:space="preserve"> </w:t>
      </w:r>
      <w:r>
        <w:rPr>
          <w:b/>
          <w:bCs/>
        </w:rPr>
        <w:t xml:space="preserve">đồng</w:t>
      </w:r>
      <w:r>
        <w:rPr>
          <w:b/>
          <w:bCs/>
        </w:rPr>
        <w:t xml:space="preserve">/m²</w:t>
      </w:r>
      <w:r>
        <w:rPr>
          <w:b/>
          <w:bCs/>
        </w:rPr>
      </w:r>
      <w:r>
        <w:rPr>
          <w:b/>
          <w:bCs/>
        </w:rPr>
      </w:r>
    </w:p>
    <w:p>
      <w:pPr>
        <w:pStyle w:val="1039"/>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9"/>
        <w:pBdr/>
        <w:tabs>
          <w:tab w:val="left" w:leader="none" w:pos="993"/>
        </w:tabs>
        <w:spacing w:after="120" w:before="120" w:line="240"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299, tờ bản đồ số: 01 có địa chỉ: Thôn Trát Cầu, xã Tiền Phong, huyện Thường Tín, thành phố Hà Nội (nay là xã Thường Tín,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CU 173184, số vào sổ cấp GCN: CS-TTI14241 do Sở Tài nguyên và Môi trường thành phố Hà Nội cấp ngày 28/02/2020 cho Ông Nguyễn Đức Sơn và Bà Đỗ Thị Kim Anh</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Đất ở tại nông thôn</w:t>
            </w:r>
            <w:r>
              <w:rPr>
                <w:b w:val="0"/>
                <w:bCs w:val="0"/>
              </w:rPr>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279</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25.000.000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6.975.000.000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6.975.000.000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chín trăm bảy mươi lăm triệu đồng</w:t>
            </w:r>
            <w:r>
              <w:rPr>
                <w:b/>
                <w:bCs/>
                <w:i/>
                <w:iCs/>
                <w:color w:val="000000"/>
              </w:rPr>
              <w:t xml:space="preserve">./.)</w:t>
            </w:r>
            <w:r>
              <w:rPr>
                <w:b/>
                <w:bCs/>
                <w:i/>
                <w:iCs/>
                <w:color w:val="000000"/>
              </w:rPr>
            </w:r>
            <w:r>
              <w:rPr>
                <w:b/>
                <w:bCs/>
                <w:i/>
                <w:iCs/>
                <w:color w:val="000000"/>
              </w:rPr>
            </w:r>
          </w:p>
        </w:tc>
      </w:tr>
    </w:tbl>
    <w:p>
      <w:pPr>
        <w:pStyle w:val="1039"/>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9"/>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9"/>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9"/>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9"/>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9"/>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9"/>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9"/>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9"/>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9"/>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9"/>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9"/>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9"/>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9"/>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9"/>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Bdr/>
        <w:shd w:val="nil" w:color="auto"/>
        <w:spacing/>
        <w:ind/>
        <w:rPr>
          <w:lang w:val="vi-VN"/>
        </w:rPr>
      </w:pPr>
      <w:r>
        <w:rPr>
          <w:highlight w:val="none"/>
          <w:lang w:val="vi-VN"/>
        </w:rPr>
        <w:br w:type="page" w:clear="all"/>
      </w:r>
      <w:r>
        <w:rPr>
          <w:highlight w:val="none"/>
          <w:lang w:val="vi-VN"/>
        </w:rPr>
      </w:r>
      <w:r>
        <w:rPr>
          <w:lang w:val="vi-VN"/>
        </w:rPr>
      </w:r>
    </w:p>
    <w:p>
      <w:pPr>
        <w:pStyle w:val="1039"/>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275/2026/0249/VFI-CT.48.A</w:t>
      </w:r>
      <w:r>
        <w:rPr>
          <w:color w:val="ff0000"/>
          <w:lang w:val="vi-VN"/>
        </w:rPr>
        <w:t xml:space="preserve"> </w:t>
      </w:r>
      <w:r>
        <w:rPr>
          <w:color w:val="000000" w:themeColor="text1"/>
        </w:rPr>
        <w:t xml:space="preserve">ngày 2 tháng 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275/2026/0249/VFI-B</w:t>
      </w:r>
      <w:r>
        <w:rPr>
          <w:i/>
          <w:highlight w:val="white"/>
        </w:rPr>
        <w:t xml:space="preserve">C.</w:t>
      </w:r>
      <w:r>
        <w:rPr>
          <w:i/>
          <w:highlight w:val="white"/>
        </w:rPr>
        <w:t xml:space="preserve">48.A</w:t>
      </w:r>
      <w:r>
        <w:rPr>
          <w:i/>
          <w:highlight w:val="white"/>
          <w:lang w:val="pt-BR"/>
        </w:rPr>
        <w:t xml:space="preserve"> ngày </w:t>
      </w:r>
      <w:r>
        <w:rPr>
          <w:i/>
          <w:highlight w:val="white"/>
          <w:lang w:val="pt-BR"/>
        </w:rPr>
        <w:t xml:space="preserve">2 tháng </w:t>
      </w:r>
      <w:r>
        <w:rPr>
          <w:i/>
          <w:highlight w:val="white"/>
          <w:lang w:val="pt-BR"/>
        </w:rPr>
        <w:t xml:space="preserve">2 </w:t>
      </w:r>
      <w:r>
        <w:rPr>
          <w:i/>
          <w:lang w:val="pt-BR"/>
        </w:rPr>
        <w:t xml:space="preserve">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4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rHeight w:val="3942"/>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265906" cy="229696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13029" name=""/>
                              <pic:cNvPicPr>
                                <a:picLocks noChangeAspect="1"/>
                              </pic:cNvPicPr>
                              <pic:nvPr/>
                            </pic:nvPicPr>
                            <pic:blipFill rotWithShape="1">
                              <a:blip r:embed="rId21"/>
                              <a:stretch/>
                            </pic:blipFill>
                            <pic:spPr bwMode="auto">
                              <a:xfrm flipH="0" flipV="0">
                                <a:off x="0" y="0"/>
                                <a:ext cx="1265906" cy="22969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9.68pt;height:180.86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03712" cy="240270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15044" name=""/>
                              <pic:cNvPicPr>
                                <a:picLocks noChangeAspect="1"/>
                              </pic:cNvPicPr>
                              <pic:nvPr/>
                            </pic:nvPicPr>
                            <pic:blipFill rotWithShape="1">
                              <a:blip r:embed="rId22"/>
                              <a:stretch/>
                            </pic:blipFill>
                            <pic:spPr bwMode="auto">
                              <a:xfrm flipH="0" flipV="0">
                                <a:off x="0" y="0"/>
                                <a:ext cx="1803712" cy="24027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2.02pt;height:189.19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94017" cy="217500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80715" name=""/>
                              <pic:cNvPicPr>
                                <a:picLocks noChangeAspect="1"/>
                              </pic:cNvPicPr>
                              <pic:nvPr/>
                            </pic:nvPicPr>
                            <pic:blipFill rotWithShape="1">
                              <a:blip r:embed="rId23"/>
                              <a:stretch/>
                            </pic:blipFill>
                            <pic:spPr bwMode="auto">
                              <a:xfrm flipH="0" flipV="0">
                                <a:off x="0" y="0"/>
                                <a:ext cx="2894016" cy="21750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7.88pt;height:171.26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00421" cy="217090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6149" name=""/>
                              <pic:cNvPicPr>
                                <a:picLocks noChangeAspect="1"/>
                              </pic:cNvPicPr>
                              <pic:nvPr/>
                            </pic:nvPicPr>
                            <pic:blipFill rotWithShape="1">
                              <a:blip r:embed="rId24"/>
                              <a:stretch/>
                            </pic:blipFill>
                            <pic:spPr bwMode="auto">
                              <a:xfrm flipH="0" flipV="0">
                                <a:off x="0" y="0"/>
                                <a:ext cx="2900421" cy="21709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8.38pt;height:170.94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86735" cy="2094343"/>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65196" name=""/>
                              <pic:cNvPicPr>
                                <a:picLocks noChangeAspect="1"/>
                              </pic:cNvPicPr>
                              <pic:nvPr/>
                            </pic:nvPicPr>
                            <pic:blipFill rotWithShape="1">
                              <a:blip r:embed="rId25"/>
                              <a:stretch/>
                            </pic:blipFill>
                            <pic:spPr bwMode="auto">
                              <a:xfrm flipH="0" flipV="0">
                                <a:off x="0" y="0"/>
                                <a:ext cx="2786734" cy="20943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9.43pt;height:164.91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911705" cy="2183779"/>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00769" name=""/>
                              <pic:cNvPicPr>
                                <a:picLocks noChangeAspect="1"/>
                              </pic:cNvPicPr>
                              <pic:nvPr/>
                            </pic:nvPicPr>
                            <pic:blipFill rotWithShape="1">
                              <a:blip r:embed="rId26"/>
                              <a:stretch/>
                            </pic:blipFill>
                            <pic:spPr bwMode="auto">
                              <a:xfrm flipH="0" flipV="0">
                                <a:off x="0" y="0"/>
                                <a:ext cx="2911704" cy="21837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9.27pt;height:171.95pt;mso-wrap-distance-left:0.00pt;mso-wrap-distance-top:0.00pt;mso-wrap-distance-right:0.00pt;mso-wrap-distance-bottom:0.00pt;z-index:1;" stroked="false">
                      <v:imagedata r:id="rId26"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275/2026/0249/VFI-BC.48.A</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bCs/>
          <w:i/>
          <w:highlight w:val="none"/>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bCs/>
          <w:i/>
          <w:highlight w:val="none"/>
          <w:lang w:val="pt-BR"/>
        </w:rPr>
      </w:r>
      <w:r>
        <w:rPr>
          <w:bCs/>
          <w:i/>
          <w:highlight w:val="none"/>
          <w:lang w:val="pt-BR"/>
        </w:rPr>
      </w:r>
    </w:p>
    <w:p>
      <w:pPr>
        <w:pBdr/>
        <w:spacing w:after="120"/>
        <w:ind/>
        <w:jc w:val="center"/>
        <w:rPr>
          <w:bCs/>
          <w:i/>
          <w:highlight w:val="none"/>
          <w:lang w:val="pt-BR" w:bidi="pt-BR"/>
        </w:rPr>
      </w:pPr>
      <w:r>
        <w:rPr>
          <w:i/>
          <w:highlight w:val="none"/>
          <w:lang w:val="pt-BR" w:bidi="pt-BR"/>
        </w:rPr>
      </w:r>
      <w:r>
        <mc:AlternateContent>
          <mc:Choice Requires="wpg">
            <w:drawing>
              <wp:inline xmlns:wp="http://schemas.openxmlformats.org/drawingml/2006/wordprocessingDrawing" distT="0" distB="0" distL="0" distR="0">
                <wp:extent cx="6048375" cy="551792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45059" name=""/>
                        <pic:cNvPicPr>
                          <a:picLocks noChangeAspect="1"/>
                        </pic:cNvPicPr>
                        <pic:nvPr/>
                      </pic:nvPicPr>
                      <pic:blipFill rotWithShape="1">
                        <a:blip r:embed="rId27"/>
                        <a:stretch/>
                      </pic:blipFill>
                      <pic:spPr bwMode="auto">
                        <a:xfrm>
                          <a:off x="0" y="0"/>
                          <a:ext cx="6048374" cy="55179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434.48pt;mso-wrap-distance-left:0.00pt;mso-wrap-distance-top:0.00pt;mso-wrap-distance-right:0.00pt;mso-wrap-distance-bottom:0.00pt;z-index:1;" stroked="false">
                <v:imagedata r:id="rId27" o:title=""/>
                <o:lock v:ext="edit" rotation="t"/>
              </v:shape>
            </w:pict>
          </mc:Fallback>
        </mc:AlternateContent>
      </w:r>
      <w:r>
        <w:rPr>
          <w:bCs/>
          <w:i/>
          <w:highlight w:val="none"/>
          <w:lang w:val="pt-BR" w:bidi="pt-BR"/>
        </w:rPr>
      </w:r>
      <w:r>
        <w:rPr>
          <w:bCs/>
          <w:i/>
          <w:highlight w:val="none"/>
          <w:lang w:val="pt-BR" w:bidi="pt-BR"/>
        </w:rPr>
      </w:r>
    </w:p>
    <w:p>
      <w:pPr>
        <w:pBdr/>
        <w:spacing w:after="120"/>
        <w:ind/>
        <w:jc w:val="center"/>
        <w:rPr>
          <w:bCs/>
          <w:i/>
          <w:lang w:val="pt-BR"/>
        </w:rPr>
      </w:pPr>
      <w:r>
        <w:rPr>
          <w:i/>
          <w:highlight w:val="none"/>
          <w:lang w:val="pt-BR" w:bidi="pt-BR"/>
        </w:rPr>
      </w:r>
      <w:r>
        <w:rPr>
          <w:bCs/>
          <w:i/>
          <w:lang w:val="pt-BR"/>
        </w:rPr>
      </w:r>
      <w:r>
        <w:rPr>
          <w:bCs/>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highlight w:val="none"/>
        </w:rPr>
      </w:pPr>
      <w:r>
        <w:rPr>
          <w:b/>
          <w:bCs/>
          <w:iCs/>
          <w:lang w:val="pt-BR"/>
        </w:rPr>
      </w:r>
      <w:r>
        <mc:AlternateContent>
          <mc:Choice Requires="wpg">
            <w:drawing>
              <wp:inline xmlns:wp="http://schemas.openxmlformats.org/drawingml/2006/wordprocessingDrawing" distT="0" distB="0" distL="0" distR="0">
                <wp:extent cx="6048375" cy="4877722"/>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97797" name=""/>
                        <pic:cNvPicPr>
                          <a:picLocks noChangeAspect="1"/>
                        </pic:cNvPicPr>
                        <pic:nvPr/>
                      </pic:nvPicPr>
                      <pic:blipFill rotWithShape="1">
                        <a:blip r:embed="rId28"/>
                        <a:stretch/>
                      </pic:blipFill>
                      <pic:spPr bwMode="auto">
                        <a:xfrm>
                          <a:off x="0" y="0"/>
                          <a:ext cx="6048374" cy="487772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384.07pt;mso-wrap-distance-left:0.00pt;mso-wrap-distance-top:0.00pt;mso-wrap-distance-right:0.00pt;mso-wrap-distance-bottom:0.00pt;z-index:1;" stroked="false">
                <v:imagedata r:id="rId28" o:title=""/>
                <o:lock v:ext="edit" rotation="t"/>
              </v:shape>
            </w:pict>
          </mc:Fallback>
        </mc:AlternateContent>
      </w:r>
      <w:r>
        <w:rPr>
          <w:iCs/>
          <w:highlight w:val="none"/>
        </w:rPr>
      </w:r>
      <w:r>
        <w:rPr>
          <w:iCs/>
          <w:highlight w:val="none"/>
        </w:rPr>
      </w:r>
    </w:p>
    <w:p>
      <w:pPr>
        <w:pBdr/>
        <w:spacing w:after="200" w:line="276" w:lineRule="auto"/>
        <w:ind/>
        <w:jc w:val="center"/>
        <w:rPr>
          <w:lang w:val="pt-BR"/>
        </w:rPr>
      </w:pPr>
      <w:r>
        <w:rPr>
          <w:highlight w:val="none"/>
          <w:lang w:val="pt-BR" w:bidi="pt-BR"/>
        </w:rPr>
      </w:r>
      <w:r>
        <w:rPr>
          <w:lang w:val="pt-BR"/>
        </w:rPr>
      </w:r>
      <w:r>
        <w:rPr>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iCs/>
          <w:highlight w:val="none"/>
          <w:lang w:val="pt-BR"/>
        </w:rPr>
      </w:pPr>
      <w:r>
        <w:rPr>
          <w:iCs/>
          <w:lang w:val="pt-BR"/>
        </w:rPr>
      </w:r>
      <w:r>
        <mc:AlternateContent>
          <mc:Choice Requires="wpg">
            <w:drawing>
              <wp:inline xmlns:wp="http://schemas.openxmlformats.org/drawingml/2006/wordprocessingDrawing" distT="0" distB="0" distL="0" distR="0">
                <wp:extent cx="6048375" cy="54634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31468" name=""/>
                        <pic:cNvPicPr>
                          <a:picLocks noChangeAspect="1"/>
                        </pic:cNvPicPr>
                        <pic:nvPr/>
                      </pic:nvPicPr>
                      <pic:blipFill rotWithShape="1">
                        <a:blip r:embed="rId29"/>
                        <a:stretch/>
                      </pic:blipFill>
                      <pic:spPr bwMode="auto">
                        <a:xfrm>
                          <a:off x="0" y="0"/>
                          <a:ext cx="6048374" cy="5463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430.19pt;mso-wrap-distance-left:0.00pt;mso-wrap-distance-top:0.00pt;mso-wrap-distance-right:0.00pt;mso-wrap-distance-bottom:0.00pt;z-index:1;" stroked="false">
                <v:imagedata r:id="rId29" o:title=""/>
                <o:lock v:ext="edit" rotation="t"/>
              </v:shape>
            </w:pict>
          </mc:Fallback>
        </mc:AlternateContent>
      </w:r>
      <w:r>
        <w:rPr>
          <w:iCs/>
          <w:highlight w:val="none"/>
          <w:lang w:val="pt-BR"/>
        </w:rPr>
      </w:r>
      <w:r>
        <w:rPr>
          <w:iCs/>
          <w:highlight w:val="none"/>
          <w:lang w:val="pt-BR"/>
        </w:rPr>
      </w:r>
    </w:p>
    <w:p>
      <w:pPr>
        <w:pBdr/>
        <w:spacing w:after="200" w:line="276" w:lineRule="auto"/>
        <w:ind/>
        <w:jc w:val="center"/>
        <w:rPr>
          <w:lang w:val="pt-BR"/>
        </w:rPr>
      </w:pPr>
      <w:r>
        <w:rPr>
          <w:iCs/>
          <w:highlight w:val="none"/>
          <w:lang w:val="pt-BR" w:bidi="pt-BR"/>
        </w:rPr>
      </w:r>
      <w:r>
        <w:rPr>
          <w:lang w:val="pt-BR"/>
        </w:rPr>
      </w:r>
      <w:r>
        <w:rPr>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highlight w:val="white"/>
              </w:rPr>
              <w:t xml:space="preserve">Người</w:t>
            </w:r>
            <w:r>
              <w:rPr>
                <w:b/>
                <w:bCs/>
                <w:highlight w:val="white"/>
              </w:rPr>
              <w:t xml:space="preserve"> </w:t>
            </w:r>
            <w:r>
              <w:rPr>
                <w:b/>
                <w:bCs/>
                <w:highlight w:val="white"/>
              </w:rPr>
              <w:t xml:space="preserve">thu</w:t>
            </w:r>
            <w:r>
              <w:rPr>
                <w:b/>
                <w:bCs/>
                <w:highlight w:val="white"/>
              </w:rPr>
              <w:t xml:space="preserve"> </w:t>
            </w:r>
            <w:r>
              <w:rPr>
                <w:b/>
                <w:bCs/>
                <w:highlight w:val="white"/>
              </w:rPr>
              <w:t xml:space="preserve">thập</w:t>
            </w:r>
            <w:r>
              <w:rPr>
                <w:b/>
                <w:bCs/>
                <w:highlight w:val="white"/>
              </w:rPr>
              <w:t xml:space="preserve"> </w:t>
            </w:r>
            <w:r>
              <w:rPr>
                <w:b/>
                <w:bCs/>
                <w:highlight w:val="white"/>
              </w:rPr>
              <w:t xml:space="preserve">th</w:t>
            </w:r>
            <w:r>
              <w:rPr>
                <w:b/>
                <w:bCs/>
              </w:rPr>
              <w:t xml:space="preserve">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hd w:val="nil" w:color="auto"/>
        <w:spacing/>
        <w:ind/>
        <w:rPr>
          <w:lang w:val="pt-BR"/>
        </w:rPr>
      </w:pPr>
      <w:r>
        <w:rPr>
          <w:iCs/>
          <w:lang w:val="pt-BR"/>
        </w:rPr>
        <w:br w:type="page" w:clear="all"/>
      </w:r>
      <w:r>
        <w:rPr>
          <w:lang w:val="pt-BR"/>
        </w:rPr>
      </w:r>
      <w:r>
        <w:rPr>
          <w:lang w:val="pt-BR"/>
        </w:rPr>
      </w:r>
    </w:p>
    <w:p>
      <w:pPr>
        <w:pBdr/>
        <w:spacing w:after="200" w:line="276" w:lineRule="auto"/>
        <w:ind/>
        <w:jc w:val="center"/>
        <w:rPr>
          <w:b/>
          <w:bCs/>
          <w:iCs/>
          <w:highlight w:val="none"/>
          <w:lang w:val="pt-BR"/>
        </w:rPr>
      </w:pPr>
      <w:r>
        <w:rPr>
          <w:b/>
          <w:bCs/>
          <w:iCs/>
          <w:lang w:val="pt-BR"/>
        </w:rPr>
        <w:t xml:space="preserve">GIẤY CHỨNG NHẬN QSDĐ</w:t>
      </w:r>
      <w:r>
        <w:rPr>
          <w:b/>
          <w:bCs/>
          <w:iCs/>
          <w:highlight w:val="none"/>
          <w:lang w:val="pt-BR"/>
        </w:rPr>
      </w:r>
      <w:r>
        <w:rPr>
          <w:b/>
          <w:bCs/>
          <w:iCs/>
          <w:highlight w:val="none"/>
          <w:lang w:val="pt-BR"/>
        </w:rPr>
      </w:r>
    </w:p>
    <w:p>
      <w:pPr>
        <w:pBdr/>
        <w:spacing w:after="200" w:line="276" w:lineRule="auto"/>
        <w:ind/>
        <w:jc w:val="center"/>
        <w:rPr>
          <w:highlight w:val="none"/>
        </w:rPr>
      </w:pPr>
      <w:r>
        <w:rPr>
          <w:b/>
          <w:bCs/>
          <w:iCs/>
          <w:highlight w:val="none"/>
          <w:lang w:val="pt-BR"/>
        </w:rPr>
      </w:r>
      <w:r>
        <mc:AlternateContent>
          <mc:Choice Requires="wpg">
            <w:drawing>
              <wp:inline xmlns:wp="http://schemas.openxmlformats.org/drawingml/2006/wordprocessingDrawing" distT="0" distB="0" distL="0" distR="0">
                <wp:extent cx="6048375" cy="4199347"/>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54301" name=""/>
                        <pic:cNvPicPr>
                          <a:picLocks noChangeAspect="1"/>
                        </pic:cNvPicPr>
                        <pic:nvPr/>
                      </pic:nvPicPr>
                      <pic:blipFill rotWithShape="1">
                        <a:blip r:embed="rId30"/>
                        <a:stretch/>
                      </pic:blipFill>
                      <pic:spPr bwMode="auto">
                        <a:xfrm>
                          <a:off x="0" y="0"/>
                          <a:ext cx="6048374" cy="41993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30.66pt;mso-wrap-distance-left:0.00pt;mso-wrap-distance-top:0.00pt;mso-wrap-distance-right:0.00pt;mso-wrap-distance-bottom:0.00pt;z-index:1;" stroked="false">
                <v:imagedata r:id="rId30" o:title=""/>
                <o:lock v:ext="edit" rotation="t"/>
              </v:shape>
            </w:pict>
          </mc:Fallback>
        </mc:AlternateContent>
      </w:r>
      <w:r>
        <w:rPr>
          <w:highlight w:val="none"/>
        </w:rPr>
      </w:r>
      <w:r>
        <w:rPr>
          <w:highlight w:val="none"/>
        </w:rPr>
      </w:r>
    </w:p>
    <w:p>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6048375" cy="4357522"/>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34750" name=""/>
                        <pic:cNvPicPr>
                          <a:picLocks noChangeAspect="1"/>
                        </pic:cNvPicPr>
                        <pic:nvPr/>
                      </pic:nvPicPr>
                      <pic:blipFill rotWithShape="1">
                        <a:blip r:embed="rId31"/>
                        <a:stretch/>
                      </pic:blipFill>
                      <pic:spPr bwMode="auto">
                        <a:xfrm>
                          <a:off x="0" y="0"/>
                          <a:ext cx="6048374" cy="435752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43.11pt;mso-wrap-distance-left:0.00pt;mso-wrap-distance-top:0.00pt;mso-wrap-distance-right:0.00pt;mso-wrap-distance-bottom:0.00pt;z-index:1;" stroked="false">
                <v:imagedata r:id="rId31" o:title=""/>
                <o:lock v:ext="edit" rotation="t"/>
              </v:shape>
            </w:pict>
          </mc:Fallback>
        </mc:AlternateContent>
      </w:r>
      <w:r>
        <w:rPr>
          <w:b/>
          <w:bCs/>
        </w:rPr>
        <w:br w:type="page" w:clear="all"/>
      </w:r>
      <w:r>
        <w:rPr>
          <w:highlight w:val="none"/>
        </w:rPr>
      </w:r>
      <w:r>
        <w:rPr>
          <w:highlight w:val="none"/>
        </w:rPr>
      </w:r>
    </w:p>
    <w:p>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6028418" cy="828621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8527" name=""/>
                        <pic:cNvPicPr>
                          <a:picLocks noChangeAspect="1"/>
                        </pic:cNvPicPr>
                        <pic:nvPr/>
                      </pic:nvPicPr>
                      <pic:blipFill rotWithShape="1">
                        <a:blip r:embed="rId32"/>
                        <a:stretch/>
                      </pic:blipFill>
                      <pic:spPr bwMode="auto">
                        <a:xfrm flipH="0" flipV="0">
                          <a:off x="0" y="0"/>
                          <a:ext cx="6028418" cy="82862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4.68pt;height:652.46pt;mso-wrap-distance-left:0.00pt;mso-wrap-distance-top:0.00pt;mso-wrap-distance-right:0.00pt;mso-wrap-distance-bottom:0.00pt;z-index:1;" stroked="false">
                <v:imagedata r:id="rId32" o:title=""/>
                <o:lock v:ext="edit" rotation="t"/>
              </v:shape>
            </w:pict>
          </mc:Fallback>
        </mc:AlternateContent>
      </w:r>
      <w:r>
        <w:rPr>
          <w:highlight w:val="none"/>
        </w:rPr>
      </w:r>
      <w:r>
        <w:rPr>
          <w:highlight w:val="none"/>
        </w:rPr>
      </w:r>
    </w:p>
    <w:p>
      <w:pPr>
        <w:pBdr/>
        <w:spacing w:after="200" w:line="276" w:lineRule="auto"/>
        <w:ind/>
        <w:jc w:val="center"/>
        <w:rPr>
          <w:b/>
          <w:bCs/>
        </w:rPr>
      </w:pPr>
      <w:r>
        <w:rPr>
          <w:b/>
          <w:bCs/>
        </w:rPr>
      </w:r>
      <w:r>
        <w:rPr>
          <w:b/>
          <w:bCs/>
        </w:rPr>
      </w:r>
      <w:r>
        <w:rPr>
          <w:b/>
          <w:bCs/>
        </w:rPr>
      </w:r>
    </w:p>
    <w:p>
      <w:pPr>
        <w:pBdr/>
        <w:spacing w:after="200" w:line="276" w:lineRule="auto"/>
        <w:ind/>
        <w:jc w:val="center"/>
        <w:rPr>
          <w:b/>
          <w:bCs/>
        </w:rPr>
      </w:pPr>
      <w:r>
        <w:rPr>
          <w:b/>
          <w:bCs/>
        </w:rPr>
      </w:r>
      <w:r>
        <w:rPr>
          <w:b/>
          <w:bCs/>
        </w:rPr>
      </w:r>
      <w:r>
        <w:rPr>
          <w:b/>
          <w:bCs/>
        </w:rPr>
      </w:r>
    </w:p>
    <w:p>
      <w:pPr>
        <w:pBdr/>
        <w:spacing w:after="200" w:line="276" w:lineRule="auto"/>
        <w:ind/>
        <w:jc w:val="center"/>
        <w:rPr>
          <w:b/>
          <w:bCs/>
          <w:highlight w:val="none"/>
        </w:rPr>
      </w:pPr>
      <w:r>
        <w:rPr>
          <w:b/>
          <w:bCs/>
          <w:highlight w:val="none"/>
        </w:rPr>
        <w:t xml:space="preserve">BIÊN BẢN KHẢO SÁT</w:t>
      </w:r>
      <w:r>
        <w:rPr>
          <w:b/>
          <w:bCs/>
          <w:highlight w:val="none"/>
        </w:rPr>
      </w:r>
      <w:r>
        <w:rPr>
          <w:b/>
          <w:bCs/>
          <w:highlight w:val="none"/>
        </w:rPr>
      </w:r>
    </w:p>
    <w:p>
      <w:pPr>
        <w:pBdr/>
        <w:spacing w:after="200" w:line="276" w:lineRule="auto"/>
        <w:ind/>
        <w:jc w:val="center"/>
        <w:rPr>
          <w:b/>
          <w:bCs/>
        </w:rPr>
      </w:pPr>
      <w:r>
        <w:rPr>
          <w:b/>
          <w:bCs/>
          <w:highlight w:val="none"/>
        </w:rPr>
      </w:r>
      <w:r>
        <mc:AlternateContent>
          <mc:Choice Requires="wpg">
            <w:drawing>
              <wp:inline xmlns:wp="http://schemas.openxmlformats.org/drawingml/2006/wordprocessingDrawing" distT="0" distB="0" distL="0" distR="0">
                <wp:extent cx="5510053" cy="7786228"/>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90250" name=""/>
                        <pic:cNvPicPr>
                          <a:picLocks noChangeAspect="1"/>
                        </pic:cNvPicPr>
                        <pic:nvPr/>
                      </pic:nvPicPr>
                      <pic:blipFill rotWithShape="1">
                        <a:blip r:embed="rId33"/>
                        <a:srcRect l="0" t="6170" r="0" b="14617"/>
                        <a:stretch/>
                      </pic:blipFill>
                      <pic:spPr bwMode="auto">
                        <a:xfrm flipH="0" flipV="0">
                          <a:off x="0" y="0"/>
                          <a:ext cx="5510052" cy="77862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33.86pt;height:613.09pt;mso-wrap-distance-left:0.00pt;mso-wrap-distance-top:0.00pt;mso-wrap-distance-right:0.00pt;mso-wrap-distance-bottom:0.00pt;z-index:1;" stroked="false">
                <v:imagedata r:id="rId33" o:title="" croptop="4044f" cropleft="0f" cropbottom="9579f" cropright="0f"/>
                <o:lock v:ext="edit" rotation="t"/>
              </v:shape>
            </w:pict>
          </mc:Fallback>
        </mc:AlternateContent>
      </w:r>
      <w:r>
        <w:rPr>
          <w:b/>
          <w:bCs/>
        </w:rPr>
      </w:r>
      <w:r>
        <w:rPr>
          <w:b/>
          <w:bCs/>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1">
    <w:name w:val="Table Grid Light"/>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1"/>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2"/>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3"/>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Plain Table 4"/>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5"/>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w:basedOn w:val="102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1"/>
    <w:basedOn w:val="102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2"/>
    <w:basedOn w:val="102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3"/>
    <w:basedOn w:val="102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4"/>
    <w:basedOn w:val="102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5"/>
    <w:basedOn w:val="102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6"/>
    <w:basedOn w:val="102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w:basedOn w:val="102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1"/>
    <w:basedOn w:val="102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5"/>
    <w:basedOn w:val="102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6"/>
    <w:basedOn w:val="102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w:basedOn w:val="102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1"/>
    <w:basedOn w:val="102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5"/>
    <w:basedOn w:val="102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6"/>
    <w:basedOn w:val="102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w:basedOn w:val="102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1"/>
    <w:basedOn w:val="102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2"/>
    <w:basedOn w:val="102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3"/>
    <w:basedOn w:val="102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4"/>
    <w:basedOn w:val="102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5"/>
    <w:basedOn w:val="102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6"/>
    <w:basedOn w:val="102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Accent 1"/>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2"/>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3"/>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Accent 4"/>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 Accent 5"/>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 Accent 6"/>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6 Colorful"/>
    <w:basedOn w:val="102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3">
    <w:name w:val="Grid Table 6 Colorful - Accent 1"/>
    <w:basedOn w:val="102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4">
    <w:name w:val="Grid Table 6 Colorful - Accent 2"/>
    <w:basedOn w:val="102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5">
    <w:name w:val="Grid Table 6 Colorful - Accent 3"/>
    <w:basedOn w:val="102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6">
    <w:name w:val="Grid Table 6 Colorful - Accent 4"/>
    <w:basedOn w:val="102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7">
    <w:name w:val="Grid Table 6 Colorful - Accent 5"/>
    <w:basedOn w:val="102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8">
    <w:name w:val="Grid Table 6 Colorful - Accent 6"/>
    <w:basedOn w:val="102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9">
    <w:name w:val="Grid Table 7 Colorful"/>
    <w:basedOn w:val="102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1"/>
    <w:basedOn w:val="102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5"/>
    <w:basedOn w:val="102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6"/>
    <w:basedOn w:val="102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1"/>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2"/>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3"/>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4"/>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5"/>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6"/>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w:basedOn w:val="102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1"/>
    <w:basedOn w:val="102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2"/>
    <w:basedOn w:val="102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3"/>
    <w:basedOn w:val="102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4"/>
    <w:basedOn w:val="102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5"/>
    <w:basedOn w:val="102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6"/>
    <w:basedOn w:val="102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w:basedOn w:val="102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1"/>
    <w:basedOn w:val="102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2"/>
    <w:basedOn w:val="102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3"/>
    <w:basedOn w:val="102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4"/>
    <w:basedOn w:val="102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5"/>
    <w:basedOn w:val="102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6"/>
    <w:basedOn w:val="102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w:basedOn w:val="102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1"/>
    <w:basedOn w:val="102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2"/>
    <w:basedOn w:val="102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3"/>
    <w:basedOn w:val="102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4"/>
    <w:basedOn w:val="102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5"/>
    <w:basedOn w:val="102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6"/>
    <w:basedOn w:val="102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5 Dark"/>
    <w:basedOn w:val="102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1"/>
    <w:basedOn w:val="102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2"/>
    <w:basedOn w:val="102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3"/>
    <w:basedOn w:val="102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4"/>
    <w:basedOn w:val="102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5"/>
    <w:basedOn w:val="102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6"/>
    <w:basedOn w:val="102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6 Colorful"/>
    <w:basedOn w:val="102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1"/>
    <w:basedOn w:val="102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2"/>
    <w:basedOn w:val="102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3"/>
    <w:basedOn w:val="102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4"/>
    <w:basedOn w:val="102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5"/>
    <w:basedOn w:val="102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6"/>
    <w:basedOn w:val="102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7 Colorful"/>
    <w:basedOn w:val="102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9">
    <w:name w:val="List Table 7 Colorful - Accent 1"/>
    <w:basedOn w:val="102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0">
    <w:name w:val="List Table 7 Colorful - Accent 2"/>
    <w:basedOn w:val="102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1">
    <w:name w:val="List Table 7 Colorful - Accent 3"/>
    <w:basedOn w:val="102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2">
    <w:name w:val="List Table 7 Colorful - Accent 4"/>
    <w:basedOn w:val="102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3">
    <w:name w:val="List Table 7 Colorful - Accent 5"/>
    <w:basedOn w:val="102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4">
    <w:name w:val="List Table 7 Colorful - Accent 6"/>
    <w:basedOn w:val="102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5">
    <w:name w:val="Lined - Accent"/>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1"/>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2"/>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3"/>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4"/>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5"/>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6"/>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w:basedOn w:val="102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1"/>
    <w:basedOn w:val="102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2"/>
    <w:basedOn w:val="102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3"/>
    <w:basedOn w:val="102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4"/>
    <w:basedOn w:val="102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5"/>
    <w:basedOn w:val="102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6"/>
    <w:basedOn w:val="102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w:basedOn w:val="102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1"/>
    <w:basedOn w:val="102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2"/>
    <w:basedOn w:val="102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3"/>
    <w:basedOn w:val="102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4"/>
    <w:basedOn w:val="102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5"/>
    <w:basedOn w:val="102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6"/>
    <w:basedOn w:val="102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6">
    <w:name w:val="Heading 5"/>
    <w:basedOn w:val="1017"/>
    <w:next w:val="1017"/>
    <w:link w:val="98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7">
    <w:name w:val="Heading 6"/>
    <w:basedOn w:val="1017"/>
    <w:next w:val="1017"/>
    <w:link w:val="98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8">
    <w:name w:val="Heading 7"/>
    <w:basedOn w:val="1017"/>
    <w:next w:val="1017"/>
    <w:link w:val="98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9">
    <w:name w:val="Heading 8"/>
    <w:basedOn w:val="1017"/>
    <w:next w:val="1017"/>
    <w:link w:val="98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0">
    <w:name w:val="Heading 9"/>
    <w:basedOn w:val="1017"/>
    <w:next w:val="1017"/>
    <w:link w:val="98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1">
    <w:name w:val="Heading 5 Char"/>
    <w:basedOn w:val="1022"/>
    <w:link w:val="976"/>
    <w:uiPriority w:val="9"/>
    <w:pPr>
      <w:pBdr/>
      <w:spacing/>
      <w:ind/>
    </w:pPr>
    <w:rPr>
      <w:rFonts w:ascii="Arial" w:hAnsi="Arial" w:eastAsia="Arial" w:cs="Arial"/>
      <w:color w:val="0f4761" w:themeColor="accent1" w:themeShade="BF"/>
    </w:rPr>
  </w:style>
  <w:style w:type="character" w:styleId="982">
    <w:name w:val="Heading 6 Char"/>
    <w:basedOn w:val="1022"/>
    <w:link w:val="977"/>
    <w:uiPriority w:val="9"/>
    <w:pPr>
      <w:pBdr/>
      <w:spacing/>
      <w:ind/>
    </w:pPr>
    <w:rPr>
      <w:rFonts w:ascii="Arial" w:hAnsi="Arial" w:eastAsia="Arial" w:cs="Arial"/>
      <w:i/>
      <w:iCs/>
      <w:color w:val="595959" w:themeColor="text1" w:themeTint="A6"/>
    </w:rPr>
  </w:style>
  <w:style w:type="character" w:styleId="983">
    <w:name w:val="Heading 7 Char"/>
    <w:basedOn w:val="1022"/>
    <w:link w:val="978"/>
    <w:uiPriority w:val="9"/>
    <w:pPr>
      <w:pBdr/>
      <w:spacing/>
      <w:ind/>
    </w:pPr>
    <w:rPr>
      <w:rFonts w:ascii="Arial" w:hAnsi="Arial" w:eastAsia="Arial" w:cs="Arial"/>
      <w:color w:val="595959" w:themeColor="text1" w:themeTint="A6"/>
    </w:rPr>
  </w:style>
  <w:style w:type="character" w:styleId="984">
    <w:name w:val="Heading 8 Char"/>
    <w:basedOn w:val="1022"/>
    <w:link w:val="979"/>
    <w:uiPriority w:val="9"/>
    <w:pPr>
      <w:pBdr/>
      <w:spacing/>
      <w:ind/>
    </w:pPr>
    <w:rPr>
      <w:rFonts w:ascii="Arial" w:hAnsi="Arial" w:eastAsia="Arial" w:cs="Arial"/>
      <w:i/>
      <w:iCs/>
      <w:color w:val="272727" w:themeColor="text1" w:themeTint="D8"/>
    </w:rPr>
  </w:style>
  <w:style w:type="character" w:styleId="985">
    <w:name w:val="Heading 9 Char"/>
    <w:basedOn w:val="1022"/>
    <w:link w:val="980"/>
    <w:uiPriority w:val="9"/>
    <w:pPr>
      <w:pBdr/>
      <w:spacing/>
      <w:ind/>
    </w:pPr>
    <w:rPr>
      <w:rFonts w:ascii="Arial" w:hAnsi="Arial" w:eastAsia="Arial" w:cs="Arial"/>
      <w:i/>
      <w:iCs/>
      <w:color w:val="272727" w:themeColor="text1" w:themeTint="D8"/>
    </w:rPr>
  </w:style>
  <w:style w:type="paragraph" w:styleId="986">
    <w:name w:val="Subtitle"/>
    <w:basedOn w:val="1017"/>
    <w:next w:val="1017"/>
    <w:link w:val="987"/>
    <w:uiPriority w:val="11"/>
    <w:qFormat/>
    <w:pPr>
      <w:numPr>
        <w:ilvl w:val="1"/>
      </w:numPr>
      <w:pBdr/>
      <w:spacing/>
      <w:ind/>
    </w:pPr>
    <w:rPr>
      <w:color w:val="595959" w:themeColor="text1" w:themeTint="A6"/>
      <w:spacing w:val="15"/>
      <w:sz w:val="28"/>
      <w:szCs w:val="28"/>
    </w:rPr>
  </w:style>
  <w:style w:type="character" w:styleId="987">
    <w:name w:val="Subtitle Char"/>
    <w:basedOn w:val="1022"/>
    <w:link w:val="986"/>
    <w:uiPriority w:val="11"/>
    <w:pPr>
      <w:pBdr/>
      <w:spacing/>
      <w:ind/>
    </w:pPr>
    <w:rPr>
      <w:color w:val="595959" w:themeColor="text1" w:themeTint="A6"/>
      <w:spacing w:val="15"/>
      <w:sz w:val="28"/>
      <w:szCs w:val="28"/>
    </w:rPr>
  </w:style>
  <w:style w:type="paragraph" w:styleId="988">
    <w:name w:val="Quote"/>
    <w:basedOn w:val="1017"/>
    <w:next w:val="1017"/>
    <w:link w:val="989"/>
    <w:uiPriority w:val="29"/>
    <w:qFormat/>
    <w:pPr>
      <w:pBdr/>
      <w:spacing w:before="160"/>
      <w:ind/>
      <w:jc w:val="center"/>
    </w:pPr>
    <w:rPr>
      <w:i/>
      <w:iCs/>
      <w:color w:val="404040" w:themeColor="text1" w:themeTint="BF"/>
    </w:rPr>
  </w:style>
  <w:style w:type="character" w:styleId="989">
    <w:name w:val="Quote Char"/>
    <w:basedOn w:val="1022"/>
    <w:link w:val="988"/>
    <w:uiPriority w:val="29"/>
    <w:pPr>
      <w:pBdr/>
      <w:spacing/>
      <w:ind/>
    </w:pPr>
    <w:rPr>
      <w:i/>
      <w:iCs/>
      <w:color w:val="404040" w:themeColor="text1" w:themeTint="BF"/>
    </w:rPr>
  </w:style>
  <w:style w:type="character" w:styleId="990">
    <w:name w:val="Intense Emphasis"/>
    <w:basedOn w:val="1022"/>
    <w:uiPriority w:val="21"/>
    <w:qFormat/>
    <w:pPr>
      <w:pBdr/>
      <w:spacing/>
      <w:ind/>
    </w:pPr>
    <w:rPr>
      <w:i/>
      <w:iCs/>
      <w:color w:val="0f4761" w:themeColor="accent1" w:themeShade="BF"/>
    </w:rPr>
  </w:style>
  <w:style w:type="paragraph" w:styleId="991">
    <w:name w:val="Intense Quote"/>
    <w:basedOn w:val="1017"/>
    <w:next w:val="1017"/>
    <w:link w:val="99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2">
    <w:name w:val="Intense Quote Char"/>
    <w:basedOn w:val="1022"/>
    <w:link w:val="991"/>
    <w:uiPriority w:val="30"/>
    <w:pPr>
      <w:pBdr/>
      <w:spacing/>
      <w:ind/>
    </w:pPr>
    <w:rPr>
      <w:i/>
      <w:iCs/>
      <w:color w:val="0f4761" w:themeColor="accent1" w:themeShade="BF"/>
    </w:rPr>
  </w:style>
  <w:style w:type="character" w:styleId="993">
    <w:name w:val="Intense Reference"/>
    <w:basedOn w:val="1022"/>
    <w:uiPriority w:val="32"/>
    <w:qFormat/>
    <w:pPr>
      <w:pBdr/>
      <w:spacing/>
      <w:ind/>
    </w:pPr>
    <w:rPr>
      <w:b/>
      <w:bCs/>
      <w:smallCaps/>
      <w:color w:val="0f4761" w:themeColor="accent1" w:themeShade="BF"/>
      <w:spacing w:val="5"/>
    </w:rPr>
  </w:style>
  <w:style w:type="paragraph" w:styleId="994">
    <w:name w:val="No Spacing"/>
    <w:basedOn w:val="1017"/>
    <w:uiPriority w:val="1"/>
    <w:qFormat/>
    <w:pPr>
      <w:pBdr/>
      <w:spacing w:after="0" w:line="240" w:lineRule="auto"/>
      <w:ind/>
    </w:pPr>
  </w:style>
  <w:style w:type="character" w:styleId="995">
    <w:name w:val="Subtle Emphasis"/>
    <w:basedOn w:val="1022"/>
    <w:uiPriority w:val="19"/>
    <w:qFormat/>
    <w:pPr>
      <w:pBdr/>
      <w:spacing/>
      <w:ind/>
    </w:pPr>
    <w:rPr>
      <w:i/>
      <w:iCs/>
      <w:color w:val="404040" w:themeColor="text1" w:themeTint="BF"/>
    </w:rPr>
  </w:style>
  <w:style w:type="character" w:styleId="996">
    <w:name w:val="Subtle Reference"/>
    <w:basedOn w:val="1022"/>
    <w:uiPriority w:val="31"/>
    <w:qFormat/>
    <w:pPr>
      <w:pBdr/>
      <w:spacing/>
      <w:ind/>
    </w:pPr>
    <w:rPr>
      <w:smallCaps/>
      <w:color w:val="5a5a5a" w:themeColor="text1" w:themeTint="A5"/>
    </w:rPr>
  </w:style>
  <w:style w:type="character" w:styleId="997">
    <w:name w:val="Book Title"/>
    <w:basedOn w:val="1022"/>
    <w:uiPriority w:val="33"/>
    <w:qFormat/>
    <w:pPr>
      <w:pBdr/>
      <w:spacing/>
      <w:ind/>
    </w:pPr>
    <w:rPr>
      <w:b/>
      <w:bCs/>
      <w:i/>
      <w:iCs/>
      <w:spacing w:val="5"/>
    </w:rPr>
  </w:style>
  <w:style w:type="paragraph" w:styleId="998">
    <w:name w:val="Caption"/>
    <w:basedOn w:val="1017"/>
    <w:next w:val="1017"/>
    <w:uiPriority w:val="35"/>
    <w:unhideWhenUsed/>
    <w:qFormat/>
    <w:pPr>
      <w:pBdr/>
      <w:spacing w:after="200" w:line="240" w:lineRule="auto"/>
      <w:ind/>
    </w:pPr>
    <w:rPr>
      <w:i/>
      <w:iCs/>
      <w:color w:val="0e2841" w:themeColor="text2"/>
      <w:sz w:val="18"/>
      <w:szCs w:val="18"/>
    </w:rPr>
  </w:style>
  <w:style w:type="paragraph" w:styleId="999">
    <w:name w:val="footnote text"/>
    <w:basedOn w:val="1017"/>
    <w:link w:val="1000"/>
    <w:uiPriority w:val="99"/>
    <w:semiHidden/>
    <w:unhideWhenUsed/>
    <w:pPr>
      <w:pBdr/>
      <w:spacing w:after="0" w:line="240" w:lineRule="auto"/>
      <w:ind/>
    </w:pPr>
    <w:rPr>
      <w:sz w:val="20"/>
      <w:szCs w:val="20"/>
    </w:rPr>
  </w:style>
  <w:style w:type="character" w:styleId="1000">
    <w:name w:val="Footnote Text Char"/>
    <w:basedOn w:val="1022"/>
    <w:link w:val="999"/>
    <w:uiPriority w:val="99"/>
    <w:semiHidden/>
    <w:pPr>
      <w:pBdr/>
      <w:spacing/>
      <w:ind/>
    </w:pPr>
    <w:rPr>
      <w:sz w:val="20"/>
      <w:szCs w:val="20"/>
    </w:rPr>
  </w:style>
  <w:style w:type="character" w:styleId="1001">
    <w:name w:val="footnote reference"/>
    <w:basedOn w:val="1022"/>
    <w:uiPriority w:val="99"/>
    <w:semiHidden/>
    <w:unhideWhenUsed/>
    <w:pPr>
      <w:pBdr/>
      <w:spacing/>
      <w:ind/>
    </w:pPr>
    <w:rPr>
      <w:vertAlign w:val="superscript"/>
    </w:rPr>
  </w:style>
  <w:style w:type="paragraph" w:styleId="1002">
    <w:name w:val="endnote text"/>
    <w:basedOn w:val="1017"/>
    <w:link w:val="1003"/>
    <w:uiPriority w:val="99"/>
    <w:semiHidden/>
    <w:unhideWhenUsed/>
    <w:pPr>
      <w:pBdr/>
      <w:spacing w:after="0" w:line="240" w:lineRule="auto"/>
      <w:ind/>
    </w:pPr>
    <w:rPr>
      <w:sz w:val="20"/>
      <w:szCs w:val="20"/>
    </w:rPr>
  </w:style>
  <w:style w:type="character" w:styleId="1003">
    <w:name w:val="Endnote Text Char"/>
    <w:basedOn w:val="1022"/>
    <w:link w:val="1002"/>
    <w:uiPriority w:val="99"/>
    <w:semiHidden/>
    <w:pPr>
      <w:pBdr/>
      <w:spacing/>
      <w:ind/>
    </w:pPr>
    <w:rPr>
      <w:sz w:val="20"/>
      <w:szCs w:val="20"/>
    </w:rPr>
  </w:style>
  <w:style w:type="character" w:styleId="1004">
    <w:name w:val="endnote reference"/>
    <w:basedOn w:val="1022"/>
    <w:uiPriority w:val="99"/>
    <w:semiHidden/>
    <w:unhideWhenUsed/>
    <w:pPr>
      <w:pBdr/>
      <w:spacing/>
      <w:ind/>
    </w:pPr>
    <w:rPr>
      <w:vertAlign w:val="superscript"/>
    </w:rPr>
  </w:style>
  <w:style w:type="paragraph" w:styleId="1005">
    <w:name w:val="toc 1"/>
    <w:basedOn w:val="1017"/>
    <w:next w:val="1017"/>
    <w:uiPriority w:val="39"/>
    <w:unhideWhenUsed/>
    <w:pPr>
      <w:pBdr/>
      <w:spacing w:after="100"/>
      <w:ind/>
    </w:pPr>
  </w:style>
  <w:style w:type="paragraph" w:styleId="1006">
    <w:name w:val="toc 2"/>
    <w:basedOn w:val="1017"/>
    <w:next w:val="1017"/>
    <w:uiPriority w:val="39"/>
    <w:unhideWhenUsed/>
    <w:pPr>
      <w:pBdr/>
      <w:spacing w:after="100"/>
      <w:ind w:left="220"/>
    </w:pPr>
  </w:style>
  <w:style w:type="paragraph" w:styleId="1007">
    <w:name w:val="toc 3"/>
    <w:basedOn w:val="1017"/>
    <w:next w:val="1017"/>
    <w:uiPriority w:val="39"/>
    <w:unhideWhenUsed/>
    <w:pPr>
      <w:pBdr/>
      <w:spacing w:after="100"/>
      <w:ind w:left="440"/>
    </w:pPr>
  </w:style>
  <w:style w:type="paragraph" w:styleId="1008">
    <w:name w:val="toc 4"/>
    <w:basedOn w:val="1017"/>
    <w:next w:val="1017"/>
    <w:uiPriority w:val="39"/>
    <w:unhideWhenUsed/>
    <w:pPr>
      <w:pBdr/>
      <w:spacing w:after="100"/>
      <w:ind w:left="660"/>
    </w:pPr>
  </w:style>
  <w:style w:type="paragraph" w:styleId="1009">
    <w:name w:val="toc 5"/>
    <w:basedOn w:val="1017"/>
    <w:next w:val="1017"/>
    <w:uiPriority w:val="39"/>
    <w:unhideWhenUsed/>
    <w:pPr>
      <w:pBdr/>
      <w:spacing w:after="100"/>
      <w:ind w:left="880"/>
    </w:pPr>
  </w:style>
  <w:style w:type="paragraph" w:styleId="1010">
    <w:name w:val="toc 6"/>
    <w:basedOn w:val="1017"/>
    <w:next w:val="1017"/>
    <w:uiPriority w:val="39"/>
    <w:unhideWhenUsed/>
    <w:pPr>
      <w:pBdr/>
      <w:spacing w:after="100"/>
      <w:ind w:left="1100"/>
    </w:pPr>
  </w:style>
  <w:style w:type="paragraph" w:styleId="1011">
    <w:name w:val="toc 7"/>
    <w:basedOn w:val="1017"/>
    <w:next w:val="1017"/>
    <w:uiPriority w:val="39"/>
    <w:unhideWhenUsed/>
    <w:pPr>
      <w:pBdr/>
      <w:spacing w:after="100"/>
      <w:ind w:left="1320"/>
    </w:pPr>
  </w:style>
  <w:style w:type="paragraph" w:styleId="1012">
    <w:name w:val="toc 8"/>
    <w:basedOn w:val="1017"/>
    <w:next w:val="1017"/>
    <w:uiPriority w:val="39"/>
    <w:unhideWhenUsed/>
    <w:pPr>
      <w:pBdr/>
      <w:spacing w:after="100"/>
      <w:ind w:left="1540"/>
    </w:pPr>
  </w:style>
  <w:style w:type="paragraph" w:styleId="1013">
    <w:name w:val="toc 9"/>
    <w:basedOn w:val="1017"/>
    <w:next w:val="1017"/>
    <w:uiPriority w:val="39"/>
    <w:unhideWhenUsed/>
    <w:pPr>
      <w:pBdr/>
      <w:spacing w:after="100"/>
      <w:ind w:left="1760"/>
    </w:pPr>
  </w:style>
  <w:style w:type="character" w:styleId="1014">
    <w:name w:val="Placeholder Text"/>
    <w:basedOn w:val="1022"/>
    <w:uiPriority w:val="99"/>
    <w:semiHidden/>
    <w:pPr>
      <w:pBdr/>
      <w:spacing/>
      <w:ind/>
    </w:pPr>
    <w:rPr>
      <w:color w:val="666666"/>
    </w:rPr>
  </w:style>
  <w:style w:type="paragraph" w:styleId="1015">
    <w:name w:val="TOC Heading"/>
    <w:uiPriority w:val="39"/>
    <w:unhideWhenUsed/>
    <w:pPr>
      <w:pBdr/>
      <w:spacing/>
      <w:ind/>
    </w:pPr>
  </w:style>
  <w:style w:type="paragraph" w:styleId="1016">
    <w:name w:val="table of figures"/>
    <w:basedOn w:val="1017"/>
    <w:next w:val="1017"/>
    <w:uiPriority w:val="99"/>
    <w:unhideWhenUsed/>
    <w:pPr>
      <w:pBdr/>
      <w:spacing w:after="0" w:afterAutospacing="0"/>
      <w:ind/>
    </w:pPr>
  </w:style>
  <w:style w:type="paragraph" w:styleId="1017" w:default="1">
    <w:name w:val="Normal"/>
    <w:qFormat/>
    <w:pPr>
      <w:pBdr/>
      <w:spacing w:after="0" w:line="240" w:lineRule="auto"/>
      <w:ind/>
    </w:pPr>
    <w:rPr>
      <w:rFonts w:ascii="Times New Roman" w:hAnsi="Times New Roman" w:eastAsia="Times New Roman" w:cs="Times New Roman"/>
      <w:sz w:val="24"/>
      <w:szCs w:val="24"/>
    </w:rPr>
  </w:style>
  <w:style w:type="paragraph" w:styleId="1018">
    <w:name w:val="Heading 1"/>
    <w:basedOn w:val="1017"/>
    <w:next w:val="1017"/>
    <w:link w:val="1025"/>
    <w:qFormat/>
    <w:pPr>
      <w:keepNext w:val="true"/>
      <w:pBdr/>
      <w:spacing w:after="120" w:before="120"/>
      <w:ind/>
      <w:jc w:val="center"/>
      <w:outlineLvl w:val="0"/>
    </w:pPr>
    <w:rPr>
      <w:b/>
      <w:bCs/>
      <w:sz w:val="27"/>
      <w:szCs w:val="27"/>
    </w:rPr>
  </w:style>
  <w:style w:type="paragraph" w:styleId="1019">
    <w:name w:val="Heading 2"/>
    <w:basedOn w:val="1017"/>
    <w:next w:val="1017"/>
    <w:link w:val="102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0">
    <w:name w:val="Heading 3"/>
    <w:basedOn w:val="1017"/>
    <w:next w:val="1017"/>
    <w:link w:val="1027"/>
    <w:qFormat/>
    <w:pPr>
      <w:keepNext w:val="true"/>
      <w:pBdr/>
      <w:spacing w:before="60"/>
      <w:ind/>
      <w:outlineLvl w:val="2"/>
    </w:pPr>
    <w:rPr>
      <w:sz w:val="28"/>
      <w:szCs w:val="28"/>
    </w:rPr>
  </w:style>
  <w:style w:type="paragraph" w:styleId="1021">
    <w:name w:val="Heading 4"/>
    <w:basedOn w:val="1017"/>
    <w:next w:val="1017"/>
    <w:link w:val="1028"/>
    <w:qFormat/>
    <w:pPr>
      <w:keepNext w:val="true"/>
      <w:pBdr/>
      <w:spacing/>
      <w:ind/>
      <w:jc w:val="center"/>
      <w:outlineLvl w:val="3"/>
    </w:pPr>
    <w:rPr>
      <w:b/>
      <w:bCs/>
    </w:rPr>
  </w:style>
  <w:style w:type="character" w:styleId="1022" w:default="1">
    <w:name w:val="Default Paragraph Font"/>
    <w:uiPriority w:val="1"/>
    <w:semiHidden/>
    <w:unhideWhenUsed/>
    <w:pPr>
      <w:pBdr/>
      <w:spacing/>
      <w:ind/>
    </w:pPr>
  </w:style>
  <w:style w:type="table" w:styleId="102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4" w:default="1">
    <w:name w:val="No List"/>
    <w:uiPriority w:val="99"/>
    <w:semiHidden/>
    <w:unhideWhenUsed/>
    <w:pPr>
      <w:pBdr/>
      <w:spacing/>
      <w:ind/>
    </w:pPr>
  </w:style>
  <w:style w:type="character" w:styleId="1025" w:customStyle="1">
    <w:name w:val="Heading 1 Char"/>
    <w:basedOn w:val="1022"/>
    <w:link w:val="1018"/>
    <w:pPr>
      <w:pBdr/>
      <w:spacing/>
      <w:ind/>
    </w:pPr>
    <w:rPr>
      <w:rFonts w:ascii="Times New Roman" w:hAnsi="Times New Roman" w:eastAsia="Times New Roman" w:cs="Times New Roman"/>
      <w:b/>
      <w:bCs/>
      <w:sz w:val="27"/>
      <w:szCs w:val="27"/>
    </w:rPr>
  </w:style>
  <w:style w:type="character" w:styleId="1026" w:customStyle="1">
    <w:name w:val="Heading 2 Char"/>
    <w:basedOn w:val="1022"/>
    <w:link w:val="1019"/>
    <w:uiPriority w:val="9"/>
    <w:pPr>
      <w:pBdr/>
      <w:spacing/>
      <w:ind/>
    </w:pPr>
    <w:rPr>
      <w:rFonts w:asciiTheme="majorHAnsi" w:hAnsiTheme="majorHAnsi" w:eastAsiaTheme="majorEastAsia" w:cstheme="majorBidi"/>
      <w:color w:val="365f91" w:themeColor="accent1" w:themeShade="BF"/>
      <w:sz w:val="26"/>
      <w:szCs w:val="26"/>
    </w:rPr>
  </w:style>
  <w:style w:type="character" w:styleId="1027" w:customStyle="1">
    <w:name w:val="Heading 3 Char"/>
    <w:basedOn w:val="1022"/>
    <w:link w:val="1020"/>
    <w:pPr>
      <w:pBdr/>
      <w:spacing/>
      <w:ind/>
    </w:pPr>
    <w:rPr>
      <w:rFonts w:ascii="Times New Roman" w:hAnsi="Times New Roman" w:eastAsia="Times New Roman" w:cs="Times New Roman"/>
      <w:sz w:val="28"/>
      <w:szCs w:val="28"/>
    </w:rPr>
  </w:style>
  <w:style w:type="character" w:styleId="1028" w:customStyle="1">
    <w:name w:val="Heading 4 Char"/>
    <w:basedOn w:val="1022"/>
    <w:link w:val="1021"/>
    <w:pPr>
      <w:pBdr/>
      <w:spacing/>
      <w:ind/>
    </w:pPr>
    <w:rPr>
      <w:rFonts w:ascii="Times New Roman" w:hAnsi="Times New Roman" w:eastAsia="Times New Roman" w:cs="Times New Roman"/>
      <w:b/>
      <w:bCs/>
      <w:sz w:val="24"/>
      <w:szCs w:val="24"/>
    </w:rPr>
  </w:style>
  <w:style w:type="character" w:styleId="1029">
    <w:name w:val="Hyperlink"/>
    <w:uiPriority w:val="99"/>
    <w:pPr>
      <w:pBdr/>
      <w:spacing/>
      <w:ind/>
    </w:pPr>
    <w:rPr>
      <w:color w:val="000000"/>
      <w:u w:val="single"/>
    </w:rPr>
  </w:style>
  <w:style w:type="character" w:styleId="1030">
    <w:name w:val="Strong"/>
    <w:uiPriority w:val="22"/>
    <w:qFormat/>
    <w:pPr>
      <w:pBdr/>
      <w:spacing/>
      <w:ind/>
    </w:pPr>
    <w:rPr>
      <w:b/>
      <w:bCs/>
    </w:rPr>
  </w:style>
  <w:style w:type="paragraph" w:styleId="1031">
    <w:name w:val="Balloon Text"/>
    <w:basedOn w:val="1017"/>
    <w:link w:val="1032"/>
    <w:uiPriority w:val="99"/>
    <w:semiHidden/>
    <w:unhideWhenUsed/>
    <w:pPr>
      <w:pBdr/>
      <w:spacing/>
      <w:ind/>
    </w:pPr>
    <w:rPr>
      <w:rFonts w:ascii="Tahoma" w:hAnsi="Tahoma" w:cs="Tahoma"/>
      <w:sz w:val="16"/>
      <w:szCs w:val="16"/>
    </w:rPr>
  </w:style>
  <w:style w:type="character" w:styleId="1032" w:customStyle="1">
    <w:name w:val="Balloon Text Char"/>
    <w:basedOn w:val="1022"/>
    <w:link w:val="1031"/>
    <w:uiPriority w:val="99"/>
    <w:semiHidden/>
    <w:pPr>
      <w:pBdr/>
      <w:spacing/>
      <w:ind/>
    </w:pPr>
    <w:rPr>
      <w:rFonts w:ascii="Tahoma" w:hAnsi="Tahoma" w:eastAsia="Times New Roman" w:cs="Tahoma"/>
      <w:sz w:val="16"/>
      <w:szCs w:val="16"/>
    </w:rPr>
  </w:style>
  <w:style w:type="paragraph" w:styleId="1033">
    <w:name w:val="Header"/>
    <w:basedOn w:val="1017"/>
    <w:link w:val="1034"/>
    <w:unhideWhenUsed/>
    <w:pPr>
      <w:pBdr/>
      <w:tabs>
        <w:tab w:val="center" w:leader="none" w:pos="4680"/>
        <w:tab w:val="right" w:leader="none" w:pos="9360"/>
      </w:tabs>
      <w:spacing/>
      <w:ind/>
    </w:pPr>
  </w:style>
  <w:style w:type="character" w:styleId="1034" w:customStyle="1">
    <w:name w:val="Header Char"/>
    <w:basedOn w:val="1022"/>
    <w:link w:val="1033"/>
    <w:pPr>
      <w:pBdr/>
      <w:spacing/>
      <w:ind/>
    </w:pPr>
    <w:rPr>
      <w:rFonts w:ascii="Times New Roman" w:hAnsi="Times New Roman" w:eastAsia="Times New Roman" w:cs="Times New Roman"/>
      <w:sz w:val="24"/>
      <w:szCs w:val="24"/>
    </w:rPr>
  </w:style>
  <w:style w:type="paragraph" w:styleId="1035">
    <w:name w:val="Footer"/>
    <w:basedOn w:val="1017"/>
    <w:link w:val="1036"/>
    <w:uiPriority w:val="99"/>
    <w:unhideWhenUsed/>
    <w:pPr>
      <w:pBdr/>
      <w:tabs>
        <w:tab w:val="center" w:leader="none" w:pos="4680"/>
        <w:tab w:val="right" w:leader="none" w:pos="9360"/>
      </w:tabs>
      <w:spacing/>
      <w:ind/>
    </w:pPr>
  </w:style>
  <w:style w:type="character" w:styleId="1036" w:customStyle="1">
    <w:name w:val="Footer Char"/>
    <w:basedOn w:val="1022"/>
    <w:link w:val="1035"/>
    <w:uiPriority w:val="99"/>
    <w:pPr>
      <w:pBdr/>
      <w:spacing/>
      <w:ind/>
    </w:pPr>
    <w:rPr>
      <w:rFonts w:ascii="Times New Roman" w:hAnsi="Times New Roman" w:eastAsia="Times New Roman" w:cs="Times New Roman"/>
      <w:sz w:val="24"/>
      <w:szCs w:val="24"/>
    </w:rPr>
  </w:style>
  <w:style w:type="character" w:styleId="1037" w:customStyle="1">
    <w:name w:val="normal-h1"/>
    <w:pPr>
      <w:pBdr/>
      <w:spacing/>
      <w:ind/>
    </w:pPr>
    <w:rPr>
      <w:rFonts w:hint="default" w:ascii=".VnTime" w:hAnsi=".VnTime"/>
      <w:color w:val="0000ff"/>
      <w:sz w:val="24"/>
      <w:szCs w:val="24"/>
    </w:rPr>
  </w:style>
  <w:style w:type="paragraph" w:styleId="1038" w:customStyle="1">
    <w:name w:val="normal-p"/>
    <w:basedOn w:val="1017"/>
    <w:pPr>
      <w:pBdr/>
      <w:spacing/>
      <w:ind/>
      <w:jc w:val="both"/>
    </w:pPr>
    <w:rPr>
      <w:sz w:val="20"/>
      <w:szCs w:val="20"/>
    </w:rPr>
  </w:style>
  <w:style w:type="paragraph" w:styleId="1039">
    <w:name w:val="List Paragraph"/>
    <w:basedOn w:val="1017"/>
    <w:link w:val="1126"/>
    <w:uiPriority w:val="34"/>
    <w:qFormat/>
    <w:pPr>
      <w:pBdr/>
      <w:spacing/>
      <w:ind w:left="720"/>
    </w:pPr>
  </w:style>
  <w:style w:type="paragraph" w:styleId="1040">
    <w:name w:val="Normal (Web)"/>
    <w:basedOn w:val="1017"/>
    <w:uiPriority w:val="99"/>
    <w:pPr>
      <w:pBdr/>
      <w:spacing w:after="100" w:afterAutospacing="1" w:before="100" w:beforeAutospacing="1"/>
      <w:ind/>
    </w:pPr>
  </w:style>
  <w:style w:type="paragraph" w:styleId="1041">
    <w:name w:val="Body Text"/>
    <w:basedOn w:val="1017"/>
    <w:link w:val="1042"/>
    <w:pPr>
      <w:pBdr/>
      <w:spacing w:after="120"/>
      <w:ind/>
      <w:jc w:val="both"/>
    </w:pPr>
  </w:style>
  <w:style w:type="character" w:styleId="1042" w:customStyle="1">
    <w:name w:val="Body Text Char"/>
    <w:basedOn w:val="1022"/>
    <w:link w:val="1041"/>
    <w:pPr>
      <w:pBdr/>
      <w:spacing/>
      <w:ind/>
    </w:pPr>
    <w:rPr>
      <w:rFonts w:ascii="Times New Roman" w:hAnsi="Times New Roman" w:eastAsia="Times New Roman" w:cs="Times New Roman"/>
      <w:sz w:val="24"/>
      <w:szCs w:val="24"/>
    </w:rPr>
  </w:style>
  <w:style w:type="table" w:styleId="1043">
    <w:name w:val="Table Grid"/>
    <w:basedOn w:val="102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5">
    <w:name w:val="annotation reference"/>
    <w:basedOn w:val="1022"/>
    <w:uiPriority w:val="99"/>
    <w:semiHidden/>
    <w:unhideWhenUsed/>
    <w:pPr>
      <w:pBdr/>
      <w:spacing/>
      <w:ind/>
    </w:pPr>
    <w:rPr>
      <w:sz w:val="16"/>
      <w:szCs w:val="16"/>
    </w:rPr>
  </w:style>
  <w:style w:type="paragraph" w:styleId="1046">
    <w:name w:val="annotation text"/>
    <w:basedOn w:val="1017"/>
    <w:link w:val="1047"/>
    <w:uiPriority w:val="99"/>
    <w:unhideWhenUsed/>
    <w:pPr>
      <w:pBdr/>
      <w:spacing/>
      <w:ind/>
    </w:pPr>
    <w:rPr>
      <w:sz w:val="20"/>
      <w:szCs w:val="20"/>
    </w:rPr>
  </w:style>
  <w:style w:type="character" w:styleId="1047" w:customStyle="1">
    <w:name w:val="Comment Text Char"/>
    <w:basedOn w:val="1022"/>
    <w:link w:val="1046"/>
    <w:uiPriority w:val="99"/>
    <w:pPr>
      <w:pBdr/>
      <w:spacing/>
      <w:ind/>
    </w:pPr>
    <w:rPr>
      <w:rFonts w:ascii="Times New Roman" w:hAnsi="Times New Roman" w:eastAsia="Times New Roman" w:cs="Times New Roman"/>
      <w:sz w:val="20"/>
      <w:szCs w:val="20"/>
    </w:rPr>
  </w:style>
  <w:style w:type="paragraph" w:styleId="1048">
    <w:name w:val="annotation subject"/>
    <w:basedOn w:val="1046"/>
    <w:next w:val="1046"/>
    <w:link w:val="1049"/>
    <w:uiPriority w:val="99"/>
    <w:semiHidden/>
    <w:unhideWhenUsed/>
    <w:pPr>
      <w:pBdr/>
      <w:spacing/>
      <w:ind/>
    </w:pPr>
    <w:rPr>
      <w:b/>
      <w:bCs/>
    </w:rPr>
  </w:style>
  <w:style w:type="character" w:styleId="1049" w:customStyle="1">
    <w:name w:val="Comment Subject Char"/>
    <w:basedOn w:val="1047"/>
    <w:link w:val="1048"/>
    <w:uiPriority w:val="99"/>
    <w:semiHidden/>
    <w:pPr>
      <w:pBdr/>
      <w:spacing/>
      <w:ind/>
    </w:pPr>
    <w:rPr>
      <w:rFonts w:ascii="Times New Roman" w:hAnsi="Times New Roman" w:eastAsia="Times New Roman" w:cs="Times New Roman"/>
      <w:b/>
      <w:bCs/>
      <w:sz w:val="20"/>
      <w:szCs w:val="20"/>
    </w:rPr>
  </w:style>
  <w:style w:type="paragraph" w:styleId="1050" w:customStyle="1">
    <w:name w:val="font5"/>
    <w:basedOn w:val="1017"/>
    <w:pPr>
      <w:pBdr/>
      <w:spacing w:after="100" w:afterAutospacing="1" w:before="100" w:beforeAutospacing="1"/>
      <w:ind/>
    </w:pPr>
    <w:rPr>
      <w:rFonts w:ascii="Tahoma" w:hAnsi="Tahoma" w:cs="Tahoma"/>
      <w:color w:val="000000"/>
      <w:sz w:val="18"/>
      <w:szCs w:val="18"/>
    </w:rPr>
  </w:style>
  <w:style w:type="paragraph" w:styleId="1051" w:customStyle="1">
    <w:name w:val="font6"/>
    <w:basedOn w:val="1017"/>
    <w:pPr>
      <w:pBdr/>
      <w:spacing w:after="100" w:afterAutospacing="1" w:before="100" w:beforeAutospacing="1"/>
      <w:ind/>
    </w:pPr>
    <w:rPr>
      <w:rFonts w:ascii="Tahoma" w:hAnsi="Tahoma" w:cs="Tahoma"/>
      <w:b/>
      <w:bCs/>
      <w:color w:val="000000"/>
      <w:sz w:val="18"/>
      <w:szCs w:val="18"/>
    </w:rPr>
  </w:style>
  <w:style w:type="paragraph" w:styleId="1052" w:customStyle="1">
    <w:name w:val="xl233"/>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3" w:customStyle="1">
    <w:name w:val="xl234"/>
    <w:basedOn w:val="1017"/>
    <w:pPr>
      <w:pBdr/>
      <w:spacing w:after="100" w:afterAutospacing="1" w:before="100" w:beforeAutospacing="1"/>
      <w:ind/>
      <w:jc w:val="center"/>
    </w:pPr>
  </w:style>
  <w:style w:type="paragraph" w:styleId="1054" w:customStyle="1">
    <w:name w:val="xl235"/>
    <w:basedOn w:val="1017"/>
    <w:pPr>
      <w:pBdr/>
      <w:spacing w:after="100" w:afterAutospacing="1" w:before="100" w:beforeAutospacing="1"/>
      <w:ind/>
      <w:jc w:val="center"/>
    </w:pPr>
    <w:rPr>
      <w:b/>
      <w:bCs/>
    </w:rPr>
  </w:style>
  <w:style w:type="paragraph" w:styleId="1055" w:customStyle="1">
    <w:name w:val="xl236"/>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3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38"/>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8" w:customStyle="1">
    <w:name w:val="xl23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9" w:customStyle="1">
    <w:name w:val="xl240"/>
    <w:basedOn w:val="1017"/>
    <w:pPr>
      <w:pBdr/>
      <w:spacing w:after="100" w:afterAutospacing="1" w:before="100" w:beforeAutospacing="1"/>
      <w:ind/>
    </w:pPr>
  </w:style>
  <w:style w:type="paragraph" w:styleId="1060" w:customStyle="1">
    <w:name w:val="xl241"/>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1" w:customStyle="1">
    <w:name w:val="xl242"/>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43"/>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44"/>
    <w:basedOn w:val="1017"/>
    <w:pPr>
      <w:pBdr/>
      <w:spacing w:after="100" w:afterAutospacing="1" w:before="100" w:beforeAutospacing="1"/>
      <w:ind/>
    </w:pPr>
    <w:rPr>
      <w:b/>
      <w:bCs/>
    </w:rPr>
  </w:style>
  <w:style w:type="paragraph" w:styleId="1064" w:customStyle="1">
    <w:name w:val="xl245"/>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46"/>
    <w:basedOn w:val="101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47"/>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7" w:customStyle="1">
    <w:name w:val="xl248"/>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8" w:customStyle="1">
    <w:name w:val="xl24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9" w:customStyle="1">
    <w:name w:val="xl250"/>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51"/>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5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3"/>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4"/>
    <w:basedOn w:val="101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4" w:customStyle="1">
    <w:name w:val="xl255"/>
    <w:basedOn w:val="101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5" w:customStyle="1">
    <w:name w:val="xl256"/>
    <w:basedOn w:val="101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6" w:customStyle="1">
    <w:name w:val="xl25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58"/>
    <w:basedOn w:val="101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9" w:customStyle="1">
    <w:name w:val="xl260"/>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0" w:customStyle="1">
    <w:name w:val="xl261"/>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62"/>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3"/>
    <w:basedOn w:val="1017"/>
    <w:pPr>
      <w:pBdr/>
      <w:shd w:val="clear" w:color="000000" w:fill="ffffff"/>
      <w:spacing w:after="100" w:afterAutospacing="1" w:before="100" w:beforeAutospacing="1"/>
      <w:ind/>
    </w:pPr>
  </w:style>
  <w:style w:type="paragraph" w:styleId="1083" w:customStyle="1">
    <w:name w:val="xl264"/>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65"/>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6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6" w:customStyle="1">
    <w:name w:val="xl26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68"/>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8" w:customStyle="1">
    <w:name w:val="xl269"/>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9" w:customStyle="1">
    <w:name w:val="xl270"/>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1"/>
    <w:basedOn w:val="101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1" w:customStyle="1">
    <w:name w:val="xl27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73"/>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3" w:customStyle="1">
    <w:name w:val="xl274"/>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75"/>
    <w:basedOn w:val="1017"/>
    <w:pPr>
      <w:pBdr/>
      <w:spacing w:after="100" w:afterAutospacing="1" w:before="100" w:beforeAutospacing="1"/>
      <w:ind/>
    </w:pPr>
  </w:style>
  <w:style w:type="paragraph" w:styleId="1095" w:customStyle="1">
    <w:name w:val="xl27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77"/>
    <w:basedOn w:val="101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7" w:customStyle="1">
    <w:name w:val="xl278"/>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7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customStyle="1">
    <w:name w:val="xl280"/>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0" w:customStyle="1">
    <w:name w:val="xl281"/>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1" w:customStyle="1">
    <w:name w:val="xl28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83"/>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4"/>
    <w:basedOn w:val="1017"/>
    <w:pPr>
      <w:pBdr>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85"/>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5" w:customStyle="1">
    <w:name w:val="xl28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customStyle="1">
    <w:name w:val="xl287"/>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88"/>
    <w:basedOn w:val="1017"/>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89"/>
    <w:basedOn w:val="1017"/>
    <w:pPr>
      <w:pBdr>
        <w:left w:val="single" w:color="000000" w:sz="4" w:space="0"/>
        <w:right w:val="single" w:color="000000" w:sz="4" w:space="0"/>
      </w:pBdr>
      <w:spacing w:after="100" w:afterAutospacing="1" w:before="100" w:beforeAutospacing="1"/>
      <w:ind/>
    </w:pPr>
    <w:rPr>
      <w:b/>
      <w:bCs/>
    </w:rPr>
  </w:style>
  <w:style w:type="paragraph" w:styleId="1109" w:customStyle="1">
    <w:name w:val="xl290"/>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0" w:customStyle="1">
    <w:name w:val="xl291"/>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1" w:customStyle="1">
    <w:name w:val="xl292"/>
    <w:basedOn w:val="1017"/>
    <w:pPr>
      <w:pBdr>
        <w:top w:val="single" w:color="000000" w:sz="4" w:space="0"/>
        <w:left w:val="single" w:color="000000" w:sz="4" w:space="0"/>
        <w:right w:val="single" w:color="000000" w:sz="4" w:space="0"/>
      </w:pBdr>
      <w:spacing w:after="100" w:afterAutospacing="1" w:before="100" w:beforeAutospacing="1"/>
      <w:ind/>
    </w:pPr>
  </w:style>
  <w:style w:type="paragraph" w:styleId="1112" w:customStyle="1">
    <w:name w:val="xl293"/>
    <w:basedOn w:val="1017"/>
    <w:pPr>
      <w:pBdr>
        <w:left w:val="single" w:color="000000" w:sz="4" w:space="0"/>
        <w:bottom w:val="single" w:color="000000" w:sz="4" w:space="0"/>
        <w:right w:val="single" w:color="000000" w:sz="4" w:space="0"/>
      </w:pBdr>
      <w:spacing w:after="100" w:afterAutospacing="1" w:before="100" w:beforeAutospacing="1"/>
      <w:ind/>
    </w:pPr>
  </w:style>
  <w:style w:type="paragraph" w:styleId="1113" w:customStyle="1">
    <w:name w:val="xl294"/>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4">
    <w:name w:val="Title"/>
    <w:basedOn w:val="1017"/>
    <w:link w:val="1115"/>
    <w:qFormat/>
    <w:pPr>
      <w:pBdr/>
      <w:spacing/>
      <w:ind/>
      <w:jc w:val="center"/>
    </w:pPr>
    <w:rPr>
      <w:b/>
      <w:bCs/>
      <w:sz w:val="32"/>
      <w:szCs w:val="26"/>
    </w:rPr>
  </w:style>
  <w:style w:type="character" w:styleId="1115" w:customStyle="1">
    <w:name w:val="Title Char"/>
    <w:basedOn w:val="1022"/>
    <w:link w:val="1114"/>
    <w:pPr>
      <w:pBdr/>
      <w:spacing/>
      <w:ind/>
    </w:pPr>
    <w:rPr>
      <w:rFonts w:ascii="Times New Roman" w:hAnsi="Times New Roman" w:eastAsia="Times New Roman" w:cs="Times New Roman"/>
      <w:b/>
      <w:bCs/>
      <w:sz w:val="32"/>
      <w:szCs w:val="26"/>
    </w:rPr>
  </w:style>
  <w:style w:type="character" w:styleId="1116" w:customStyle="1">
    <w:name w:val="Unresolved Mention1"/>
    <w:basedOn w:val="1022"/>
    <w:uiPriority w:val="99"/>
    <w:semiHidden/>
    <w:unhideWhenUsed/>
    <w:pPr>
      <w:pBdr/>
      <w:spacing/>
      <w:ind/>
    </w:pPr>
    <w:rPr>
      <w:color w:val="605e5c"/>
      <w:shd w:val="clear" w:color="auto" w:fill="e1dfdd"/>
    </w:rPr>
  </w:style>
  <w:style w:type="character" w:styleId="1117" w:customStyle="1">
    <w:name w:val="Body text (3)_"/>
    <w:link w:val="1118"/>
    <w:pPr>
      <w:pBdr/>
      <w:spacing/>
      <w:ind/>
    </w:pPr>
    <w:rPr>
      <w:rFonts w:ascii="Times New Roman" w:hAnsi="Times New Roman" w:cs="Times New Roman"/>
      <w:i/>
      <w:iCs/>
      <w:spacing w:val="4"/>
      <w:shd w:val="clear" w:color="auto" w:fill="ffffff"/>
    </w:rPr>
  </w:style>
  <w:style w:type="paragraph" w:styleId="1118" w:customStyle="1">
    <w:name w:val="Body text (3)1"/>
    <w:basedOn w:val="1017"/>
    <w:link w:val="111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9" w:customStyle="1">
    <w:name w:val="t-j"/>
    <w:basedOn w:val="1017"/>
    <w:pPr>
      <w:pBdr/>
      <w:spacing w:after="100" w:afterAutospacing="1" w:before="100" w:beforeAutospacing="1"/>
      <w:ind/>
    </w:pPr>
  </w:style>
  <w:style w:type="character" w:styleId="1120" w:customStyle="1">
    <w:name w:val="Unresolved Mention2"/>
    <w:basedOn w:val="1022"/>
    <w:uiPriority w:val="99"/>
    <w:semiHidden/>
    <w:unhideWhenUsed/>
    <w:pPr>
      <w:pBdr/>
      <w:spacing/>
      <w:ind/>
    </w:pPr>
    <w:rPr>
      <w:color w:val="605e5c"/>
      <w:shd w:val="clear" w:color="auto" w:fill="e1dfdd"/>
    </w:rPr>
  </w:style>
  <w:style w:type="character" w:styleId="1121">
    <w:name w:val="FollowedHyperlink"/>
    <w:basedOn w:val="1022"/>
    <w:uiPriority w:val="99"/>
    <w:semiHidden/>
    <w:unhideWhenUsed/>
    <w:pPr>
      <w:pBdr/>
      <w:spacing/>
      <w:ind/>
    </w:pPr>
    <w:rPr>
      <w:color w:val="800080" w:themeColor="followedHyperlink"/>
      <w:u w:val="single"/>
    </w:rPr>
  </w:style>
  <w:style w:type="character" w:styleId="1122" w:customStyle="1">
    <w:name w:val="text"/>
    <w:basedOn w:val="1022"/>
    <w:pPr>
      <w:pBdr/>
      <w:spacing/>
      <w:ind/>
    </w:pPr>
  </w:style>
  <w:style w:type="character" w:styleId="1123" w:customStyle="1">
    <w:name w:val="card-send-time__sendtime"/>
    <w:basedOn w:val="1022"/>
    <w:pPr>
      <w:pBdr/>
      <w:spacing/>
      <w:ind/>
    </w:pPr>
  </w:style>
  <w:style w:type="character" w:styleId="1124" w:customStyle="1">
    <w:name w:val="Đề cập Chưa giải quyết1"/>
    <w:basedOn w:val="1022"/>
    <w:uiPriority w:val="99"/>
    <w:semiHidden/>
    <w:unhideWhenUsed/>
    <w:pPr>
      <w:pBdr/>
      <w:spacing/>
      <w:ind/>
    </w:pPr>
    <w:rPr>
      <w:color w:val="605e5c"/>
      <w:shd w:val="clear" w:color="auto" w:fill="e1dfdd"/>
    </w:rPr>
  </w:style>
  <w:style w:type="paragraph" w:styleId="1125" w:customStyle="1">
    <w:name w:val="nqtitle"/>
    <w:basedOn w:val="1017"/>
    <w:pPr>
      <w:pBdr/>
      <w:spacing w:after="100" w:afterAutospacing="1" w:before="100" w:beforeAutospacing="1"/>
      <w:ind/>
    </w:pPr>
    <w:rPr>
      <w:lang w:val="vi-VN" w:eastAsia="vi-VN"/>
    </w:rPr>
  </w:style>
  <w:style w:type="character" w:styleId="1126" w:customStyle="1">
    <w:name w:val="List Paragraph Char"/>
    <w:link w:val="1039"/>
    <w:uiPriority w:val="34"/>
    <w:qFormat/>
    <w:pPr>
      <w:pBdr/>
      <w:spacing/>
      <w:ind/>
    </w:pPr>
    <w:rPr>
      <w:rFonts w:ascii="Times New Roman" w:hAnsi="Times New Roman" w:eastAsia="Times New Roman" w:cs="Times New Roman"/>
      <w:sz w:val="24"/>
      <w:szCs w:val="24"/>
    </w:rPr>
  </w:style>
  <w:style w:type="character" w:styleId="1127" w:customStyle="1">
    <w:name w:val="Đề cập Chưa giải quyết2"/>
    <w:basedOn w:val="1022"/>
    <w:uiPriority w:val="99"/>
    <w:semiHidden/>
    <w:unhideWhenUsed/>
    <w:pPr>
      <w:pBdr/>
      <w:spacing/>
      <w:ind/>
    </w:pPr>
    <w:rPr>
      <w:color w:val="605e5c"/>
      <w:shd w:val="clear" w:color="auto" w:fill="e1dfdd"/>
    </w:rPr>
  </w:style>
  <w:style w:type="character" w:styleId="1128" w:customStyle="1">
    <w:name w:val="Unresolved Mention3"/>
    <w:basedOn w:val="1022"/>
    <w:uiPriority w:val="99"/>
    <w:semiHidden/>
    <w:unhideWhenUsed/>
    <w:pPr>
      <w:pBdr/>
      <w:spacing/>
      <w:ind/>
    </w:pPr>
    <w:rPr>
      <w:color w:val="605e5c"/>
      <w:shd w:val="clear" w:color="auto" w:fill="e1dfdd"/>
    </w:rPr>
  </w:style>
  <w:style w:type="character" w:styleId="1129" w:customStyle="1">
    <w:name w:val="copy"/>
    <w:basedOn w:val="1022"/>
    <w:pPr>
      <w:pBdr/>
      <w:spacing/>
      <w:ind/>
    </w:pPr>
  </w:style>
  <w:style w:type="paragraph" w:styleId="1130" w:customStyle="1">
    <w:name w:val="align-justify"/>
    <w:basedOn w:val="1017"/>
    <w:pPr>
      <w:pBdr/>
      <w:spacing w:after="100" w:afterAutospacing="1" w:before="100" w:beforeAutospacing="1"/>
      <w:ind/>
    </w:pPr>
  </w:style>
  <w:style w:type="character" w:styleId="1131" w:customStyle="1">
    <w:name w:val="btn"/>
    <w:basedOn w:val="1022"/>
    <w:pPr>
      <w:pBdr/>
      <w:spacing/>
      <w:ind/>
    </w:pPr>
  </w:style>
  <w:style w:type="character" w:styleId="1132" w:customStyle="1">
    <w:name w:val="hide_mobile"/>
    <w:basedOn w:val="1022"/>
    <w:pPr>
      <w:pBdr/>
      <w:spacing/>
      <w:ind/>
    </w:pPr>
  </w:style>
  <w:style w:type="character" w:styleId="1133">
    <w:name w:val="Emphasis"/>
    <w:basedOn w:val="1022"/>
    <w:uiPriority w:val="20"/>
    <w:qFormat/>
    <w:pPr>
      <w:pBdr/>
      <w:spacing/>
      <w:ind/>
    </w:pPr>
    <w:rPr>
      <w:i/>
      <w:iCs/>
    </w:rPr>
  </w:style>
  <w:style w:type="character" w:styleId="1134" w:customStyle="1">
    <w:name w:val="t1"/>
    <w:basedOn w:val="1022"/>
    <w:pPr>
      <w:pBdr/>
      <w:spacing/>
      <w:ind/>
    </w:pPr>
  </w:style>
  <w:style w:type="character" w:styleId="1135" w:customStyle="1">
    <w:name w:val="Unresolved Mention4"/>
    <w:basedOn w:val="1022"/>
    <w:uiPriority w:val="99"/>
    <w:semiHidden/>
    <w:unhideWhenUsed/>
    <w:pPr>
      <w:pBdr/>
      <w:spacing/>
      <w:ind/>
    </w:pPr>
    <w:rPr>
      <w:color w:val="605e5c"/>
      <w:shd w:val="clear" w:color="auto" w:fill="e1dfdd"/>
    </w:rPr>
  </w:style>
  <w:style w:type="character" w:styleId="1136">
    <w:name w:val="Unresolved Mention"/>
    <w:basedOn w:val="102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hyperlink" Target="http://bvthuongtin.vn/" TargetMode="External"/><Relationship Id="rId19" Type="http://schemas.openxmlformats.org/officeDocument/2006/relationships/hyperlink" Target="https://bighousing.vn/thi-truong-bat-dong-san-thuong-tin-cuoi-2025/#:~:text=S%E1%BB%B1%20ph%C3%A1t%20tri%E1%BB%83n%20h%E1%BA%A1%20t%E1%BA%A7ng%2C%20c%C3%A1c%20d%E1%BB%B1%20%C3%A1n,d%C3%A0i%20h%E1%BA%A1n%20c%E1%BB%A7a%20b%E1%BA%A5t%20%C4%91%E1%BB%99ng%20s%E1%BA%A3n%20Th%C6%B0%E1%BB%9Dng%20T%C3%ADn."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274</cp:revision>
  <dcterms:created xsi:type="dcterms:W3CDTF">2025-09-15T09:58:00Z</dcterms:created>
  <dcterms:modified xsi:type="dcterms:W3CDTF">2026-02-04T03:22:27Z</dcterms:modified>
</cp:coreProperties>
</file>