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t xml:space="preserve"> </w:t>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731805" cy="32301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31803" cy="32301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275/2026/0480/VFI-CT.17.A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THUÝ</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tài sản gắn liền với đất tại thửa đất số: LK31.07 có địa chỉ: LK31.07, Khu đô thị mới Kim Chung - Di Trạch, xã Di Trạch, huyện Hoài Đức, thành phố Hà Nội (</w:t>
                            </w:r>
                            <w:r>
                              <w:rPr>
                                <w:i/>
                                <w:iCs/>
                                <w:color w:val="000000"/>
                              </w:rPr>
                              <w:t xml:space="preserve">nay là xã Hoài Đức, </w:t>
                            </w:r>
                            <w:r>
                              <w:rPr>
                                <w:i/>
                                <w:iCs/>
                                <w:color w:val="000000"/>
                              </w:rPr>
                              <w:t xml:space="preserve">thành phố Hà Nội)</w:t>
                            </w:r>
                            <w:r>
                              <w:rPr>
                                <w:color w:val="000000"/>
                              </w:rPr>
                              <w:t xml:space="preserve"> theo Giấy chứng nhận quyền sử dụng đất, quyền sở hữu tài sản gắn liền với đất số: AA 01714590, số vào sổ cấp GCN: VP 19591 do Văn phòng Đăng ký đất đai Hà Nội cấp ngày 21/6/2025; Chủ tài sản là ông Trần Tuấn Anh và bà Nguyễn Thị Thuý</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51.32pt;height:254.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275/2026/0480/VFI-CT.17.A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THUÝ</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tài sản gắn liền với đất tại thửa đất số: LK31.07 có địa chỉ: LK31.07, Khu đô thị mới Kim Chung - Di Trạch, xã Di Trạch, huyện Hoài Đức, thành phố Hà Nội (</w:t>
                      </w:r>
                      <w:r>
                        <w:rPr>
                          <w:i/>
                          <w:iCs/>
                          <w:color w:val="000000"/>
                        </w:rPr>
                        <w:t xml:space="preserve">nay là xã Hoài Đức, </w:t>
                      </w:r>
                      <w:r>
                        <w:rPr>
                          <w:i/>
                          <w:iCs/>
                          <w:color w:val="000000"/>
                        </w:rPr>
                        <w:t xml:space="preserve">thành phố Hà Nội)</w:t>
                      </w:r>
                      <w:r>
                        <w:rPr>
                          <w:color w:val="000000"/>
                        </w:rPr>
                        <w:t xml:space="preserve"> theo Giấy chứng nhận quyền sử dụng đất, quyền sở hữu tài sản gắn liền với đất số: AA 01714590, số vào sổ cấp GCN: VP 19591 do Văn phòng Đăng ký đất đai Hà Nội cấp ngày 21/6/2025; Chủ tài sản là ông Trần Tuấn Anh và bà Nguyễn Thị Thuý</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1 - 3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4 - 21</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22 - 24</w:t>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25 - 30</w:t>
            </w:r>
            <w:r>
              <w:rPr>
                <w:b/>
                <w:bCs/>
              </w:rPr>
            </w:r>
            <w:r>
              <w:rPr>
                <w:b/>
                <w:bCs/>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233" w:type="dxa"/>
        <w:tblBorders/>
        <w:tblLayout w:type="fixed"/>
        <w:tblLook w:val="04A0" w:firstRow="1" w:lastRow="0" w:firstColumn="1" w:lastColumn="0" w:noHBand="0" w:noVBand="1"/>
      </w:tblPr>
      <w:tblGrid>
        <w:gridCol w:w="1829"/>
        <w:gridCol w:w="1799"/>
        <w:gridCol w:w="6588"/>
        <w:gridCol w:w="17"/>
      </w:tblGrid>
      <w:tr>
        <w:trPr>
          <w:trHeight w:val="1152"/>
        </w:trPr>
        <w:tc>
          <w:tcPr>
            <w:tcBorders/>
            <w:tcW w:w="18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40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3628"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275/2026/0480/VFI-CT.17.A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588"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27 tháng 3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THỊ THUÝ</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275/2026/0480VFI-HĐTĐ.17.A</w:t>
      </w:r>
      <w:r>
        <w:rPr>
          <w:spacing w:val="-4"/>
          <w:lang w:val="vi-VN"/>
        </w:rPr>
        <w:t xml:space="preserve"> ký ngày </w:t>
      </w:r>
      <w:r>
        <w:rPr>
          <w:color w:val="000000" w:themeColor="text1"/>
          <w:spacing w:val="-4"/>
        </w:rPr>
        <w:t xml:space="preserve">23 tháng 3 năm 2026</w:t>
      </w:r>
      <w:r>
        <w:rPr>
          <w:spacing w:val="-4"/>
          <w:lang w:val="vi-VN"/>
        </w:rPr>
        <w:t xml:space="preserve"> </w:t>
      </w:r>
      <w:r>
        <w:rPr>
          <w:spacing w:val="-4"/>
          <w:lang w:val="vi-VN"/>
        </w:rPr>
        <w:t xml:space="preserve">giữa bà Nguyễn Thị Thuý</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275/2026/0480/VFI-BC.17.A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27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55" w:type="pct"/>
        <w:tblBorders/>
        <w:tblLayout w:type="fixed"/>
        <w:tblLook w:val="04A0" w:firstRow="1" w:lastRow="0" w:firstColumn="1" w:lastColumn="0" w:noHBand="0" w:noVBand="1"/>
      </w:tblPr>
      <w:tblGrid>
        <w:gridCol w:w="1818"/>
        <w:gridCol w:w="487"/>
        <w:gridCol w:w="7613"/>
      </w:tblGrid>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BÀ NGUYỄN THỊ THUÝ</w:t>
            </w:r>
            <w:r>
              <w:rPr>
                <w:b/>
                <w:bCs/>
              </w:rPr>
            </w: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001177000364</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1977</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613"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180 Hoàng Hoa Thám, phường Tây Hồ, thành phố Hà Nội</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10008" w:type="dxa"/>
        <w:tblBorders/>
        <w:tblLayout w:type="fixed"/>
        <w:tblLook w:val="04A0" w:firstRow="1" w:lastRow="0" w:firstColumn="1" w:lastColumn="0" w:noHBand="0" w:noVBand="1"/>
      </w:tblPr>
      <w:tblGrid>
        <w:gridCol w:w="1998"/>
        <w:gridCol w:w="289"/>
        <w:gridCol w:w="7721"/>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721"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721"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721"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w:t>
            </w:r>
            <w:r>
              <w:rPr>
                <w:b/>
                <w:bCs/>
                <w:lang w:val="vi-VN"/>
              </w:rPr>
              <w:tab/>
              <w:t xml:space="preserve">      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và tài sản gắn liền với đất tại thửa đất số: LK31.07 có địa chỉ: LK31.07, Khu đô thị mới Kim Chung - Di Trạch, xã Di Trạch, huyện Hoài Đức, thành phố Hà Nội </w:t>
      </w:r>
      <w:r>
        <w:rPr>
          <w:i/>
          <w:iCs/>
          <w:color w:val="000000" w:themeColor="text1"/>
        </w:rPr>
        <w:t xml:space="preserve">(nay là xã Hoài Đức, </w:t>
      </w:r>
      <w:r>
        <w:rPr>
          <w:i/>
          <w:iCs/>
          <w:color w:val="000000" w:themeColor="text1"/>
        </w:rPr>
        <w:t xml:space="preserve">thành phố Hà Nội) </w:t>
      </w:r>
      <w:r>
        <w:rPr>
          <w:color w:val="000000" w:themeColor="text1"/>
        </w:rPr>
        <w:t xml:space="preserve">theo Giấy chứng nhận quyền sử dụng đất, quyền sở hữu tài sản gắn liền với đất số: AA 01714590, số vào sổ cấp GCN: VP 19591 do Văn phòng Đăng ký đất đai Hà Nội cấp ngày 21/06/2025; Chủ tài sản là ông Trần Tuấn Anh và bà Nguyễn Thị Thuý</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3/2026</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24"/>
        <w:gridCol w:w="2141"/>
        <w:gridCol w:w="1417"/>
        <w:gridCol w:w="1765"/>
        <w:gridCol w:w="1749"/>
        <w:gridCol w:w="1710"/>
      </w:tblGrid>
      <w:tr>
        <w:trPr>
          <w:trHeight w:val="312"/>
        </w:trPr>
        <w:tc>
          <w:tcPr>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TT</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2141"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Tài sản</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417"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Diện tích (m²)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765"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Đơn giá (đồng/m²)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749"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Tỷ lệ CLCL x Tỷ lệ hoàn thiện (%)</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Thành tiền (đồng)</w:t>
            </w:r>
            <w:r>
              <w:rPr>
                <w:highlight w:val="white"/>
              </w:rPr>
            </w:r>
            <w:r>
              <w:rPr>
                <w:highlight w:val="white"/>
              </w:rPr>
            </w:r>
          </w:p>
        </w:tc>
      </w:tr>
      <w:tr>
        <w:trPr>
          <w:trHeight w:val="1764"/>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highlight w:val="white"/>
              </w:rPr>
            </w:r>
            <w:r>
              <w:rPr>
                <w:highlight w:val="white"/>
              </w:rPr>
            </w:r>
            <w:r>
              <w:rPr>
                <w:highlight w:val="white"/>
              </w:rPr>
            </w:r>
          </w:p>
        </w:tc>
        <w:tc>
          <w:tcPr>
            <w:gridSpan w:val="4"/>
            <w:shd w:val="clear" w:color="f2f2f2" w:fill="f2f2f2"/>
            <w:tcBorders>
              <w:top w:val="single" w:color="000000" w:sz="5" w:space="0"/>
              <w:bottom w:val="single" w:color="000000" w:sz="5" w:space="0"/>
              <w:right w:val="single" w:color="000000" w:sz="4" w:space="0"/>
            </w:tcBorders>
            <w:tcMar>
              <w:left w:w="15" w:type="dxa"/>
              <w:top w:w="15" w:type="dxa"/>
              <w:right w:w="15" w:type="dxa"/>
              <w:bottom w:w="0" w:type="dxa"/>
            </w:tcMar>
            <w:tcW w:w="7072" w:type="dxa"/>
            <w:vAlign w:val="center"/>
            <w:textDirection w:val="lrTb"/>
            <w:noWrap w:val="false"/>
          </w:tcPr>
          <w:p>
            <w:pPr>
              <w:pBdr/>
              <w:shd w:val="clear" w:color="ffffff" w:themeColor="background1" w:fill="ffffff" w:themeFill="background1"/>
              <w:spacing w:after="0" w:before="0" w:line="240" w:lineRule="auto"/>
              <w:ind w:right="97" w:firstLine="0" w:left="142"/>
              <w:jc w:val="both"/>
              <w:rPr>
                <w:highlight w:val="white"/>
              </w:rPr>
            </w:pPr>
            <w:r>
              <w:rPr>
                <w:rFonts w:ascii="Times New Roman" w:hAnsi="Times New Roman" w:eastAsia="Times New Roman" w:cs="Times New Roman"/>
                <w:b/>
                <w:color w:val="000000"/>
                <w:sz w:val="24"/>
                <w:highlight w:val="white"/>
              </w:rPr>
              <w:t xml:space="preserve">Quyền sử dụng đất và tài sản gắn liền với đất tại thửa đất số: LK31.07 có địa chỉ: LK31.07, Khu đô thị mới Kim Chung - Di Trạch, xã Di Trạch, huyện Hoài Đức, thành phố Hà Nội (nay là xã Hoài Đức, thành phố Hà Nội) theo Giấy chứng nhận quyền sử dụng đất, qu</w:t>
            </w:r>
            <w:r>
              <w:rPr>
                <w:rFonts w:ascii="Times New Roman" w:hAnsi="Times New Roman" w:eastAsia="Times New Roman" w:cs="Times New Roman"/>
                <w:b/>
                <w:color w:val="000000"/>
                <w:sz w:val="24"/>
                <w:highlight w:val="white"/>
              </w:rPr>
              <w:t xml:space="preserve">yền sở hữu tài sản gắn liền với đất số: AA 01714590, số vào sổ cấp GCN: VP 19591 do Văn phòng Đăng ký đất đai Hà Nội cấp ngày 21/06/2025; Chủ sử dụng đất là ông Trần Tuấn Anh và bà Nguyễn Thị Thuý.</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0" w:before="0" w:line="240" w:lineRule="auto"/>
              <w:ind/>
              <w:jc w:val="right"/>
              <w:rPr>
                <w:highlight w:val="white"/>
              </w:rPr>
            </w:pPr>
            <w:r>
              <w:rPr>
                <w:rFonts w:ascii="Times New Roman" w:hAnsi="Times New Roman" w:eastAsia="Times New Roman" w:cs="Times New Roman"/>
                <w:b/>
                <w:color w:val="000000"/>
                <w:sz w:val="24"/>
                <w:highlight w:val="white"/>
              </w:rPr>
              <w:t xml:space="preserve"> </w:t>
            </w:r>
            <w:r>
              <w:rPr>
                <w:highlight w:val="white"/>
              </w:rPr>
            </w:r>
            <w:r>
              <w:rPr>
                <w:highlight w:val="white"/>
              </w:rPr>
            </w:r>
          </w:p>
        </w:tc>
      </w:tr>
      <w:tr>
        <w:trPr>
          <w:trHeight w:val="402"/>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highlight w:val="none"/>
              </w:rPr>
              <w:t xml:space="preserve">01</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141"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Đất ở tại đô thị</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417"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117,7</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65"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174.000.000</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4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none"/>
              </w:rPr>
              <w:t xml:space="preserve">100%</w:t>
            </w:r>
            <w:r>
              <w:rPr>
                <w:rFonts w:ascii="Times New Roman" w:hAnsi="Times New Roman" w:eastAsia="Times New Roman" w:cs="Times New Roman"/>
                <w:color w:val="000000"/>
                <w:sz w:val="24"/>
                <w:highlight w:val="white"/>
              </w:rPr>
              <w:t xml:space="preserve"> </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0" w:before="0" w:line="240" w:lineRule="auto"/>
              <w:ind w:right="121" w:firstLine="0" w:left="0"/>
              <w:jc w:val="right"/>
              <w:rPr>
                <w:highlight w:val="white"/>
              </w:rPr>
            </w:pPr>
            <w:r>
              <w:rPr>
                <w:rFonts w:ascii="Times New Roman" w:hAnsi="Times New Roman" w:eastAsia="Times New Roman" w:cs="Times New Roman"/>
                <w:color w:val="000000"/>
                <w:sz w:val="24"/>
                <w:highlight w:val="white"/>
              </w:rPr>
              <w:t xml:space="preserve">20.479.800.000</w:t>
            </w:r>
            <w:r>
              <w:rPr>
                <w:highlight w:val="white"/>
              </w:rPr>
            </w:r>
            <w:r>
              <w:rPr>
                <w:highlight w:val="white"/>
              </w:rPr>
            </w:r>
          </w:p>
        </w:tc>
      </w:tr>
      <w:tr>
        <w:trPr>
          <w:trHeight w:val="432"/>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color w:val="000000"/>
                <w:sz w:val="24"/>
                <w:highlight w:val="white"/>
              </w:rPr>
              <w:t xml:space="preserve"> 02</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141"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Nhà liền kề </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417"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349,4</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65"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6.640.633</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4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62%</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40" w:before="40" w:line="288" w:lineRule="auto"/>
              <w:ind w:right="121" w:firstLine="0" w:left="0"/>
              <w:jc w:val="right"/>
              <w:rPr>
                <w:highlight w:val="white"/>
              </w:rPr>
            </w:pPr>
            <w:r>
              <w:rPr>
                <w:color w:val="000000" w:themeColor="text1"/>
                <w:highlight w:val="white"/>
              </w:rPr>
              <w:t xml:space="preserve">1.4</w:t>
            </w:r>
            <w:r>
              <w:rPr>
                <w:color w:val="000000" w:themeColor="text1"/>
                <w:highlight w:val="none"/>
              </w:rPr>
              <w:t xml:space="preserve">38.547.046</w:t>
            </w:r>
            <w:r>
              <w:rPr>
                <w:highlight w:val="white"/>
              </w:rPr>
            </w:r>
            <w:r>
              <w:rPr>
                <w:highlight w:val="white"/>
              </w:rPr>
            </w:r>
          </w:p>
        </w:tc>
      </w:tr>
      <w:tr>
        <w:trPr>
          <w:trHeight w:val="312"/>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779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TỔNG CỘNG:</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tcPr>
          <w:p>
            <w:pPr>
              <w:pBdr/>
              <w:shd w:val="clear" w:color="ffffff" w:themeColor="background1" w:fill="ffffff" w:themeFill="background1"/>
              <w:spacing w:after="40" w:before="40" w:line="288" w:lineRule="auto"/>
              <w:ind w:right="121" w:firstLine="0" w:left="0"/>
              <w:jc w:val="right"/>
              <w:rPr>
                <w:b/>
                <w:bCs/>
                <w:color w:val="000000"/>
                <w:highlight w:val="white"/>
              </w:rPr>
            </w:pPr>
            <w:r>
              <w:rPr>
                <w:b/>
                <w:bCs/>
                <w:highlight w:val="white"/>
              </w:rPr>
              <w:t xml:space="preserve">21.91</w:t>
            </w:r>
            <w:r>
              <w:rPr>
                <w:b/>
                <w:bCs/>
                <w:highlight w:val="none"/>
              </w:rPr>
              <w:t xml:space="preserve">8.347.046</w:t>
            </w:r>
            <w:r>
              <w:rPr>
                <w:b/>
                <w:bCs/>
                <w:color w:val="000000"/>
                <w:highlight w:val="white"/>
              </w:rPr>
            </w:r>
            <w:r>
              <w:rPr>
                <w:b/>
                <w:bCs/>
                <w:color w:val="000000"/>
                <w:highlight w:val="white"/>
              </w:rPr>
            </w:r>
          </w:p>
        </w:tc>
      </w:tr>
      <w:tr>
        <w:trPr>
          <w:trHeight w:val="300"/>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779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LÀM TRÒN:</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tcPr>
          <w:p>
            <w:pPr>
              <w:pBdr/>
              <w:shd w:val="clear" w:color="ffffff" w:themeColor="background1" w:fill="ffffff" w:themeFill="background1"/>
              <w:spacing w:after="40" w:before="40" w:line="288" w:lineRule="auto"/>
              <w:ind w:right="121" w:firstLine="0" w:left="0"/>
              <w:jc w:val="right"/>
              <w:rPr>
                <w:b/>
                <w:bCs/>
                <w:color w:val="000000"/>
                <w:highlight w:val="white"/>
              </w:rPr>
            </w:pPr>
            <w:r>
              <w:rPr>
                <w:b/>
                <w:bCs/>
                <w:color w:val="000000"/>
                <w:highlight w:val="white"/>
              </w:rPr>
              <w:t xml:space="preserve">21.918.000.000</w:t>
            </w:r>
            <w:r>
              <w:rPr>
                <w:b/>
                <w:bCs/>
                <w:color w:val="000000"/>
                <w:highlight w:val="white"/>
              </w:rPr>
            </w:r>
            <w:r>
              <w:rPr>
                <w:b/>
                <w:bCs/>
                <w:color w:val="000000"/>
                <w:highlight w:val="white"/>
              </w:rPr>
            </w:r>
          </w:p>
        </w:tc>
      </w:tr>
      <w:tr>
        <w:trPr>
          <w:trHeight w:val="300"/>
        </w:trPr>
        <w:tc>
          <w:tcPr>
            <w:gridSpan w:val="6"/>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9506" w:type="dxa"/>
            <w:vAlign w:val="center"/>
            <w:vMerge w:val="restart"/>
            <w:textDirection w:val="lrTb"/>
            <w:noWrap/>
          </w:tcPr>
          <w:p>
            <w:pPr>
              <w:pBdr/>
              <w:spacing w:after="40" w:before="40" w:line="288" w:lineRule="auto"/>
              <w:ind/>
              <w:jc w:val="center"/>
              <w:rPr>
                <w:b/>
                <w:bCs/>
                <w:i/>
                <w:iCs/>
                <w:color w:val="000000"/>
                <w:highlight w:val="white"/>
              </w:rPr>
            </w:pPr>
            <w:r>
              <w:rPr>
                <w:b/>
                <w:bCs/>
                <w:i/>
                <w:iCs/>
                <w:color w:val="000000"/>
                <w:highlight w:val="white"/>
              </w:rPr>
              <w:t xml:space="preserve">(</w:t>
            </w:r>
            <w:r>
              <w:rPr>
                <w:b/>
                <w:bCs/>
                <w:i/>
                <w:iCs/>
                <w:color w:val="000000"/>
                <w:highlight w:val="white"/>
              </w:rPr>
              <w:t xml:space="preserve">Bằng</w:t>
            </w:r>
            <w:r>
              <w:rPr>
                <w:b/>
                <w:bCs/>
                <w:i/>
                <w:iCs/>
                <w:color w:val="000000"/>
                <w:highlight w:val="white"/>
              </w:rPr>
              <w:t xml:space="preserve"> </w:t>
            </w:r>
            <w:r>
              <w:rPr>
                <w:b/>
                <w:bCs/>
                <w:i/>
                <w:iCs/>
                <w:color w:val="000000"/>
                <w:highlight w:val="white"/>
              </w:rPr>
              <w:t xml:space="preserve">chữ</w:t>
            </w:r>
            <w:r>
              <w:rPr>
                <w:b/>
                <w:bCs/>
                <w:i/>
                <w:iCs/>
                <w:color w:val="000000"/>
                <w:highlight w:val="white"/>
              </w:rPr>
              <w:t xml:space="preserve">: </w:t>
            </w:r>
            <w:r>
              <w:rPr>
                <w:b/>
                <w:bCs/>
                <w:i/>
                <w:iCs/>
                <w:color w:val="000000"/>
                <w:highlight w:val="white"/>
              </w:rPr>
              <w:t xml:space="preserve">Hai mươi mốt tỷ, chín trăm mười tám triệu đồng</w:t>
            </w:r>
            <w:r>
              <w:rPr>
                <w:b/>
                <w:bCs/>
                <w:i/>
                <w:iCs/>
                <w:color w:val="000000"/>
                <w:highlight w:val="white"/>
              </w:rPr>
              <w:t xml:space="preserve">./.)</w:t>
            </w:r>
            <w:r>
              <w:rPr>
                <w:b/>
                <w:bCs/>
                <w:i/>
                <w:iCs/>
                <w:color w:val="000000"/>
                <w:highlight w:val="white"/>
              </w:rPr>
            </w:r>
            <w:r>
              <w:rPr>
                <w:b/>
                <w:bCs/>
                <w:i/>
                <w:iCs/>
                <w:color w:val="000000"/>
                <w:highlight w:val="white"/>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highlight w:val="none"/>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highlight w:val="none"/>
          <w:lang w:val="pt-BR"/>
        </w:rPr>
      </w:r>
      <w:r>
        <w:rPr>
          <w:highlight w:val="none"/>
          <w:lang w:val="pt-BR"/>
        </w:rPr>
      </w:r>
    </w:p>
    <w:p>
      <w:pPr>
        <w:pBdr/>
        <w:spacing w:after="120" w:before="120" w:line="312" w:lineRule="auto"/>
        <w:ind w:firstLine="360"/>
        <w:rPr>
          <w:rFonts w:eastAsia="Calibri"/>
          <w:b/>
          <w:bCs/>
          <w:spacing w:val="-4"/>
          <w:lang w:val="pt-BR"/>
        </w:rPr>
      </w:pPr>
      <w:r>
        <w:rPr>
          <w:rFonts w:eastAsia="Calibri"/>
          <w:b/>
          <w:bCs/>
          <w:spacing w:val="-4"/>
          <w:lang w:val="pt-BR"/>
        </w:rPr>
      </w:r>
      <w:r>
        <w:rPr>
          <w:rFonts w:eastAsia="Calibri"/>
          <w:b/>
          <w:bCs/>
          <w:spacing w:val="-4"/>
          <w:lang w:val="pt-BR"/>
        </w:rPr>
      </w:r>
      <w:r>
        <w:rPr>
          <w:rFonts w:eastAsia="Calibri"/>
          <w:b/>
          <w:bCs/>
          <w:spacing w:val="-4"/>
          <w:lang w:val="pt-BR"/>
        </w:rPr>
      </w:r>
    </w:p>
    <w:p>
      <w:pPr>
        <w:pBdr/>
        <w:spacing w:after="120" w:before="120" w:line="312" w:lineRule="auto"/>
        <w:ind w:firstLine="360"/>
        <w:rPr>
          <w:rFonts w:eastAsia="Calibri"/>
          <w:b/>
          <w:bCs/>
          <w:spacing w:val="-4"/>
          <w:lang w:val="pt-BR"/>
        </w:rPr>
      </w:pPr>
      <w:r>
        <w:rPr>
          <w:rFonts w:eastAsia="Calibri"/>
          <w:b/>
          <w:bCs/>
          <w:spacing w:val="-4"/>
          <w:lang w:val="pt-BR"/>
        </w:rPr>
      </w:r>
      <w:r>
        <w:rPr>
          <w:rFonts w:eastAsia="Calibri"/>
          <w:b/>
          <w:bCs/>
          <w:spacing w:val="-4"/>
          <w:lang w:val="pt-BR"/>
        </w:rPr>
      </w:r>
      <w:r>
        <w:rPr>
          <w:rFonts w:eastAsia="Calibri"/>
          <w:b/>
          <w:bCs/>
          <w:spacing w:val="-4"/>
          <w:lang w:val="pt-BR"/>
        </w:rPr>
      </w:r>
    </w:p>
    <w:p>
      <w:pPr>
        <w:pBdr/>
        <w:spacing w:after="120" w:before="120" w:line="312" w:lineRule="auto"/>
        <w:ind w:firstLine="360"/>
        <w:rPr>
          <w:rFonts w:eastAsia="Calibri"/>
          <w:b/>
          <w:bCs/>
          <w:spacing w:val="-4"/>
          <w:lang w:val="pt-BR"/>
        </w:rPr>
      </w:pPr>
      <w:r>
        <w:rPr>
          <w:rFonts w:eastAsia="Calibri"/>
          <w:b/>
          <w:bCs/>
          <w:spacing w:val="-4"/>
          <w:lang w:val="pt-BR"/>
        </w:rPr>
      </w:r>
      <w:r>
        <w:rPr>
          <w:rFonts w:eastAsia="Calibri"/>
          <w:b/>
          <w:bCs/>
          <w:spacing w:val="-4"/>
          <w:lang w:val="pt-BR"/>
        </w:rPr>
      </w:r>
      <w:r>
        <w:rPr>
          <w:rFonts w:eastAsia="Calibri"/>
          <w:b/>
          <w:bCs/>
          <w:spacing w:val="-4"/>
          <w:lang w:val="pt-BR"/>
        </w:rPr>
      </w:r>
    </w:p>
    <w:p>
      <w:pPr>
        <w:pBdr/>
        <w:spacing w:after="120" w:before="120" w:line="312" w:lineRule="auto"/>
        <w:ind w:firstLine="360"/>
        <w:rPr>
          <w:rFonts w:eastAsia="Calibri"/>
          <w:b/>
          <w:bCs/>
          <w:spacing w:val="-4"/>
          <w:lang w:val="pt-BR"/>
        </w:rPr>
      </w:pPr>
      <w:r>
        <w:rPr>
          <w:highlight w:val="none"/>
          <w:lang w:val="pt-BR" w:bidi="pt-BR"/>
        </w:rPr>
      </w:r>
      <w:r>
        <w:rPr>
          <w:rFonts w:eastAsia="Calibri"/>
          <w:b/>
          <w:bCs/>
          <w:spacing w:val="-4"/>
          <w:lang w:val="pt-BR"/>
        </w:rPr>
      </w:r>
      <w:r>
        <w:rPr>
          <w:rFonts w:eastAsia="Calibri"/>
          <w:b/>
          <w:bCs/>
          <w:spacing w:val="-4"/>
          <w:lang w:val="pt-BR"/>
        </w:rPr>
      </w:r>
    </w:p>
    <w:p>
      <w:pPr>
        <w:pBdr/>
        <w:spacing w:after="120" w:before="120" w:line="312" w:lineRule="auto"/>
        <w:ind/>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428"/>
        <w:gridCol w:w="5400"/>
      </w:tblGrid>
      <w:tr>
        <w:trPr>
          <w:trHeight w:val="20"/>
        </w:trPr>
        <w:tc>
          <w:tcPr>
            <w:tcBorders/>
            <w:tcW w:w="442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40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54"/>
        </w:trPr>
        <w:tc>
          <w:tcPr>
            <w:tcBorders/>
            <w:tcW w:w="442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400" w:type="dxa"/>
            <w:vAlign w:val="bottom"/>
            <w:textDirection w:val="lrTb"/>
            <w:noWrap w:val="false"/>
          </w:tcPr>
          <w:p>
            <w:pPr>
              <w:pBdr/>
              <w:spacing w:line="276" w:lineRule="auto"/>
              <w:ind/>
              <w:jc w:val="center"/>
              <w:rPr>
                <w:rFonts w:eastAsia="Calibri"/>
                <w:b/>
                <w:bCs/>
              </w:rPr>
            </w:pPr>
            <w:r>
              <w:rPr>
                <w:rFonts w:eastAsia="Calibri"/>
                <w:b/>
              </w:rPr>
            </w:r>
            <w:r>
              <w:rPr>
                <w:rFonts w:eastAsia="Calibri"/>
                <w:b/>
                <w:bCs/>
              </w:rPr>
            </w:r>
            <w:r>
              <w:rPr>
                <w:rFonts w:eastAsia="Calibri"/>
                <w:b/>
                <w:bCs/>
              </w:rPr>
            </w:r>
          </w:p>
          <w:p>
            <w:pPr>
              <w:pBdr/>
              <w:spacing w:line="276" w:lineRule="auto"/>
              <w:ind/>
              <w:jc w:val="center"/>
              <w:rPr>
                <w:rFonts w:eastAsia="Calibri"/>
                <w:b/>
                <w:bCs/>
              </w:rPr>
            </w:pPr>
            <w:r>
              <w:rPr>
                <w:rFonts w:eastAsia="Calibri"/>
                <w:b/>
                <w:bCs/>
              </w:rPr>
            </w:r>
            <w:r>
              <w:rPr>
                <w:rFonts w:eastAsia="Calibri"/>
                <w:b/>
                <w:bCs/>
              </w:rPr>
            </w:r>
            <w:r>
              <w:rPr>
                <w:rFonts w:eastAsia="Calibri"/>
                <w:b/>
                <w:bCs/>
              </w:rPr>
            </w:r>
          </w:p>
          <w:p>
            <w:pPr>
              <w:pBdr/>
              <w:spacing w:line="276" w:lineRule="auto"/>
              <w:ind/>
              <w:jc w:val="center"/>
              <w:rPr>
                <w:rFonts w:eastAsia="Calibri"/>
                <w:b/>
                <w:bCs/>
              </w:rPr>
            </w:pPr>
            <w:r>
              <w:rPr>
                <w:rFonts w:eastAsia="Calibri"/>
                <w:b/>
                <w:bCs/>
              </w:rPr>
            </w:r>
            <w:r>
              <w:rPr>
                <w:rFonts w:eastAsia="Calibri"/>
                <w:b/>
                <w:bCs/>
              </w:rPr>
            </w:r>
            <w:r>
              <w:rPr>
                <w:rFonts w:eastAsia="Calibri"/>
                <w:b/>
                <w:bCs/>
              </w:rPr>
            </w:r>
          </w:p>
          <w:p>
            <w:pPr>
              <w:pBdr/>
              <w:spacing w:line="276" w:lineRule="auto"/>
              <w:ind/>
              <w:jc w:val="center"/>
              <w:rPr>
                <w:rFonts w:eastAsia="Calibri"/>
                <w:b/>
                <w:bCs/>
              </w:rPr>
            </w:pPr>
            <w:r>
              <w:rPr>
                <w:rFonts w:eastAsia="Calibri"/>
                <w:b/>
              </w:rPr>
            </w:r>
            <w:r>
              <w:rPr>
                <w:rFonts w:eastAsia="Calibri"/>
                <w:b/>
                <w:bCs/>
              </w:rPr>
            </w:r>
            <w:r>
              <w:rPr>
                <w:rFonts w:eastAsia="Calibri"/>
                <w:b/>
                <w:bCs/>
              </w:rPr>
            </w:r>
          </w:p>
        </w:tc>
      </w:tr>
      <w:tr>
        <w:trPr>
          <w:trHeight w:val="20"/>
        </w:trPr>
        <w:tc>
          <w:tcPr>
            <w:tcBorders/>
            <w:tcW w:w="442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40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109" w:type="dxa"/>
        <w:tblBorders/>
        <w:tblLayout w:type="fixed"/>
        <w:tblLook w:val="04A0" w:firstRow="1" w:lastRow="0" w:firstColumn="1" w:lastColumn="0" w:noHBand="0" w:noVBand="1"/>
      </w:tblPr>
      <w:tblGrid>
        <w:gridCol w:w="1631"/>
        <w:gridCol w:w="1800"/>
        <w:gridCol w:w="6661"/>
        <w:gridCol w:w="17"/>
      </w:tblGrid>
      <w:tr>
        <w:trPr>
          <w:gridAfter w:val="1"/>
          <w:trHeight w:val="1008"/>
        </w:trPr>
        <w:tc>
          <w:tcPr>
            <w:tcBorders/>
            <w:tcW w:w="163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46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346"/>
        </w:trPr>
        <w:tc>
          <w:tcPr>
            <w:gridSpan w:val="2"/>
            <w:shd w:val="clear" w:color="auto" w:fill="auto"/>
            <w:tcBorders/>
            <w:tcMar>
              <w:left w:w="108" w:type="dxa"/>
              <w:top w:w="0" w:type="dxa"/>
              <w:right w:w="108" w:type="dxa"/>
              <w:bottom w:w="0" w:type="dxa"/>
            </w:tcMar>
            <w:tcW w:w="3431" w:type="dxa"/>
            <w:textDirection w:val="lrTb"/>
            <w:noWrap w:val="false"/>
          </w:tcPr>
          <w:p>
            <w:pPr>
              <w:pStyle w:val="1034"/>
              <w:pBdr/>
              <w:spacing w:after="60"/>
              <w:ind w:right="0" w:hanging="90" w:left="0"/>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275/2026/0480/VFI-CT.17.A</w:t>
            </w:r>
            <w:r>
              <w:rPr>
                <w:color w:val="000000" w:themeColor="text1"/>
                <w:sz w:val="24"/>
                <w:szCs w:val="24"/>
              </w:rPr>
            </w:r>
            <w:r>
              <w:rPr>
                <w:color w:val="000000" w:themeColor="text1"/>
                <w:sz w:val="24"/>
                <w:szCs w:val="24"/>
              </w:rPr>
            </w:r>
          </w:p>
        </w:tc>
        <w:tc>
          <w:tcPr>
            <w:gridSpan w:val="2"/>
            <w:shd w:val="clear" w:color="auto" w:fill="auto"/>
            <w:tcBorders/>
            <w:tcMar>
              <w:left w:w="108" w:type="dxa"/>
              <w:top w:w="0" w:type="dxa"/>
              <w:right w:w="108" w:type="dxa"/>
              <w:bottom w:w="0" w:type="dxa"/>
            </w:tcMar>
            <w:tcW w:w="6678"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27 tháng 3 năm 2026</w:t>
            </w:r>
            <w:r>
              <w:rPr>
                <w:color w:val="000000" w:themeColor="text1"/>
                <w:sz w:val="24"/>
                <w:szCs w:val="24"/>
                <w:lang w:val="vi-VN"/>
              </w:rPr>
            </w:r>
            <w:r>
              <w:rPr>
                <w:color w:val="000000" w:themeColor="text1"/>
                <w:sz w:val="24"/>
                <w:szCs w:val="24"/>
                <w:lang w:val="vi-VN"/>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275/2026/0480/VFI-CT.17.A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27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     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808" w:type="dxa"/>
        <w:tblBorders/>
        <w:tblLayout w:type="fixed"/>
        <w:tblLook w:val="04A0" w:firstRow="1" w:lastRow="0" w:firstColumn="1" w:lastColumn="0" w:noHBand="0" w:noVBand="1"/>
      </w:tblPr>
      <w:tblGrid>
        <w:gridCol w:w="2538"/>
        <w:gridCol w:w="284"/>
        <w:gridCol w:w="6986"/>
      </w:tblGrid>
      <w:tr>
        <w:trPr>
          <w:trHeight w:val="20"/>
        </w:trPr>
        <w:tc>
          <w:tcPr>
            <w:tcBorders/>
            <w:tcW w:w="25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86"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BÀ NGUYỄN THỊ THUÝ</w:t>
            </w:r>
            <w:r/>
          </w:p>
        </w:tc>
      </w:tr>
      <w:tr>
        <w:trPr>
          <w:trHeight w:val="20"/>
        </w:trPr>
        <w:tc>
          <w:tcPr>
            <w:tcBorders/>
            <w:tcW w:w="25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86"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001177000364</w:t>
            </w:r>
            <w:r>
              <w:rPr>
                <w:color w:val="ff0000"/>
                <w:lang w:val="pt-BR"/>
              </w:rPr>
            </w:r>
            <w:r>
              <w:rPr>
                <w:color w:val="ff0000"/>
                <w:lang w:val="pt-BR"/>
              </w:rPr>
            </w:r>
          </w:p>
        </w:tc>
      </w:tr>
      <w:tr>
        <w:trPr>
          <w:trHeight w:val="20"/>
        </w:trPr>
        <w:tc>
          <w:tcPr>
            <w:tcBorders/>
            <w:tcW w:w="25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86"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1977</w:t>
            </w:r>
            <w:r>
              <w:rPr>
                <w:color w:val="ff0000"/>
                <w:lang w:val="pt-BR"/>
              </w:rPr>
            </w:r>
            <w:r>
              <w:rPr>
                <w:color w:val="ff0000"/>
                <w:lang w:val="pt-BR"/>
              </w:rPr>
            </w:r>
          </w:p>
        </w:tc>
      </w:tr>
      <w:tr>
        <w:trPr>
          <w:trHeight w:val="20"/>
        </w:trPr>
        <w:tc>
          <w:tcPr>
            <w:tcBorders/>
            <w:tcW w:w="25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86"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180 Hoàng Hoa Thám, phường Tây Hồ, thành phố Hà Nội</w:t>
            </w:r>
            <w:r>
              <w:rPr>
                <w:color w:val="ff0000"/>
                <w:lang w:val="pt-BR"/>
              </w:rPr>
            </w:r>
            <w:r>
              <w:rPr>
                <w:color w:val="ff0000"/>
                <w:lang w:val="pt-BR"/>
              </w:rPr>
            </w:r>
          </w:p>
        </w:tc>
      </w:tr>
      <w:tr>
        <w:trPr>
          <w:trHeight w:val="20"/>
        </w:trPr>
        <w:tc>
          <w:tcPr>
            <w:tcBorders/>
            <w:tcW w:w="253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86"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LK31.07 có địa chỉ: LK31.07, Khu đô thị mới Kim Chung - Di Trạch, xã Di Trạch, huyện Hoài Đức, thành phố Hà Nội (</w:t>
            </w:r>
            <w:r>
              <w:rPr>
                <w:bCs/>
                <w:i/>
                <w:iCs/>
                <w:color w:val="000000" w:themeColor="text1"/>
                <w:lang w:val="pt-BR"/>
              </w:rPr>
              <w:t xml:space="preserve">nay là xã Hoài Đức, </w:t>
            </w:r>
            <w:r>
              <w:rPr>
                <w:bCs/>
                <w:i/>
                <w:iCs/>
                <w:color w:val="000000" w:themeColor="text1"/>
                <w:lang w:val="pt-BR"/>
              </w:rPr>
              <w:t xml:space="preserve">thành phố Hà Nội</w:t>
            </w:r>
            <w:r>
              <w:rPr>
                <w:bCs/>
                <w:color w:val="000000" w:themeColor="text1"/>
                <w:lang w:val="pt-BR"/>
              </w:rPr>
              <w:t xml:space="preserve">) theo Giấy chứng nhận quyền sử dụng đất, quyền sở hữu tài sản gắn liền với đất số: AA 01714590, số vào sổ cấp GCN: VP 19591 do Văn phòng Đăng ký đất đai Hà Nội cấp ngày 21/06/2025; Chủ tài sản là ông Trần Tuấn Anh và bà Nguyễn Thị Thuý</w:t>
            </w:r>
            <w:r>
              <w:rPr>
                <w:bCs/>
                <w:spacing w:val="2"/>
              </w:rPr>
              <w:t xml:space="preserve">.</w:t>
            </w:r>
            <w:r>
              <w:rPr>
                <w:b/>
                <w:bCs/>
                <w:spacing w:val="2"/>
                <w:lang w:val="vi-VN"/>
              </w:rPr>
            </w:r>
            <w:r>
              <w:rPr>
                <w:b/>
                <w:bCs/>
                <w:spacing w:val="2"/>
                <w:lang w:val="vi-VN"/>
              </w:rPr>
            </w:r>
          </w:p>
        </w:tc>
      </w:tr>
      <w:tr>
        <w:trPr>
          <w:trHeight w:val="20"/>
        </w:trPr>
        <w:tc>
          <w:tcPr>
            <w:tcBorders/>
            <w:tcW w:w="253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86"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3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86"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3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86"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3/2026</w:t>
            </w:r>
            <w:r>
              <w:rPr>
                <w:lang w:val="pt-BR"/>
              </w:rPr>
              <w:t xml:space="preserve">.</w:t>
            </w:r>
            <w:r>
              <w:rPr>
                <w:bCs/>
                <w:spacing w:val="-4"/>
                <w:lang w:val="pt-BR"/>
              </w:rPr>
            </w:r>
            <w:r>
              <w:rPr>
                <w:bCs/>
                <w:spacing w:val="-4"/>
                <w:lang w:val="pt-BR"/>
              </w:rPr>
            </w:r>
          </w:p>
        </w:tc>
      </w:tr>
      <w:tr>
        <w:trPr>
          <w:trHeight w:val="20"/>
        </w:trPr>
        <w:tc>
          <w:tcPr>
            <w:tcBorders/>
            <w:tcW w:w="253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86"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Hoài Đức, Thành phố Hà Nội.</w:t>
            </w:r>
            <w:r>
              <w:rPr>
                <w:color w:val="ee0000"/>
                <w:lang w:val="pt-BR"/>
              </w:rPr>
            </w:r>
            <w:r>
              <w:rPr>
                <w:color w:val="ee0000"/>
                <w:lang w:val="pt-BR"/>
              </w:rPr>
            </w:r>
          </w:p>
        </w:tc>
      </w:tr>
      <w:tr>
        <w:trPr>
          <w:trHeight w:val="20"/>
        </w:trPr>
        <w:tc>
          <w:tcPr>
            <w:tcBorders/>
            <w:tcW w:w="253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86"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(21.052555555556, 105.71747222222)</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3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86" w:type="dxa"/>
            <w:vAlign w:val="center"/>
            <w:textDirection w:val="lrTb"/>
            <w:noWrap w:val="false"/>
          </w:tcPr>
          <w:p>
            <w:pPr>
              <w:pBdr/>
              <w:spacing w:after="60" w:before="60" w:line="276" w:lineRule="auto"/>
              <w:ind/>
              <w:jc w:val="both"/>
              <w:rPr>
                <w:lang w:val="pt-BR"/>
              </w:rPr>
            </w:pPr>
            <w:r>
              <w:rPr>
                <w:lang w:val="pt-BR"/>
              </w:rPr>
              <w:t xml:space="preserve">Tháng 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AA 01714590, số vào sổ cấp GCN: VP 19591 do Văn phòng Đăng ký đất đai Hà Nội cấp ngày 21/6/2025; Chủ tài sản là ông Trần Tuấn Anh và bà Nguyễn Thị Thuý.</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275/2026/0480VFI-HĐTĐ.17.A</w:t>
      </w:r>
      <w:r>
        <w:rPr>
          <w:spacing w:val="-4"/>
          <w:lang w:val="vi-VN"/>
        </w:rPr>
        <w:t xml:space="preserve"> ký ngày </w:t>
      </w:r>
      <w:r>
        <w:rPr>
          <w:color w:val="000000" w:themeColor="text1"/>
          <w:spacing w:val="-4"/>
        </w:rPr>
        <w:t xml:space="preserve">23 tháng 3 năm 2026</w:t>
      </w:r>
      <w:r>
        <w:rPr>
          <w:spacing w:val="-4"/>
          <w:lang w:val="vi-VN"/>
        </w:rPr>
        <w:t xml:space="preserve"> </w:t>
      </w:r>
      <w:r>
        <w:rPr>
          <w:spacing w:val="-4"/>
          <w:lang w:val="vi-VN"/>
        </w:rPr>
        <w:t xml:space="preserve">giữa bà Nguyễn Thị Thuý</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b/>
          <w:lang w:val="pt-BR"/>
        </w:rPr>
        <w:t xml:space="preserve">;</w:t>
      </w:r>
      <w:r>
        <w:rPr>
          <w:b/>
          <w:lang w:val="pt-BR"/>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ight="0" w:firstLine="283" w:left="0"/>
        <w:jc w:val="both"/>
        <w:rPr>
          <w:b/>
          <w:bCs/>
          <w:i/>
          <w:iCs/>
        </w:rPr>
      </w:pPr>
      <w:r>
        <w:rPr>
          <w:b/>
          <w:bCs/>
          <w:i/>
          <w:iCs/>
          <w:shd w:val="clear" w:color="auto" w:fill="ffffff"/>
        </w:rPr>
        <w:t xml:space="preserve">Bức tranh thị trường bất động sản Hà Nộ</w:t>
      </w:r>
      <w:r>
        <w:rPr>
          <w:b/>
          <w:bCs/>
          <w:i/>
          <w:iCs/>
          <w:shd w:val="clear" w:color="auto" w:fill="ffffff"/>
        </w:rPr>
        <w:t xml:space="preserve">i năm 2026: Hạ tầng dẫn dắt, thị trường bước vào chu kỳ tăng trưởng mới.</w:t>
      </w:r>
      <w:r>
        <w:rPr>
          <w:b/>
          <w:bCs/>
          <w:i/>
          <w:iCs/>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Bước sang năm 2026, thị trường bất động sản Hà Nội được kỳ vọng bước vào chu kỳ tăng trưởng mới với nền tảng hạ tầng, pháp lý và chính sách ngày càng rõ nét. Thay vì những cơn “sốt nó</w:t>
      </w:r>
      <w:r>
        <w:rPr>
          <w:shd w:val="clear" w:color="auto" w:fill="ffffff"/>
        </w:rPr>
        <w:t xml:space="preserve">ng”, thị trường vận động theo hướng chọn lọc, phân hóa mạnh, lấy nhu cầu ở thực, chất lượng dự án và năng lực doanh nghiệp làm trụ cột phát triển bền vững.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Trong bối cảnh kinh tế vĩ mô dần ổn định, khuôn khổ pháp lý được hoàn thiện và đầu tư công tiếp tục </w:t>
      </w:r>
      <w:r>
        <w:rPr>
          <w:shd w:val="clear" w:color="auto" w:fill="ffffff"/>
        </w:rPr>
        <w:t xml:space="preserve">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vững,</w:t>
      </w:r>
      <w:r>
        <w:rPr>
          <w:shd w:val="clear" w:color="auto" w:fill="ffffff"/>
        </w:rPr>
        <w:t xml:space="preserve"> gắn chặt với quy hoạch đô thị, nhu cầu ở thực và năng lực triển khai của doanh nghiệp.</w:t>
      </w:r>
      <w:r>
        <w:rPr>
          <w:bCs/>
          <w:i/>
          <w:lang w:val="pt-BR"/>
        </w:rPr>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Hạ tầng – "xương sống" mở không gian phát triển mới</w:t>
      </w:r>
      <w:r>
        <w:rPr>
          <w:b/>
          <w:bCs/>
          <w:i/>
          <w:iCs/>
          <w:lang w:val="pt-BR"/>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Trong nhiều năm qua, hạ tầng giao thông luôn là yếu tố then chốt định hình không gian phát triển đô thị Hà Nội. Đến </w:t>
      </w:r>
      <w:r>
        <w:rPr>
          <w:shd w:val="clear" w:color="auto" w:fill="ffffff"/>
        </w:rPr>
        <w:t xml:space="preserve">năm 2026, vai trò này càng trở nên rõ rệt khi hàng loạt dự án trọng điểm được triển khai đồng bộ, tạo lực đẩy dài hạn cho thị trường bất động sản.</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Dự án đường Vành đai 4 – Vùng Thủ đô, với quy mô hơn 85.000 tỷ đồng, được coi là "đòn bẩy chiến lược" mở rộng</w:t>
      </w:r>
      <w:r>
        <w:rPr>
          <w:shd w:val="clear" w:color="auto" w:fill="ffffff"/>
        </w:rPr>
        <w:t xml:space="preserve">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C</w:t>
      </w:r>
      <w:r>
        <w:rPr>
          <w:shd w:val="clear" w:color="auto" w:fill="ffffff"/>
        </w:rPr>
        <w:t xml:space="preserve">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shd w:val="clear" w:color="auto" w:fill="ffffff"/>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 </w:t>
      </w:r>
      <w:r>
        <w:rPr>
          <w:shd w:val="clear" w:color="auto" w:fill="ffffff"/>
        </w:rPr>
        <w:t xml:space="preserve">trưởng bất động sản dài hạn.</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w:t>
      </w:r>
      <w:r>
        <w:rPr>
          <w:shd w:val="clear" w:color="auto" w:fill="ffffff"/>
        </w:rPr>
        <w:t xml:space="preserve">5 (Văn Cao – Hòa Lạc), đang nổi lên như một cực phát triển mới. Ở phía Đông, hệ thống cầu vượt sông Hồng, cùng quy hoạch chỉnh trang đô thị ven sông, tiếp tục mở ra dư địa cho các dự án nhà ở và đô thị sinh thái.</w:t>
      </w:r>
      <w:r>
        <w:rPr>
          <w:bCs/>
          <w:i/>
          <w:lang w:val="pt-BR"/>
        </w:rPr>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Thị trường chuyển từ "tăng nóng" sang tăng </w:t>
      </w:r>
      <w:r>
        <w:rPr>
          <w:b/>
          <w:bCs/>
          <w:i/>
          <w:iCs/>
          <w:shd w:val="clear" w:color="auto" w:fill="ffffff"/>
        </w:rPr>
        <w:t xml:space="preserve">trưởng chọn lọc</w:t>
      </w:r>
      <w:r>
        <w:rPr>
          <w:b/>
          <w:bCs/>
          <w:i/>
          <w:iCs/>
          <w:lang w:val="pt-BR"/>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w:t>
      </w:r>
      <w:r>
        <w:rPr>
          <w:shd w:val="clear" w:color="auto" w:fill="ffffff"/>
        </w:rPr>
        <w:t xml:space="preserve">hững khu vực có quy hoạch rõ ràng, hạ tầng đồng bộ và nhu cầu ở thực ổn định.</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Theo ông Nguyễn Văn Đính, Chủ tịch Hội Môi giới Bất động sản Việt Nam (VARS), thị trường bất động sản Hà Nội sẽ không tăng trưởng theo kiểu nóng mà dựa trên nền tảng hạ tầng và n</w:t>
      </w:r>
      <w:r>
        <w:rPr>
          <w:shd w:val="clear" w:color="auto" w:fill="ffffff"/>
        </w:rPr>
        <w:t xml:space="preserve">hu cầu thật. Những dự án gắn với các tuyến giao thông lớn, pháp lý minh bạch và được triển khai bài bản sẽ trở thành động lực chính của thị trường trong năm 2026.</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Số liệu từ các đơn vị nghiên cứu cho thấy, trong giai đoạn gần đây, giá bất động sản tại nhữn</w:t>
      </w:r>
      <w:r>
        <w:rPr>
          <w:shd w:val="clear" w:color="auto" w:fill="ffffff"/>
        </w:rPr>
        <w:t xml:space="preserve">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r>
      <w:r>
        <w:rPr>
          <w:bCs/>
          <w:i/>
          <w:lang w:val="pt-BR"/>
        </w:rPr>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Nguồn cung lớn, </w:t>
      </w:r>
      <w:r>
        <w:rPr>
          <w:b/>
          <w:bCs/>
          <w:i/>
          <w:iCs/>
          <w:shd w:val="clear" w:color="auto" w:fill="ffffff"/>
        </w:rPr>
        <w:t xml:space="preserve">thị trường phân hóa rõ nét</w:t>
      </w:r>
      <w:r>
        <w:rPr>
          <w:b/>
          <w:bCs/>
          <w:i/>
          <w:iCs/>
          <w:lang w:val="pt-BR"/>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w:t>
      </w:r>
      <w:r>
        <w:rPr>
          <w:shd w:val="clear" w:color="auto" w:fill="ffffff"/>
        </w:rPr>
        <w:t xml:space="preserve">khởi động. Điều này vừa tạo cơ hội cho người mua, vừa đặt ra thách thức cho doanh nghiệp phát triển dự án.</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Ông David Jackson, Tổng Giám đốc Avison Young Việt Nam nhận định, thị trường căn hộ đang bước vào giai đoạn bản lề. Phân khúc này tiếp tục giữ vai tr</w:t>
      </w:r>
      <w:r>
        <w:rPr>
          <w:shd w:val="clear" w:color="auto" w:fill="ffffff"/>
        </w:rPr>
        <w:t xml:space="preserve">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 </w:t>
      </w:r>
      <w:r>
        <w:rPr>
          <w:shd w:val="clear" w:color="auto" w:fill="ffffff"/>
        </w:rPr>
        <w:t xml:space="preserve">vượt khả năng chi trả của số đông sẽ gặp khó.</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w:t>
      </w:r>
      <w:r>
        <w:rPr>
          <w:shd w:val="clear" w:color="auto" w:fill="ffffff"/>
        </w:rPr>
        <w:t xml:space="preserve">n nhờ phù hợp với nhu cầu ở thực. Trong khi đó, phân khúc nhà ở vừa túi tiền và nhà ở xã hội được kỳ vọng sẽ dần cải thiện nguồn cung khi các chính sách mới được triển khai đồng bộ.</w:t>
      </w:r>
      <w:r>
        <w:rPr>
          <w:bCs/>
          <w:i/>
          <w:lang w:val="pt-BR"/>
        </w:rPr>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Chính sách và pháp lý – điểm tựa cho chu kỳ mới</w:t>
      </w:r>
      <w:r>
        <w:rPr>
          <w:b/>
          <w:bCs/>
          <w:i/>
          <w:iCs/>
          <w:lang w:val="pt-BR"/>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r>
      <w:r>
        <w:rPr>
          <w:bCs/>
          <w:i/>
          <w:lang w:val="pt-BR"/>
        </w:rPr>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Triển vọng 2026: tăng trưởng bền vững trên nền tảng mới</w:t>
      </w:r>
      <w:r>
        <w:rPr>
          <w:b/>
          <w:bCs/>
          <w:i/>
          <w:iCs/>
          <w:lang w:val="pt-BR"/>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r>
      <w:r/>
    </w:p>
    <w:p>
      <w:pPr>
        <w:pBdr/>
        <w:tabs>
          <w:tab w:val="left" w:leader="none" w:pos="426"/>
        </w:tabs>
        <w:spacing w:after="120" w:before="120" w:line="276" w:lineRule="auto"/>
        <w:ind w:right="0" w:firstLine="283" w:left="0"/>
        <w:jc w:val="both"/>
        <w:rPr/>
      </w:pPr>
      <w:r>
        <w:rPr>
          <w:shd w:val="clear" w:color="auto" w:fill="ffffff"/>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r>
      <w:r/>
      <w:r/>
    </w:p>
    <w:p>
      <w:pPr>
        <w:pBdr/>
        <w:tabs>
          <w:tab w:val="left" w:leader="none" w:pos="426"/>
        </w:tabs>
        <w:spacing w:after="120" w:before="120" w:line="276" w:lineRule="auto"/>
        <w:ind w:right="0" w:firstLine="283" w:left="0"/>
        <w:jc w:val="both"/>
        <w:rPr/>
      </w:pPr>
      <w:r>
        <w:rPr>
          <w:shd w:val="clear" w:color="auto" w:fill="ffffff"/>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r>
      <w:r>
        <w:rPr>
          <w:bCs/>
          <w:i/>
          <w:lang w:val="pt-BR"/>
        </w:rPr>
      </w:r>
      <w:r/>
    </w:p>
    <w:p>
      <w:pPr>
        <w:pBdr/>
        <w:tabs>
          <w:tab w:val="left" w:leader="none" w:pos="426"/>
        </w:tabs>
        <w:spacing w:after="120" w:before="120" w:line="276" w:lineRule="auto"/>
        <w:ind/>
        <w:jc w:val="center"/>
        <w:rPr>
          <w:bCs/>
          <w:i/>
        </w:rPr>
      </w:pPr>
      <w:r>
        <w:rPr>
          <w:i/>
          <w:iCs/>
          <w:shd w:val="clear" w:color="auto" w:fill="ffffff"/>
        </w:rPr>
        <w:t xml:space="preserve">(Nguồn: https://thanglong.chinhphu.vn/buc-tranh-thi-truong-bat-dong-san-ha-noi-nam-2026-ha-tang-dan-dat-thi-truong-buoc-vao-chu-ky-tang-truong-moi-103260101181315972.htm)</w:t>
      </w:r>
      <w:r>
        <w:rPr>
          <w:bCs/>
          <w:i/>
          <w:iCs/>
          <w:lang w:val="pt-BR"/>
        </w:rPr>
      </w:r>
      <w:r>
        <w:rPr>
          <w:bCs/>
          <w:i/>
          <w:iCs/>
          <w:lang w:val="pt-BR"/>
        </w:rP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334"/>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108" w:type="dxa"/>
            <w:vAlign w:val="center"/>
            <w:textDirection w:val="lrTb"/>
            <w:noWrap w:val="false"/>
          </w:tcPr>
          <w:p>
            <w:pPr>
              <w:pBdr/>
              <w:spacing/>
              <w:ind/>
              <w:jc w:val="both"/>
              <w:rPr>
                <w:b/>
                <w:bCs/>
                <w:color w:val="000000"/>
              </w:rPr>
            </w:pPr>
            <w:r>
              <w:rPr>
                <w:b/>
                <w:bCs/>
                <w:color w:val="000000"/>
              </w:rPr>
              <w:t xml:space="preserve">Quyền sử dụng đất và tài sản gắn liền với đất tại thửa đất số: LK31.07 có địa chỉ: LK31.07, Khu đô thị mới Kim Chung - Di Trạch, xã Di Trạch, huyện Hoài Đức, thành phố Hà Nội (</w:t>
            </w:r>
            <w:r>
              <w:rPr>
                <w:b/>
                <w:bCs/>
                <w:i/>
                <w:iCs/>
                <w:color w:val="000000"/>
              </w:rPr>
              <w:t xml:space="preserve">nay là xã Hoài Đức, </w:t>
            </w:r>
            <w:r>
              <w:rPr>
                <w:b/>
                <w:bCs/>
                <w:i/>
                <w:iCs/>
                <w:color w:val="000000"/>
              </w:rPr>
              <w:t xml:space="preserve">thành phố Hà Nội)</w:t>
            </w:r>
            <w:r>
              <w:rPr>
                <w:b/>
                <w:bCs/>
                <w:color w:val="000000"/>
              </w:rPr>
              <w:t xml:space="preserve"> theo Giấy chứng nhận quyền sử dụng đất, quyền sở hữu tài sản gắn liền với đất số: AA 01714590, số vào sổ cấp GCN: VP 19591 do Văn phòng Đăng ký đất đai Hà Nội cấp ngày 21/06/2025; Chủ tài sản là ông Trần Tuấn Anh và bà Nguyễn Thị Thuý</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LK31.07</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ee0000"/>
              </w:rPr>
            </w:pPr>
            <w:r>
              <w:rPr>
                <w:color w:val="000000" w:themeColor="text1"/>
              </w:rPr>
              <w:t xml:space="preserve">.</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rPr>
              <w:t xml:space="preserve">LK31.07, Khu đô thị mới Kim Chung - Di Trạch, xã Di Trạch, huyện Hoài Đức,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117,7</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Sử dụng chung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5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nhựa Asphalt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Tiếp giáp 01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20</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20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themeColor="text1"/>
              </w:rPr>
              <w:t xml:space="preserve">Cách trục chính đường vành đai 3.5 khoảng 800m.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r>
            <w:r>
              <w:rPr>
                <w:color w:val="000000"/>
              </w:rPr>
            </w:r>
          </w:p>
        </w:tc>
        <w:tc>
          <w:tcPr>
            <w:gridSpan w:val="3"/>
            <w:tcBorders/>
            <w:tcW w:w="65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Bắc: Tiếp giáp đường giao thông;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còn lại: Tiếp giáp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(21.052555555556, 105.71747222222)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545155" cy="2927653"/>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545154" cy="292765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6.63pt;height:230.52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117,7</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7,5</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334" w:type="dxa"/>
            <w:vAlign w:val="center"/>
            <w:textDirection w:val="lrTb"/>
            <w:noWrap w:val="false"/>
          </w:tcPr>
          <w:p>
            <w:pPr>
              <w:pBdr/>
              <w:spacing/>
              <w:ind/>
              <w:jc w:val="center"/>
              <w:rPr>
                <w:color w:val="000000" w:themeColor="text1"/>
              </w:rPr>
            </w:pPr>
            <w:r>
              <w:rPr>
                <w:color w:val="000000" w:themeColor="text1"/>
              </w:rPr>
              <w:t xml:space="preserve">15,67</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Đông Bắc</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586" w:type="dxa"/>
            <w:vAlign w:val="center"/>
            <w:textDirection w:val="lrTb"/>
            <w:noWrap w:val="false"/>
          </w:tcPr>
          <w:p>
            <w:pPr>
              <w:pBdr/>
              <w:spacing/>
              <w:ind/>
              <w:jc w:val="both"/>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5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Đầy đủ, đồng bộ.</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334"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108"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9108" w:type="dxa"/>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The</w:t>
            </w:r>
            <w:r>
              <w:rPr>
                <w:rFonts w:ascii="Times New Roman" w:hAnsi="Times New Roman" w:eastAsia="Times New Roman" w:cs="Times New Roman"/>
                <w:b w:val="0"/>
                <w:bCs w:val="0"/>
                <w:color w:val="000000"/>
                <w:sz w:val="24"/>
              </w:rPr>
              <w:t xml:space="preserve">o </w:t>
            </w:r>
            <w:r>
              <w:rPr>
                <w:b w:val="0"/>
                <w:bCs w:val="0"/>
                <w:color w:val="000000"/>
              </w:rPr>
              <w:t xml:space="preserve">Giấy chứng nhận quyền sử dụng đất, quyền sở hữu tài sản gắn liền với đất số: AA 01714590</w:t>
            </w:r>
            <w:r>
              <w:rPr>
                <w:rFonts w:ascii="Times New Roman" w:hAnsi="Times New Roman" w:eastAsia="Times New Roman" w:cs="Times New Roman"/>
                <w:b w:val="0"/>
                <w:bCs w:val="0"/>
                <w:color w:val="000000"/>
                <w:sz w:val="24"/>
              </w:rPr>
              <w:t xml:space="preserve">, trê</w:t>
            </w:r>
            <w:r>
              <w:rPr>
                <w:rFonts w:ascii="Times New Roman" w:hAnsi="Times New Roman" w:eastAsia="Times New Roman" w:cs="Times New Roman"/>
                <w:color w:val="000000"/>
                <w:sz w:val="24"/>
              </w:rPr>
              <w:t xml:space="preserve">n đất có 01 công trình xây dựng là Nhà liền kề 05 tầng, có diện tích sử dụng là: 349,4m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Kết cấu BTCT chịu lực. Côn</w:t>
            </w:r>
            <w:r>
              <w:rPr>
                <w:rFonts w:ascii="Times New Roman" w:hAnsi="Times New Roman" w:eastAsia="Times New Roman" w:cs="Times New Roman"/>
                <w:color w:val="000000"/>
                <w:sz w:val="24"/>
              </w:rPr>
              <w:t xml:space="preserve">g trình xây thô hoàn thiện mặt ngoài. </w:t>
            </w:r>
            <w:r/>
          </w:p>
        </w:tc>
      </w:tr>
    </w:tbl>
    <w:p>
      <w:pPr>
        <w:pBdr/>
        <w:spacing w:line="235" w:lineRule="auto"/>
        <w:ind w:left="646"/>
        <w:jc w:val="both"/>
        <w:rPr>
          <w:u w:val="single"/>
        </w:rPr>
      </w:pPr>
      <w:r>
        <w:rPr>
          <w:u w:val="single"/>
        </w:rPr>
      </w:r>
      <w:r>
        <w:rPr>
          <w:u w:val="single"/>
        </w:rPr>
      </w:r>
      <w:r>
        <w:rPr>
          <w:u w:val="single"/>
        </w:rPr>
      </w:r>
    </w:p>
    <w:p>
      <w:pPr>
        <w:pBdr/>
        <w:spacing/>
        <w:ind/>
        <w:rPr>
          <w:b/>
          <w:bCs/>
        </w:rPr>
      </w:pPr>
      <w:r>
        <w:rPr>
          <w:b/>
          <w:bCs/>
          <w:highlight w:val="none"/>
          <w:shd w:val="clear" w:color="auto" w:fill="ffffff"/>
        </w:rPr>
      </w:r>
      <w:r>
        <w:rPr>
          <w:b/>
          <w:bCs/>
        </w:rPr>
      </w:r>
      <w:r>
        <w:rPr>
          <w:b/>
          <w:bCs/>
        </w:rPr>
      </w:r>
    </w:p>
    <w:p>
      <w:pPr>
        <w:pBdr/>
        <w:spacing/>
        <w:ind/>
        <w:rPr>
          <w:b/>
          <w:bCs/>
          <w:highlight w:val="none"/>
        </w:rPr>
      </w:pPr>
      <w:r>
        <w:rPr>
          <w:b/>
          <w:bCs/>
          <w:highlight w:val="none"/>
          <w:shd w:val="clear" w:color="auto" w:fill="ffffff"/>
        </w:rPr>
      </w:r>
      <w:r>
        <w:rPr>
          <w:b/>
          <w:bCs/>
          <w:highlight w:val="none"/>
        </w:rPr>
      </w:r>
      <w:r>
        <w:rPr>
          <w:b/>
          <w:bCs/>
          <w:highlight w:val="none"/>
        </w:rPr>
      </w:r>
    </w:p>
    <w:p>
      <w:pPr>
        <w:pBdr/>
        <w:spacing/>
        <w:ind/>
        <w:rPr>
          <w:b/>
          <w:bCs/>
          <w:highlight w:val="none"/>
        </w:rPr>
      </w:pPr>
      <w:r>
        <w:rPr>
          <w:b/>
          <w:bCs/>
          <w:highlight w:val="none"/>
          <w:shd w:val="clear" w:color="auto" w:fill="ffffff"/>
        </w:rPr>
      </w:r>
      <w:r>
        <w:rPr>
          <w:b/>
          <w:bCs/>
          <w:highlight w:val="none"/>
        </w:rPr>
      </w:r>
      <w:r>
        <w:rPr>
          <w:b/>
          <w:bCs/>
          <w:highlight w:val="none"/>
        </w:rPr>
      </w:r>
    </w:p>
    <w:p>
      <w:pPr>
        <w:pBdr/>
        <w:spacing/>
        <w:ind/>
        <w:rPr>
          <w:b/>
          <w:bCs/>
          <w:highlight w:val="none"/>
        </w:rPr>
      </w:pPr>
      <w:r>
        <w:rPr>
          <w:b/>
          <w:bCs/>
          <w:highlight w:val="none"/>
          <w:shd w:val="clear" w:color="auto" w:fill="ffffff"/>
        </w:rPr>
      </w:r>
      <w:r>
        <w:rPr>
          <w:b/>
          <w:bCs/>
          <w:highlight w:val="none"/>
        </w:rPr>
      </w:r>
      <w:r>
        <w:rPr>
          <w:b/>
          <w:bCs/>
          <w:highlight w:val="none"/>
        </w:rPr>
      </w:r>
    </w:p>
    <w:p>
      <w:pPr>
        <w:pBdr/>
        <w:spacing/>
        <w:ind/>
        <w:rPr>
          <w:b/>
          <w:bCs/>
          <w:highlight w:val="none"/>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highlight w:val="none"/>
          <w:shd w:val="clear" w:color="auto" w:fill="ffffff"/>
        </w:rPr>
      </w:r>
      <w:r>
        <w:rPr>
          <w:b/>
          <w:bCs/>
          <w:highlight w:val="none"/>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9"/>
        <w:tblInd w:w="-299" w:type="dxa"/>
        <w:tblW w:w="0" w:type="auto"/>
        <w:tblBorders/>
        <w:tblLayout w:type="fixed"/>
        <w:tblLook w:val="04A0" w:firstRow="1" w:lastRow="0" w:firstColumn="1" w:lastColumn="0" w:noHBand="0" w:noVBand="1"/>
      </w:tblPr>
      <w:tblGrid>
        <w:gridCol w:w="648"/>
        <w:gridCol w:w="2268"/>
        <w:gridCol w:w="1955"/>
        <w:gridCol w:w="2160"/>
        <w:gridCol w:w="1371"/>
        <w:gridCol w:w="1721"/>
      </w:tblGrid>
      <w:tr>
        <w:trPr>
          <w:jc w:val="center"/>
        </w:trPr>
        <w:tc>
          <w:tcPr>
            <w:tcBorders/>
            <w:tcW w:w="648" w:type="dxa"/>
            <w:vAlign w:val="center"/>
            <w:textDirection w:val="lrTb"/>
            <w:noWrap w:val="false"/>
          </w:tcPr>
          <w:p>
            <w:pPr>
              <w:pBdr/>
              <w:spacing/>
              <w:ind/>
              <w:jc w:val="center"/>
              <w:rPr>
                <w:b/>
                <w:bCs/>
              </w:rPr>
            </w:pPr>
            <w:r>
              <w:rPr>
                <w:b/>
                <w:bCs/>
              </w:rPr>
              <w:t xml:space="preserve">TT</w:t>
            </w:r>
            <w:r>
              <w:rPr>
                <w:b/>
                <w:bCs/>
              </w:rPr>
            </w:r>
            <w:r>
              <w:rPr>
                <w:b/>
                <w:bCs/>
              </w:rPr>
            </w:r>
          </w:p>
        </w:tc>
        <w:tc>
          <w:tcPr>
            <w:tcBorders/>
            <w:tcW w:w="2268"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955"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72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648" w:type="dxa"/>
            <w:vAlign w:val="center"/>
            <w:textDirection w:val="lrTb"/>
            <w:noWrap w:val="false"/>
          </w:tcPr>
          <w:p>
            <w:pPr>
              <w:pBdr/>
              <w:spacing/>
              <w:ind/>
              <w:jc w:val="center"/>
              <w:rPr/>
            </w:pPr>
            <w:r>
              <w:t xml:space="preserve">1</w:t>
            </w:r>
            <w:r/>
          </w:p>
        </w:tc>
        <w:tc>
          <w:tcPr>
            <w:tcBorders/>
            <w:tcW w:w="2268" w:type="dxa"/>
            <w:vAlign w:val="center"/>
            <w:textDirection w:val="lrTb"/>
            <w:noWrap w:val="false"/>
          </w:tcPr>
          <w:p>
            <w:pPr>
              <w:pBdr/>
              <w:spacing/>
              <w:ind/>
              <w:jc w:val="both"/>
              <w:rPr/>
            </w:pPr>
            <w:r>
              <w:t xml:space="preserve">Địa chỉ trên sổ</w:t>
            </w:r>
            <w:r/>
          </w:p>
        </w:tc>
        <w:tc>
          <w:tcPr>
            <w:tcBorders/>
            <w:tcW w:w="1955" w:type="dxa"/>
            <w:vAlign w:val="center"/>
            <w:textDirection w:val="lrTb"/>
            <w:noWrap w:val="false"/>
          </w:tcPr>
          <w:p>
            <w:pPr>
              <w:pBdr/>
              <w:spacing/>
              <w:ind/>
              <w:jc w:val="center"/>
              <w:rPr/>
            </w:pPr>
            <w:r>
              <w:t xml:space="preserve">LK31.07, Khu đô thị mới Kim Chung - Di Trạch, xã Di Trạch, huyện Hoài Đức, Thành phố Hà Nội.</w:t>
            </w:r>
            <w:r/>
          </w:p>
        </w:tc>
        <w:tc>
          <w:tcPr>
            <w:tcBorders/>
            <w:tcW w:w="2160" w:type="dxa"/>
            <w:vAlign w:val="center"/>
            <w:textDirection w:val="lrTb"/>
            <w:noWrap w:val="false"/>
          </w:tcPr>
          <w:p>
            <w:pPr>
              <w:pBdr/>
              <w:spacing/>
              <w:ind/>
              <w:jc w:val="center"/>
              <w:rPr/>
            </w:pPr>
            <w:r>
              <w:t xml:space="preserve">LK31.07, Khu đô thị mới Kim Chung - Di Trạch, xã Di Trạch, huyện Hoài Đức, Thành phố Hà Nội.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2</w:t>
            </w:r>
            <w:r/>
          </w:p>
        </w:tc>
        <w:tc>
          <w:tcPr>
            <w:tcBorders/>
            <w:tcW w:w="2268" w:type="dxa"/>
            <w:vAlign w:val="center"/>
            <w:textDirection w:val="lrTb"/>
            <w:noWrap w:val="false"/>
          </w:tcPr>
          <w:p>
            <w:pPr>
              <w:pBdr/>
              <w:spacing/>
              <w:ind/>
              <w:jc w:val="both"/>
              <w:rPr/>
            </w:pPr>
            <w:r>
              <w:t xml:space="preserve">Địa chỉ thực tế</w:t>
            </w:r>
            <w:r/>
          </w:p>
        </w:tc>
        <w:tc>
          <w:tcPr>
            <w:tcBorders/>
            <w:tcW w:w="1955" w:type="dxa"/>
            <w:vAlign w:val="center"/>
            <w:textDirection w:val="lrTb"/>
            <w:noWrap w:val="false"/>
          </w:tcPr>
          <w:p>
            <w:pPr>
              <w:pBdr/>
              <w:spacing/>
              <w:ind/>
              <w:jc w:val="center"/>
              <w:rPr>
                <w:color w:val="000000" w:themeColor="text1"/>
              </w:rPr>
            </w:pPr>
            <w:r>
              <w:rPr>
                <w:color w:val="000000" w:themeColor="text1"/>
              </w:rPr>
              <w:t xml:space="preserve">Xã Hoài Đức, Thành phố Hà Nội</w:t>
            </w:r>
            <w:r>
              <w:rPr>
                <w:color w:val="000000" w:themeColor="text1"/>
              </w:rPr>
            </w:r>
          </w:p>
        </w:tc>
        <w:tc>
          <w:tcPr>
            <w:tcBorders/>
            <w:tcW w:w="2160" w:type="dxa"/>
            <w:vAlign w:val="center"/>
            <w:textDirection w:val="lrTb"/>
            <w:noWrap w:val="false"/>
          </w:tcPr>
          <w:p>
            <w:pPr>
              <w:pBdr/>
              <w:spacing/>
              <w:ind/>
              <w:jc w:val="center"/>
              <w:rPr>
                <w:color w:val="000000" w:themeColor="text1"/>
              </w:rPr>
            </w:pPr>
            <w:r>
              <w:rPr>
                <w:color w:val="000000" w:themeColor="text1"/>
              </w:rPr>
              <w:t xml:space="preserve">Xã Hoài Đức, Thành phố Hà Nội ✔</w:t>
            </w:r>
            <w:r>
              <w:rPr>
                <w:color w:val="000000" w:themeColor="text1"/>
              </w:rP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3</w:t>
            </w:r>
            <w:r/>
          </w:p>
        </w:tc>
        <w:tc>
          <w:tcPr>
            <w:tcBorders/>
            <w:tcW w:w="2268" w:type="dxa"/>
            <w:vAlign w:val="center"/>
            <w:textDirection w:val="lrTb"/>
            <w:noWrap w:val="false"/>
          </w:tcPr>
          <w:p>
            <w:pPr>
              <w:pBdr/>
              <w:spacing/>
              <w:ind/>
              <w:jc w:val="both"/>
              <w:rPr/>
            </w:pPr>
            <w:r>
              <w:t xml:space="preserve">Pháp lý</w:t>
            </w:r>
            <w:r/>
          </w:p>
        </w:tc>
        <w:tc>
          <w:tcPr>
            <w:tcBorders/>
            <w:tcW w:w="1955" w:type="dxa"/>
            <w:vAlign w:val="center"/>
            <w:textDirection w:val="lrTb"/>
            <w:noWrap w:val="false"/>
          </w:tcPr>
          <w:p>
            <w:pPr>
              <w:pBdr/>
              <w:spacing/>
              <w:ind/>
              <w:jc w:val="center"/>
              <w:rPr/>
            </w:pPr>
            <w:r>
              <w:t xml:space="preserve">Giấy chứng nhận quyền sử dụng đất</w:t>
            </w:r>
            <w:r/>
          </w:p>
        </w:tc>
        <w:tc>
          <w:tcPr>
            <w:tcBorders/>
            <w:tcW w:w="2160" w:type="dxa"/>
            <w:vAlign w:val="center"/>
            <w:textDirection w:val="lrTb"/>
            <w:noWrap w:val="false"/>
          </w:tcPr>
          <w:p>
            <w:pPr>
              <w:pBdr/>
              <w:spacing/>
              <w:ind/>
              <w:jc w:val="center"/>
              <w:rPr/>
            </w:pPr>
            <w:r>
              <w:t xml:space="preserve">Giấy chứng nhận quyền sử dụng đất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4</w:t>
            </w:r>
            <w:r/>
          </w:p>
        </w:tc>
        <w:tc>
          <w:tcPr>
            <w:tcBorders/>
            <w:tcW w:w="2268" w:type="dxa"/>
            <w:vAlign w:val="center"/>
            <w:textDirection w:val="lrTb"/>
            <w:noWrap w:val="false"/>
          </w:tcPr>
          <w:p>
            <w:pPr>
              <w:pBdr/>
              <w:spacing/>
              <w:ind/>
              <w:jc w:val="both"/>
              <w:rPr/>
            </w:pPr>
            <w:r>
              <w:t xml:space="preserve">Loại đất</w:t>
            </w:r>
            <w:r/>
          </w:p>
        </w:tc>
        <w:tc>
          <w:tcPr>
            <w:tcBorders/>
            <w:tcW w:w="1955" w:type="dxa"/>
            <w:vAlign w:val="center"/>
            <w:textDirection w:val="lrTb"/>
            <w:noWrap w:val="false"/>
          </w:tcPr>
          <w:p>
            <w:pPr>
              <w:pBdr/>
              <w:spacing/>
              <w:ind/>
              <w:jc w:val="center"/>
              <w:rPr/>
            </w:pPr>
            <w:r>
              <w:t xml:space="preserve">Đất ở tại đô thị</w:t>
            </w:r>
            <w:r/>
          </w:p>
        </w:tc>
        <w:tc>
          <w:tcPr>
            <w:tcBorders/>
            <w:tcW w:w="2160"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5</w:t>
            </w:r>
            <w:r/>
          </w:p>
        </w:tc>
        <w:tc>
          <w:tcPr>
            <w:tcBorders/>
            <w:tcW w:w="2268" w:type="dxa"/>
            <w:vAlign w:val="center"/>
            <w:textDirection w:val="lrTb"/>
            <w:noWrap w:val="false"/>
          </w:tcPr>
          <w:p>
            <w:pPr>
              <w:pBdr/>
              <w:spacing/>
              <w:ind/>
              <w:jc w:val="both"/>
              <w:rPr/>
            </w:pPr>
            <w:r>
              <w:t xml:space="preserve">Thời hạn sử dụng</w:t>
            </w:r>
            <w:r/>
          </w:p>
        </w:tc>
        <w:tc>
          <w:tcPr>
            <w:tcBorders/>
            <w:tcW w:w="1955" w:type="dxa"/>
            <w:vAlign w:val="center"/>
            <w:textDirection w:val="lrTb"/>
            <w:noWrap w:val="false"/>
          </w:tcPr>
          <w:p>
            <w:pPr>
              <w:pBdr/>
              <w:spacing/>
              <w:ind/>
              <w:jc w:val="center"/>
              <w:rPr/>
            </w:pPr>
            <w:r>
              <w:t xml:space="preserve">Lâu dài</w:t>
            </w:r>
            <w:r/>
          </w:p>
        </w:tc>
        <w:tc>
          <w:tcPr>
            <w:tcBorders/>
            <w:tcW w:w="2160"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6</w:t>
            </w:r>
            <w:r/>
          </w:p>
        </w:tc>
        <w:tc>
          <w:tcPr>
            <w:tcBorders/>
            <w:tcW w:w="2268" w:type="dxa"/>
            <w:vAlign w:val="center"/>
            <w:textDirection w:val="lrTb"/>
            <w:noWrap w:val="false"/>
          </w:tcPr>
          <w:p>
            <w:pPr>
              <w:pBdr/>
              <w:spacing/>
              <w:ind/>
              <w:jc w:val="both"/>
              <w:rPr/>
            </w:pPr>
            <w:r>
              <w:t xml:space="preserve">Vị trí</w:t>
            </w:r>
            <w:r/>
          </w:p>
        </w:tc>
        <w:tc>
          <w:tcPr>
            <w:tcBorders/>
            <w:tcW w:w="1955" w:type="dxa"/>
            <w:vAlign w:val="center"/>
            <w:textDirection w:val="lrTb"/>
            <w:noWrap w:val="false"/>
          </w:tcPr>
          <w:p>
            <w:pPr>
              <w:pBdr/>
              <w:spacing/>
              <w:ind/>
              <w:jc w:val="center"/>
              <w:rPr/>
            </w:pPr>
            <w:r>
              <w:t xml:space="preserve">VT1</w:t>
            </w:r>
            <w:r/>
          </w:p>
        </w:tc>
        <w:tc>
          <w:tcPr>
            <w:tcBorders/>
            <w:tcW w:w="2160"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7</w:t>
            </w:r>
            <w:r/>
          </w:p>
        </w:tc>
        <w:tc>
          <w:tcPr>
            <w:tcBorders/>
            <w:tcW w:w="2268" w:type="dxa"/>
            <w:vAlign w:val="center"/>
            <w:textDirection w:val="lrTb"/>
            <w:noWrap w:val="false"/>
          </w:tcPr>
          <w:p>
            <w:pPr>
              <w:pBdr/>
              <w:spacing/>
              <w:ind/>
              <w:jc w:val="both"/>
              <w:rPr/>
            </w:pPr>
            <w:r>
              <w:t xml:space="preserve">Kết cấu mặt đường</w:t>
            </w:r>
            <w:r/>
          </w:p>
        </w:tc>
        <w:tc>
          <w:tcPr>
            <w:tcBorders/>
            <w:tcW w:w="1955" w:type="dxa"/>
            <w:vAlign w:val="center"/>
            <w:textDirection w:val="lrTb"/>
            <w:noWrap w:val="false"/>
          </w:tcPr>
          <w:p>
            <w:pPr>
              <w:pBdr/>
              <w:spacing/>
              <w:ind/>
              <w:jc w:val="center"/>
              <w:rPr/>
            </w:pPr>
            <w:r>
              <w:t xml:space="preserve">Đường nhựa có vỉa hè</w:t>
            </w:r>
            <w:r/>
          </w:p>
        </w:tc>
        <w:tc>
          <w:tcPr>
            <w:tcBorders/>
            <w:tcW w:w="2160"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8</w:t>
            </w:r>
            <w:r/>
          </w:p>
        </w:tc>
        <w:tc>
          <w:tcPr>
            <w:tcBorders/>
            <w:tcW w:w="2268" w:type="dxa"/>
            <w:vAlign w:val="center"/>
            <w:textDirection w:val="lrTb"/>
            <w:noWrap w:val="false"/>
          </w:tcPr>
          <w:p>
            <w:pPr>
              <w:pBdr/>
              <w:spacing/>
              <w:ind/>
              <w:jc w:val="both"/>
              <w:rPr/>
            </w:pPr>
            <w:r>
              <w:t xml:space="preserve">Mặt cắt đường trước nhà</w:t>
            </w:r>
            <w:r/>
          </w:p>
        </w:tc>
        <w:tc>
          <w:tcPr>
            <w:tcBorders/>
            <w:tcW w:w="1955" w:type="dxa"/>
            <w:vAlign w:val="center"/>
            <w:textDirection w:val="lrTb"/>
            <w:noWrap w:val="false"/>
          </w:tcPr>
          <w:p>
            <w:pPr>
              <w:pBdr/>
              <w:spacing/>
              <w:ind/>
              <w:jc w:val="center"/>
              <w:rPr/>
            </w:pPr>
            <w:r>
              <w:t xml:space="preserve">20</w:t>
            </w:r>
            <w:r/>
          </w:p>
        </w:tc>
        <w:tc>
          <w:tcPr>
            <w:tcBorders/>
            <w:tcW w:w="2160" w:type="dxa"/>
            <w:vAlign w:val="center"/>
            <w:textDirection w:val="lrTb"/>
            <w:noWrap w:val="false"/>
          </w:tcPr>
          <w:p>
            <w:pPr>
              <w:pBdr/>
              <w:spacing/>
              <w:ind/>
              <w:jc w:val="center"/>
              <w:rPr/>
            </w:pPr>
            <w:r>
              <w:t xml:space="preserve">20 ✔</w:t>
            </w:r>
            <w:r/>
          </w:p>
        </w:tc>
        <w:tc>
          <w:tcPr>
            <w:tcBorders/>
            <w:tcW w:w="1371" w:type="dxa"/>
            <w:vAlign w:val="center"/>
            <w:textDirection w:val="lrTb"/>
            <w:noWrap w:val="false"/>
          </w:tcPr>
          <w:p>
            <w:pPr>
              <w:pBdr/>
              <w:spacing/>
              <w:ind/>
              <w:jc w:val="center"/>
              <w:rPr/>
            </w:pPr>
            <w:r>
              <w:t xml:space="preserve">0</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9</w:t>
            </w:r>
            <w:r/>
          </w:p>
        </w:tc>
        <w:tc>
          <w:tcPr>
            <w:tcBorders/>
            <w:tcW w:w="2268" w:type="dxa"/>
            <w:vAlign w:val="center"/>
            <w:textDirection w:val="lrTb"/>
            <w:noWrap w:val="false"/>
          </w:tcPr>
          <w:p>
            <w:pPr>
              <w:pBdr/>
              <w:spacing/>
              <w:ind/>
              <w:jc w:val="both"/>
              <w:rPr/>
            </w:pPr>
            <w:r>
              <w:t xml:space="preserve">Cơ sở hạ tầng kỹ thuật</w:t>
            </w:r>
            <w:r/>
          </w:p>
        </w:tc>
        <w:tc>
          <w:tcPr>
            <w:tcBorders/>
            <w:tcW w:w="1955" w:type="dxa"/>
            <w:vAlign w:val="center"/>
            <w:textDirection w:val="lrTb"/>
            <w:noWrap w:val="false"/>
          </w:tcPr>
          <w:p>
            <w:pPr>
              <w:pBdr/>
              <w:spacing/>
              <w:ind/>
              <w:jc w:val="center"/>
              <w:rPr/>
            </w:pPr>
            <w:r>
              <w:t xml:space="preserve">Hạ tầng khu đô thị, khu phân lô/tái định cư</w:t>
            </w:r>
            <w:r/>
          </w:p>
        </w:tc>
        <w:tc>
          <w:tcPr>
            <w:tcBorders/>
            <w:tcW w:w="2160"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10</w:t>
            </w:r>
            <w:r/>
          </w:p>
        </w:tc>
        <w:tc>
          <w:tcPr>
            <w:tcBorders/>
            <w:tcW w:w="2268" w:type="dxa"/>
            <w:vAlign w:val="center"/>
            <w:textDirection w:val="lrTb"/>
            <w:noWrap w:val="false"/>
          </w:tcPr>
          <w:p>
            <w:pPr>
              <w:pBdr/>
              <w:spacing/>
              <w:ind/>
              <w:jc w:val="both"/>
              <w:rPr/>
            </w:pPr>
            <w:r>
              <w:t xml:space="preserve">Môi trường, an ninh</w:t>
            </w:r>
            <w:r/>
          </w:p>
        </w:tc>
        <w:tc>
          <w:tcPr>
            <w:tcBorders/>
            <w:tcW w:w="1955" w:type="dxa"/>
            <w:vAlign w:val="center"/>
            <w:textDirection w:val="lrTb"/>
            <w:noWrap w:val="false"/>
          </w:tcPr>
          <w:p>
            <w:pPr>
              <w:pBdr/>
              <w:spacing/>
              <w:ind/>
              <w:jc w:val="center"/>
              <w:rPr/>
            </w:pPr>
            <w:r>
              <w:t xml:space="preserve">Tốt</w:t>
            </w:r>
            <w:r/>
          </w:p>
        </w:tc>
        <w:tc>
          <w:tcPr>
            <w:tcBorders/>
            <w:tcW w:w="216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11</w:t>
            </w:r>
            <w:r/>
          </w:p>
        </w:tc>
        <w:tc>
          <w:tcPr>
            <w:tcBorders/>
            <w:tcW w:w="2268" w:type="dxa"/>
            <w:vAlign w:val="center"/>
            <w:textDirection w:val="lrTb"/>
            <w:noWrap w:val="false"/>
          </w:tcPr>
          <w:p>
            <w:pPr>
              <w:pBdr/>
              <w:spacing/>
              <w:ind/>
              <w:jc w:val="both"/>
              <w:rPr/>
            </w:pPr>
            <w:r>
              <w:t xml:space="preserve">Diện tích</w:t>
            </w:r>
            <w:r/>
          </w:p>
        </w:tc>
        <w:tc>
          <w:tcPr>
            <w:tcBorders/>
            <w:tcW w:w="1955" w:type="dxa"/>
            <w:vAlign w:val="center"/>
            <w:textDirection w:val="lrTb"/>
            <w:noWrap w:val="false"/>
          </w:tcPr>
          <w:p>
            <w:pPr>
              <w:pBdr/>
              <w:spacing/>
              <w:ind/>
              <w:jc w:val="center"/>
              <w:rPr/>
            </w:pPr>
            <w:r>
              <w:t xml:space="preserve">117,7</w:t>
            </w:r>
            <w:r/>
          </w:p>
        </w:tc>
        <w:tc>
          <w:tcPr>
            <w:tcBorders/>
            <w:tcW w:w="2160" w:type="dxa"/>
            <w:vAlign w:val="center"/>
            <w:textDirection w:val="lrTb"/>
            <w:noWrap w:val="false"/>
          </w:tcPr>
          <w:p>
            <w:pPr>
              <w:pBdr/>
              <w:spacing/>
              <w:ind/>
              <w:jc w:val="center"/>
              <w:rPr/>
            </w:pPr>
            <w:r>
              <w:t xml:space="preserve">117,7 ✔</w:t>
            </w:r>
            <w:r/>
          </w:p>
        </w:tc>
        <w:tc>
          <w:tcPr>
            <w:tcBorders/>
            <w:tcW w:w="1371" w:type="dxa"/>
            <w:vAlign w:val="center"/>
            <w:textDirection w:val="lrTb"/>
            <w:noWrap w:val="false"/>
          </w:tcPr>
          <w:p>
            <w:pPr>
              <w:pBdr/>
              <w:spacing/>
              <w:ind/>
              <w:jc w:val="center"/>
              <w:rPr/>
            </w:pPr>
            <w:r>
              <w:t xml:space="preserve">0</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12</w:t>
            </w:r>
            <w:r/>
          </w:p>
        </w:tc>
        <w:tc>
          <w:tcPr>
            <w:tcBorders/>
            <w:tcW w:w="2268" w:type="dxa"/>
            <w:vAlign w:val="center"/>
            <w:textDirection w:val="lrTb"/>
            <w:noWrap w:val="false"/>
          </w:tcPr>
          <w:p>
            <w:pPr>
              <w:pBdr/>
              <w:spacing/>
              <w:ind/>
              <w:jc w:val="both"/>
              <w:rPr/>
            </w:pPr>
            <w:r>
              <w:t xml:space="preserve">Mặt tiền</w:t>
            </w:r>
            <w:r/>
          </w:p>
        </w:tc>
        <w:tc>
          <w:tcPr>
            <w:tcBorders/>
            <w:tcW w:w="1955" w:type="dxa"/>
            <w:vAlign w:val="center"/>
            <w:textDirection w:val="lrTb"/>
            <w:noWrap w:val="false"/>
          </w:tcPr>
          <w:p>
            <w:pPr>
              <w:pBdr/>
              <w:spacing/>
              <w:ind/>
              <w:jc w:val="center"/>
              <w:rPr/>
            </w:pPr>
            <w:r>
              <w:t xml:space="preserve">7,5</w:t>
            </w:r>
            <w:r/>
          </w:p>
        </w:tc>
        <w:tc>
          <w:tcPr>
            <w:tcBorders/>
            <w:tcW w:w="2160" w:type="dxa"/>
            <w:vAlign w:val="center"/>
            <w:textDirection w:val="lrTb"/>
            <w:noWrap w:val="false"/>
          </w:tcPr>
          <w:p>
            <w:pPr>
              <w:pBdr/>
              <w:spacing/>
              <w:ind/>
              <w:jc w:val="center"/>
              <w:rPr/>
            </w:pPr>
            <w:r>
              <w:t xml:space="preserve">7,5 ✔</w:t>
            </w:r>
            <w:r/>
          </w:p>
        </w:tc>
        <w:tc>
          <w:tcPr>
            <w:tcBorders/>
            <w:tcW w:w="1371" w:type="dxa"/>
            <w:vAlign w:val="center"/>
            <w:textDirection w:val="lrTb"/>
            <w:noWrap w:val="false"/>
          </w:tcPr>
          <w:p>
            <w:pPr>
              <w:pBdr/>
              <w:spacing/>
              <w:ind/>
              <w:jc w:val="center"/>
              <w:rPr/>
            </w:pPr>
            <w:r>
              <w:t xml:space="preserve">0</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14</w:t>
            </w:r>
            <w:r/>
          </w:p>
        </w:tc>
        <w:tc>
          <w:tcPr>
            <w:tcBorders/>
            <w:tcW w:w="2268" w:type="dxa"/>
            <w:vAlign w:val="center"/>
            <w:textDirection w:val="lrTb"/>
            <w:noWrap w:val="false"/>
          </w:tcPr>
          <w:p>
            <w:pPr>
              <w:pBdr/>
              <w:spacing/>
              <w:ind/>
              <w:jc w:val="both"/>
              <w:rPr/>
            </w:pPr>
            <w:r>
              <w:t xml:space="preserve">Mặt tiếp giáp</w:t>
            </w:r>
            <w:r/>
          </w:p>
        </w:tc>
        <w:tc>
          <w:tcPr>
            <w:tcBorders/>
            <w:tcW w:w="1955" w:type="dxa"/>
            <w:vAlign w:val="center"/>
            <w:textDirection w:val="lrTb"/>
            <w:noWrap w:val="false"/>
          </w:tcPr>
          <w:p>
            <w:pPr>
              <w:pBdr/>
              <w:spacing/>
              <w:ind/>
              <w:jc w:val="center"/>
              <w:rPr/>
            </w:pPr>
            <w:r>
              <w:t xml:space="preserve">Tiếp giáp 1 mặt tiền</w:t>
            </w:r>
            <w:r/>
          </w:p>
        </w:tc>
        <w:tc>
          <w:tcPr>
            <w:tcBorders/>
            <w:tcW w:w="2160"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15</w:t>
            </w:r>
            <w:r/>
          </w:p>
        </w:tc>
        <w:tc>
          <w:tcPr>
            <w:tcBorders/>
            <w:tcW w:w="2268" w:type="dxa"/>
            <w:vAlign w:val="center"/>
            <w:textDirection w:val="lrTb"/>
            <w:noWrap w:val="false"/>
          </w:tcPr>
          <w:p>
            <w:pPr>
              <w:pBdr/>
              <w:spacing/>
              <w:ind/>
              <w:jc w:val="both"/>
              <w:rPr/>
            </w:pPr>
            <w:r>
              <w:t xml:space="preserve">Hình dạng thửa đất</w:t>
            </w:r>
            <w:r/>
          </w:p>
        </w:tc>
        <w:tc>
          <w:tcPr>
            <w:tcBorders/>
            <w:tcW w:w="1955" w:type="dxa"/>
            <w:vAlign w:val="center"/>
            <w:textDirection w:val="lrTb"/>
            <w:noWrap w:val="false"/>
          </w:tcPr>
          <w:p>
            <w:pPr>
              <w:pBdr/>
              <w:spacing/>
              <w:ind/>
              <w:jc w:val="center"/>
              <w:rPr/>
            </w:pPr>
            <w:r>
              <w:t xml:space="preserve">Hình chữ nhật</w:t>
            </w:r>
            <w:r/>
          </w:p>
        </w:tc>
        <w:tc>
          <w:tcPr>
            <w:tcBorders/>
            <w:tcW w:w="2160"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bl>
    <w:p>
      <w:pPr>
        <w:pBdr/>
        <w:spacing/>
        <w:ind/>
        <w:rPr>
          <w:b/>
          <w:bCs/>
        </w:rPr>
      </w:pPr>
      <w:r>
        <w:rPr>
          <w:b/>
          <w:bCs/>
        </w:rPr>
      </w:r>
      <w:r>
        <w:rPr>
          <w:b/>
          <w:bCs/>
        </w:rPr>
      </w:r>
      <w:r>
        <w:rPr>
          <w:b/>
          <w:bCs/>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272" w:type="dxa"/>
        <w:tblW w:w="5168"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7155"/>
        <w:gridCol w:w="1143"/>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43"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15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143"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182" w:type="dxa"/>
        <w:tblW w:w="5137"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7515"/>
        <w:gridCol w:w="900"/>
        <w:gridCol w:w="108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90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08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7515" w:type="dxa"/>
            <w:vAlign w:val="center"/>
            <w:textDirection w:val="lrTb"/>
            <w:noWrap w:val="false"/>
          </w:tcPr>
          <w:p>
            <w:pPr>
              <w:widowControl w:val="false"/>
              <w:pBdr/>
              <w:spacing w:line="235" w:lineRule="auto"/>
              <w:ind/>
              <w:jc w:val="both"/>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5"/>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pPr>
        <w:pStyle w:val="1035"/>
        <w:pBdr/>
        <w:spacing w:after="120" w:before="120" w:line="276" w:lineRule="auto"/>
        <w:ind w:left="0"/>
        <w:jc w:val="both"/>
        <w:rPr>
          <w:lang w:val="de-DE"/>
        </w:rPr>
      </w:pPr>
      <w:r>
        <w:rPr>
          <w:b/>
          <w:bCs/>
          <w:highlight w:val="none"/>
          <w:lang w:val="pt-BR"/>
        </w:rPr>
      </w:r>
      <w:r>
        <w:rPr>
          <w:lang w:val="de-DE"/>
        </w:rPr>
      </w:r>
      <w:r>
        <w:rPr>
          <w:lang w:val="de-DE"/>
        </w:rPr>
      </w:r>
    </w:p>
    <w:p>
      <w:pPr>
        <w:pStyle w:val="1035"/>
        <w:pBdr/>
        <w:spacing w:after="120" w:before="120" w:line="276"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35"/>
        <w:pBdr/>
        <w:spacing w:after="120" w:before="120" w:line="276" w:lineRule="auto"/>
        <w:ind w:left="0"/>
        <w:jc w:val="both"/>
        <w:rPr>
          <w:b/>
          <w:bCs/>
          <w:highlight w:val="none"/>
          <w:lang w:val="pt-BR"/>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b/>
          <w:bCs/>
          <w:highlight w:val="none"/>
          <w:lang w:val="pt-BR"/>
        </w:rPr>
      </w:r>
      <w:r>
        <w:rPr>
          <w:b/>
          <w:bCs/>
          <w:highlight w:val="none"/>
          <w:lang w:val="pt-BR"/>
        </w:rPr>
      </w:r>
    </w:p>
    <w:p>
      <w:pPr>
        <w:pStyle w:val="103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2194"/>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194"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94"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Di Trạch, Huyện Hoài Đức,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Di Trạch, Huyện Hoài Đức,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Di Trạch, Huyện Hoài Đức,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Di Trạch, Huyện Hoài Đức,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0914.203856</w:t>
            </w:r>
            <w:r>
              <w:rPr>
                <w:sz w:val="22"/>
                <w:szCs w:val="22"/>
              </w:rPr>
              <w:t xml:space="preserve"> </w:t>
            </w:r>
            <w:r>
              <w:rPr>
                <w:sz w:val="22"/>
                <w:szCs w:val="22"/>
              </w:rPr>
              <w:br/>
              <w:t xml:space="preserve">(A.</w:t>
            </w:r>
            <w:r>
              <w:rPr>
                <w:sz w:val="22"/>
                <w:szCs w:val="22"/>
              </w:rPr>
              <w:t xml:space="preserve">Kỳ</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0943.886000</w:t>
            </w:r>
            <w:r>
              <w:rPr>
                <w:sz w:val="22"/>
                <w:szCs w:val="22"/>
              </w:rPr>
              <w:br/>
            </w:r>
            <w:r>
              <w:rPr>
                <w:sz w:val="22"/>
                <w:szCs w:val="22"/>
              </w:rPr>
              <w:t xml:space="preserve">(A.</w:t>
            </w:r>
            <w:r>
              <w:rPr>
                <w:sz w:val="22"/>
                <w:szCs w:val="22"/>
              </w:rPr>
              <w:t xml:space="preserve">An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0968.660002</w:t>
            </w:r>
            <w:r>
              <w:rPr>
                <w:sz w:val="22"/>
                <w:szCs w:val="22"/>
              </w:rPr>
              <w:br/>
            </w:r>
            <w:r>
              <w:rPr>
                <w:sz w:val="22"/>
                <w:szCs w:val="22"/>
              </w:rPr>
              <w:t xml:space="preserve">(</w:t>
            </w:r>
            <w:r>
              <w:rPr>
                <w:sz w:val="22"/>
                <w:szCs w:val="22"/>
              </w:rPr>
              <w:t xml:space="preserve">Tuấn Anh</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117,7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Có khe thoáng bên cạnh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Không có khe thoáng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Không có khe thoáng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Không có khe thoáng</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18</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194"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Công trình xây dựng trên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liền kề 5 tầng xây thô hoàn thiện mặt ngoài</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liền kề 5 tầng xây thô hoàn thiện mặt ngoài</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liền kề 5 tầng xây thô hoàn thiện mặt ngoài</w:t>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194"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Diện tích sử dụng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386,5</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386,5</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386,5</w:t>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22.000.000.000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20.700.000.000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19.140.000.000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18.270.000.000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18.630.000.000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1.584.878.209</w:t>
            </w:r>
            <w:r>
              <w:rPr>
                <w:b/>
                <w:bCs/>
                <w:color w:val="000000" w:themeColor="text1"/>
                <w:sz w:val="22"/>
                <w:szCs w:val="22"/>
              </w:rPr>
            </w:r>
            <w:r>
              <w:rPr>
                <w:b/>
                <w:bCs/>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1.584.878.209</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1.584.878.209</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sz w:val="22"/>
                <w:szCs w:val="22"/>
              </w:rPr>
              <w:t xml:space="preserve">Đơn</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theo</w:t>
            </w:r>
            <w:r>
              <w:rPr>
                <w:color w:val="000000"/>
                <w:sz w:val="22"/>
                <w:szCs w:val="22"/>
              </w:rPr>
              <w:t xml:space="preserve"> </w:t>
            </w:r>
            <w:r>
              <w:rPr>
                <w:color w:val="000000"/>
                <w:sz w:val="22"/>
                <w:szCs w:val="22"/>
              </w:rPr>
              <w:t xml:space="preserve">Quyết</w:t>
            </w:r>
            <w:r>
              <w:rPr>
                <w:color w:val="000000"/>
                <w:sz w:val="22"/>
                <w:szCs w:val="22"/>
              </w:rPr>
              <w:t xml:space="preserve"> </w:t>
            </w:r>
            <w:r>
              <w:rPr>
                <w:color w:val="000000"/>
                <w:sz w:val="22"/>
                <w:szCs w:val="22"/>
              </w:rPr>
              <w:t xml:space="preserve">định</w:t>
            </w:r>
            <w:r>
              <w:rPr>
                <w:color w:val="000000"/>
                <w:sz w:val="22"/>
                <w:szCs w:val="22"/>
              </w:rPr>
              <w:t xml:space="preserve"> </w:t>
            </w:r>
            <w:r>
              <w:rPr>
                <w:color w:val="000000"/>
                <w:sz w:val="22"/>
                <w:szCs w:val="22"/>
              </w:rPr>
              <w:t xml:space="preserve">số</w:t>
            </w:r>
            <w:r>
              <w:rPr>
                <w:color w:val="000000"/>
                <w:sz w:val="22"/>
                <w:szCs w:val="22"/>
              </w:rPr>
              <w:t xml:space="preserve"> 409/QĐ-BXD </w:t>
            </w:r>
            <w:r>
              <w:rPr>
                <w:color w:val="000000"/>
                <w:sz w:val="22"/>
                <w:szCs w:val="22"/>
              </w:rPr>
              <w:t xml:space="preserve">ngày</w:t>
            </w:r>
            <w:r>
              <w:rPr>
                <w:color w:val="000000"/>
                <w:sz w:val="22"/>
                <w:szCs w:val="22"/>
              </w:rPr>
              <w:t xml:space="preserve"> 11/4/2025 </w:t>
            </w:r>
            <w:r>
              <w:rPr>
                <w:color w:val="000000"/>
                <w:sz w:val="22"/>
                <w:szCs w:val="22"/>
              </w:rPr>
              <w:t xml:space="preserve">của</w:t>
            </w:r>
            <w:r>
              <w:rPr>
                <w:color w:val="000000"/>
                <w:sz w:val="22"/>
                <w:szCs w:val="22"/>
              </w:rPr>
              <w:t xml:space="preserve"> </w:t>
            </w:r>
            <w:r>
              <w:rPr>
                <w:color w:val="000000"/>
                <w:sz w:val="22"/>
                <w:szCs w:val="22"/>
              </w:rPr>
              <w:t xml:space="preserve">Bộ</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4.316.411</w:t>
            </w:r>
            <w:r>
              <w:rPr>
                <w:i/>
                <w:iCs/>
                <w:color w:val="000000"/>
                <w:sz w:val="22"/>
                <w:szCs w:val="22"/>
              </w:rPr>
            </w:r>
            <w:r>
              <w:rPr>
                <w:i/>
                <w:i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4.316.411</w:t>
            </w:r>
            <w:r>
              <w:rPr>
                <w:i/>
                <w:iCs/>
                <w:color w:val="000000"/>
                <w:sz w:val="22"/>
                <w:szCs w:val="22"/>
              </w:rPr>
            </w:r>
            <w:r>
              <w:rPr>
                <w:i/>
                <w:i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4.316.411</w:t>
            </w:r>
            <w:r>
              <w:rPr>
                <w:i/>
                <w:iCs/>
                <w:color w:val="000000"/>
                <w:sz w:val="22"/>
                <w:szCs w:val="22"/>
              </w:rPr>
            </w:r>
            <w:r>
              <w:rPr>
                <w:i/>
                <w:i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sz w:val="22"/>
                <w:szCs w:val="22"/>
              </w:rPr>
              <w:t xml:space="preserve"> </w:t>
            </w: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CLCL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95</w:t>
            </w:r>
            <w:r>
              <w:rPr>
                <w:i/>
                <w:iCs/>
                <w:color w:val="000000"/>
                <w:sz w:val="22"/>
                <w:szCs w:val="22"/>
              </w:rPr>
            </w:r>
            <w:r>
              <w:rPr>
                <w:i/>
                <w:i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95</w:t>
            </w:r>
            <w:r>
              <w:rPr>
                <w:i/>
                <w:iCs/>
                <w:color w:val="000000"/>
                <w:sz w:val="22"/>
                <w:szCs w:val="22"/>
              </w:rPr>
            </w:r>
            <w:r>
              <w:rPr>
                <w:i/>
                <w:i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95</w:t>
            </w:r>
            <w:r>
              <w:rPr>
                <w:i/>
                <w:iCs/>
                <w:color w:val="000000"/>
                <w:sz w:val="22"/>
                <w:szCs w:val="22"/>
              </w:rPr>
            </w:r>
            <w:r>
              <w:rPr>
                <w:i/>
                <w:i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w:t>
            </w:r>
            <w:r>
              <w:rPr>
                <w:color w:val="000000"/>
                <w:sz w:val="22"/>
                <w:szCs w:val="22"/>
              </w:rPr>
              <w:t xml:space="preserve">hoàn</w:t>
            </w:r>
            <w:r>
              <w:rPr>
                <w:color w:val="000000"/>
                <w:sz w:val="22"/>
                <w:szCs w:val="22"/>
              </w:rPr>
              <w:t xml:space="preserve"> </w:t>
            </w:r>
            <w:r>
              <w:rPr>
                <w:color w:val="000000"/>
                <w:sz w:val="22"/>
                <w:szCs w:val="22"/>
              </w:rPr>
              <w:t xml:space="preserve">thiện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65</w:t>
            </w:r>
            <w:r>
              <w:rPr>
                <w:i/>
                <w:iCs/>
                <w:color w:val="000000"/>
                <w:sz w:val="22"/>
                <w:szCs w:val="22"/>
              </w:rPr>
            </w:r>
            <w:r>
              <w:rPr>
                <w:i/>
                <w:i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65</w:t>
            </w:r>
            <w:r>
              <w:rPr>
                <w:i/>
                <w:iCs/>
                <w:color w:val="000000"/>
                <w:sz w:val="22"/>
                <w:szCs w:val="22"/>
              </w:rPr>
            </w:r>
            <w:r>
              <w:rPr>
                <w:i/>
                <w:i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Cs/>
                <w:i/>
                <w:color w:val="000000"/>
                <w:sz w:val="22"/>
                <w:szCs w:val="22"/>
              </w:rPr>
            </w:pPr>
            <w:r>
              <w:rPr>
                <w:i/>
                <w:iCs/>
                <w:color w:val="000000" w:themeColor="text1"/>
                <w:sz w:val="22"/>
                <w:szCs w:val="22"/>
              </w:rPr>
              <w:t xml:space="preserve">65</w:t>
            </w:r>
            <w:r>
              <w:rPr>
                <w:i/>
                <w:iCs/>
                <w:color w:val="000000"/>
                <w:sz w:val="22"/>
                <w:szCs w:val="22"/>
              </w:rPr>
            </w:r>
            <w:r>
              <w:rPr>
                <w:i/>
                <w:i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17.555.121.791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16.685.121.791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17.045.121.791</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175.551.218</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166.851.218</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170.451.218</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94" w:type="dxa"/>
            <w:vAlign w:val="center"/>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52"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96"/>
        <w:gridCol w:w="1030"/>
        <w:gridCol w:w="1642"/>
        <w:gridCol w:w="1642"/>
        <w:gridCol w:w="1642"/>
        <w:gridCol w:w="164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17.555.121.791</w:t>
            </w:r>
            <w:r>
              <w:rPr>
                <w:b/>
                <w:bCs/>
                <w:color w:val="000000"/>
                <w:sz w:val="20"/>
                <w:szCs w:val="20"/>
              </w:rPr>
            </w:r>
            <w:r>
              <w:rPr>
                <w:b/>
                <w:bCs/>
                <w:color w:val="000000"/>
                <w:sz w:val="20"/>
                <w:szCs w:val="20"/>
              </w:rPr>
            </w:r>
          </w:p>
        </w:tc>
        <w:tc>
          <w:tcPr>
            <w:shd w:val="clear" w:color="000000" w:fill="ffffff"/>
            <w:tcBorders/>
            <w:tcW w:w="1642"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16.685.121.791</w:t>
            </w:r>
            <w:r>
              <w:rPr>
                <w:b/>
                <w:bCs/>
                <w:color w:val="000000"/>
                <w:sz w:val="20"/>
                <w:szCs w:val="20"/>
              </w:rPr>
            </w:r>
            <w:r>
              <w:rPr>
                <w:b/>
                <w:bCs/>
                <w:color w:val="000000"/>
                <w:sz w:val="20"/>
                <w:szCs w:val="20"/>
              </w:rPr>
            </w:r>
          </w:p>
        </w:tc>
        <w:tc>
          <w:tcPr>
            <w:shd w:val="clear" w:color="000000" w:fill="ffffff"/>
            <w:tcBorders/>
            <w:tcW w:w="1642"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17.045.121.791</w:t>
            </w:r>
            <w:r>
              <w:rPr>
                <w:b/>
                <w:bCs/>
                <w:color w:val="000000"/>
                <w:sz w:val="20"/>
                <w:szCs w:val="20"/>
              </w:rPr>
            </w:r>
            <w:r>
              <w:rPr>
                <w:b/>
                <w:bCs/>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175.551.218</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166.851.218</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170.451.218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175.551.218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166.851.218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170.451.218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175.551.218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166.851.218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170.451.218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175.551.218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166.851.218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170.451.218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20,0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20,0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20,0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20,0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175.551.218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166.851.218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170.451.218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117,7</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-3.511.024</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-3.337.024</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-3.409.024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172.040.194</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163.514.194</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167.042.194</w:t>
            </w:r>
            <w:r>
              <w:rPr>
                <w:color w:val="000000"/>
                <w:sz w:val="22"/>
                <w:szCs w:val="22"/>
              </w:rPr>
            </w:r>
            <w:r>
              <w:rPr>
                <w:color w:val="000000"/>
                <w:sz w:val="22"/>
                <w:szCs w:val="22"/>
              </w:rPr>
            </w:r>
          </w:p>
        </w:tc>
      </w:tr>
      <w:tr>
        <w:trPr>
          <w:trHeight w:val="247"/>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themeColor="text1"/>
                <w:sz w:val="22"/>
                <w:szCs w:val="22"/>
              </w:rPr>
              <w:t xml:space="preserve">(m)</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5.266.537</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5.005.537</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5.113.537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177.306.731</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168.519.731</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172.155.731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177.306.731</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168.519.731</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172.155.731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177.306.731</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168.519.731</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172.155.731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Các thông tin khác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Có khe thoáng bên cạnh</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Không có khe thoáng</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Không có khe thoáng</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Không có khe thoáng</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1.755.512</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1.668.512</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1.704.512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179.062.243</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170.188.243</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173.860.243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96"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179.062.243</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170.188.243</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173.860.243</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174.370.243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2,69%</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-0,29%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592"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10.533.073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10.011.073</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10.227.073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0% - 3%</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0% - 3%</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0% - 3%</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96"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3.511.025</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3.337.025</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3.409.025</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w:t>
      </w:r>
      <w:r>
        <w:t xml:space="preserve">-2,4</w:t>
      </w:r>
      <w:r>
        <w:t xml:space="preserve">% </w:t>
      </w:r>
      <w:r>
        <w:t xml:space="preserve">đến</w:t>
      </w:r>
      <w:r>
        <w:t xml:space="preserve"> </w:t>
      </w:r>
      <w:r>
        <w:t xml:space="preserve">2,69</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55" w:type="pct"/>
        <w:tblBorders/>
        <w:tblLayout w:type="fixed"/>
        <w:tblLook w:val="04A0" w:firstRow="1" w:lastRow="0" w:firstColumn="1" w:lastColumn="0" w:noHBand="0" w:noVBand="1"/>
      </w:tblPr>
      <w:tblGrid>
        <w:gridCol w:w="558"/>
        <w:gridCol w:w="1890"/>
        <w:gridCol w:w="1890"/>
        <w:gridCol w:w="2430"/>
        <w:gridCol w:w="315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179.062.243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53.718.673</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170.188.243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36</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61.267.767</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173.860.243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59.112.483</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174.098.923</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174.000.000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174.000.000</w:t>
      </w:r>
      <w:r>
        <w:rPr>
          <w:b/>
          <w:bCs/>
          <w:color w:val="000000" w:themeColor="text1"/>
        </w:rPr>
        <w:t xml:space="preserve"> </w:t>
      </w:r>
      <w:r>
        <w:rPr>
          <w:b/>
          <w:bCs/>
        </w:rPr>
        <w:t xml:space="preserve">đồng</w:t>
      </w:r>
      <w:r>
        <w:rPr>
          <w:b/>
          <w:bCs/>
        </w:rPr>
        <w:t xml:space="preserve">/m².</w:t>
      </w:r>
      <w:r>
        <w:rPr>
          <w:b/>
          <w:bCs/>
        </w:rPr>
      </w:r>
      <w:r>
        <w:rPr>
          <w:b/>
          <w:bCs/>
        </w:rPr>
      </w:r>
    </w:p>
    <w:p>
      <w:pPr>
        <w:pStyle w:val="1035"/>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r>
        <w:rPr>
          <w:b/>
          <w:bCs/>
        </w:rPr>
      </w:r>
    </w:p>
    <w:p>
      <w:pPr>
        <w:pBdr>
          <w:top w:val="none" w:color="000000" w:sz="4" w:space="0"/>
          <w:left w:val="none" w:color="000000" w:sz="4" w:space="0"/>
          <w:bottom w:val="none" w:color="000000" w:sz="4" w:space="0"/>
          <w:right w:val="none" w:color="000000" w:sz="4" w:space="0"/>
        </w:pBdr>
        <w:spacing w:after="60" w:before="60" w:line="276" w:lineRule="auto"/>
        <w:ind w:right="0" w:firstLine="284" w:left="0"/>
        <w:jc w:val="both"/>
        <w:rPr/>
      </w:pPr>
      <w:r>
        <w:rPr>
          <w:rFonts w:ascii="Times New Roman" w:hAnsi="Times New Roman" w:eastAsia="Times New Roman" w:cs="Times New Roman"/>
          <w:color w:val="000000"/>
          <w:sz w:val="24"/>
        </w:rPr>
        <w:t xml:space="preserve">Qua khảo sát hiện trạng tài sản thẩm định giá, tổ thẩm định nhận thấy trên đất có công trình xây dựng là 01 Nhà liền kề 5 tầng, hiện trạng nhà xây thô hoàn thiện mặt ngoài, kết cấu BTCT. Công trình có diện tích sàn là: 349,4m². Cô</w:t>
      </w:r>
      <w:r>
        <w:rPr>
          <w:rFonts w:ascii="Times New Roman" w:hAnsi="Times New Roman" w:eastAsia="Times New Roman" w:cs="Times New Roman"/>
          <w:color w:val="000000"/>
          <w:sz w:val="24"/>
        </w:rPr>
        <w:t xml:space="preserve">ng trình hiện đã được chứng nhận trên </w:t>
      </w:r>
      <w:r>
        <w:rPr>
          <w:rFonts w:ascii="Times New Roman" w:hAnsi="Times New Roman" w:eastAsia="Times New Roman" w:cs="Times New Roman"/>
          <w:color w:val="000000"/>
          <w:sz w:val="24"/>
        </w:rPr>
        <w:t xml:space="preserve">Giấy chứng nhận quyền sử dụng đất, quyền sở hữu tài sản gắn liền với đất số: AA 01714590</w:t>
      </w:r>
      <w:r>
        <w:rPr>
          <w:rFonts w:ascii="Times New Roman" w:hAnsi="Times New Roman" w:eastAsia="Times New Roman" w:cs="Times New Roman"/>
          <w:color w:val="000000"/>
          <w:sz w:val="24"/>
        </w:rPr>
        <w:t xml:space="preserve">. Cân nhắc và xem xét với kết cấu của công trình xây dựng hiện có, tổ thẩm định nhận thấy đơn giá vận dụng theo Quyết đ</w:t>
      </w:r>
      <w:r>
        <w:rPr>
          <w:rFonts w:ascii="Times New Roman" w:hAnsi="Times New Roman" w:eastAsia="Times New Roman" w:cs="Times New Roman"/>
          <w:color w:val="000000"/>
          <w:sz w:val="24"/>
        </w:rPr>
        <w:t xml:space="preserve">ịnh số 409/QĐ-BXD ngày 11 tháng 04 năm 2025 của Bộ Xây dựng về việc công bố suất vốn đầu tư xây dựng và giá xây dựng tổng hợp bộ phận kết cấu công trình năm 2024 là khá phù hợp với thị trường, theo đó</w:t>
      </w:r>
      <w:r>
        <w:rPr>
          <w:rFonts w:ascii="Times New Roman" w:hAnsi="Times New Roman" w:eastAsia="Times New Roman" w:cs="Times New Roman"/>
          <w:color w:val="000000"/>
          <w:spacing w:val="3"/>
          <w:sz w:val="24"/>
          <w:highlight w:val="white"/>
        </w:rPr>
        <w:t xml:space="preserve">. </w:t>
      </w:r>
      <w:r/>
    </w:p>
    <w:p>
      <w:pPr>
        <w:numPr>
          <w:ilvl w:val="0"/>
          <w:numId w:val="40"/>
        </w:numPr>
        <w:pBdr>
          <w:top w:val="none" w:color="000000" w:sz="4" w:space="0"/>
          <w:left w:val="none" w:color="000000" w:sz="4" w:space="0"/>
          <w:bottom w:val="none" w:color="000000" w:sz="4" w:space="0"/>
          <w:right w:val="none" w:color="000000" w:sz="4" w:space="0"/>
        </w:pBdr>
        <w:spacing w:after="120" w:before="120" w:line="288" w:lineRule="auto"/>
        <w:ind w:right="0" w:hanging="360" w:left="360"/>
        <w:jc w:val="both"/>
        <w:rPr/>
      </w:pPr>
      <w:r>
        <w:rPr>
          <w:rFonts w:ascii="Times New Roman" w:hAnsi="Times New Roman" w:eastAsia="Times New Roman" w:cs="Times New Roman"/>
          <w:i/>
          <w:color w:val="000000"/>
          <w:spacing w:val="-4"/>
          <w:sz w:val="24"/>
        </w:rPr>
        <w:t xml:space="preserve">Suất vốn đầu tư của công trình Nhà từ 4 đến 5 tầng, kết cấu khung chịu lực BTCT; tường bao xây gạch; sàn, mái BTCT đổ tại chỗ, không có tầng hầm có </w:t>
      </w:r>
      <w:r>
        <w:rPr>
          <w:rFonts w:ascii="Times New Roman" w:hAnsi="Times New Roman" w:eastAsia="Times New Roman" w:cs="Times New Roman"/>
          <w:i/>
          <w:color w:val="000000"/>
          <w:sz w:val="24"/>
        </w:rPr>
        <w:t xml:space="preserve">Diện tích xây dựng từ 70 - dưới 90m²</w:t>
      </w:r>
      <w:r>
        <w:rPr>
          <w:rFonts w:ascii="Times New Roman" w:hAnsi="Times New Roman" w:eastAsia="Times New Roman" w:cs="Times New Roman"/>
          <w:i/>
          <w:color w:val="000000"/>
          <w:spacing w:val="-4"/>
          <w:sz w:val="24"/>
        </w:rPr>
        <w:t xml:space="preserve"> là 7.673.000 đồng/m², có kết cấu tương tự tài sản thẩm định.</w:t>
      </w:r>
      <w:r/>
    </w:p>
    <w:p>
      <w:pPr>
        <w:numPr>
          <w:ilvl w:val="0"/>
          <w:numId w:val="40"/>
        </w:numPr>
        <w:pBdr>
          <w:top w:val="none" w:color="000000" w:sz="4" w:space="0"/>
          <w:left w:val="none" w:color="000000" w:sz="4" w:space="0"/>
          <w:bottom w:val="none" w:color="000000" w:sz="4" w:space="0"/>
          <w:right w:val="none" w:color="000000" w:sz="4" w:space="0"/>
        </w:pBdr>
        <w:spacing w:after="120" w:before="120" w:line="288" w:lineRule="auto"/>
        <w:ind w:right="0" w:hanging="360" w:left="360"/>
        <w:jc w:val="both"/>
        <w:rPr/>
      </w:pPr>
      <w:r>
        <w:rPr>
          <w:rFonts w:ascii="Times New Roman" w:hAnsi="Times New Roman" w:eastAsia="Times New Roman" w:cs="Times New Roman"/>
          <w:i/>
          <w:iCs/>
          <w:color w:val="000000"/>
          <w:spacing w:val="-4"/>
          <w:sz w:val="24"/>
          <w:szCs w:val="24"/>
        </w:rPr>
      </w:r>
      <w:r>
        <w:rPr>
          <w:rFonts w:ascii="Times New Roman" w:hAnsi="Times New Roman" w:eastAsia="Times New Roman" w:cs="Times New Roman"/>
          <w:i/>
          <w:color w:val="000000"/>
          <w:sz w:val="24"/>
        </w:rPr>
        <w:t xml:space="preserve">Hệ số điều chỉnh vùng cho suất vốn đầu tư Vùng 7 – Thành phố Hà Nội là: 0,952.</w:t>
      </w: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pacing w:val="3"/>
          <w:sz w:val="24"/>
          <w:highlight w:val="white"/>
        </w:rPr>
        <w:t xml:space="preserve">Do đó, Tổ thẩm định xác định đơn giá xây mới của công trình là:</w:t>
      </w:r>
      <w:r/>
    </w:p>
    <w:p>
      <w:pPr>
        <w:pBdr>
          <w:top w:val="none" w:color="000000" w:sz="4" w:space="0"/>
          <w:left w:val="none" w:color="000000" w:sz="4" w:space="0"/>
          <w:bottom w:val="none" w:color="000000" w:sz="4" w:space="0"/>
          <w:right w:val="none" w:color="000000" w:sz="4" w:space="0"/>
        </w:pBdr>
        <w:spacing w:after="60" w:before="60" w:line="276" w:lineRule="auto"/>
        <w:ind w:right="0" w:firstLine="284"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(7.673.000 đồng/m² x 0,952)/1,1</w:t>
      </w:r>
      <w:r>
        <w:rPr>
          <w:rFonts w:ascii="Times New Roman" w:hAnsi="Times New Roman" w:eastAsia="Times New Roman" w:cs="Times New Roman"/>
          <w:b/>
          <w:color w:val="000000"/>
          <w:spacing w:val="3"/>
          <w:sz w:val="24"/>
          <w:highlight w:val="white"/>
        </w:rPr>
        <w:t xml:space="preserve"> =</w:t>
      </w:r>
      <w:r>
        <w:rPr>
          <w:rFonts w:ascii="Times New Roman" w:hAnsi="Times New Roman" w:eastAsia="Times New Roman" w:cs="Times New Roman"/>
          <w:color w:val="000000"/>
          <w:spacing w:val="3"/>
          <w:sz w:val="24"/>
          <w:highlight w:val="white"/>
        </w:rPr>
        <w:t xml:space="preserve"> </w:t>
      </w:r>
      <w:r>
        <w:rPr>
          <w:rFonts w:ascii="Times New Roman" w:hAnsi="Times New Roman" w:eastAsia="Times New Roman" w:cs="Times New Roman"/>
          <w:b/>
          <w:color w:val="000000"/>
          <w:sz w:val="24"/>
        </w:rPr>
        <w:t xml:space="preserve">6.640.633 </w:t>
      </w:r>
      <w:r>
        <w:rPr>
          <w:rFonts w:ascii="Times New Roman" w:hAnsi="Times New Roman" w:eastAsia="Times New Roman" w:cs="Times New Roman"/>
          <w:b/>
          <w:color w:val="000000"/>
          <w:spacing w:val="3"/>
          <w:sz w:val="24"/>
          <w:highlight w:val="white"/>
        </w:rPr>
        <w:t xml:space="preserve">đồng/m²</w:t>
      </w:r>
      <w:r>
        <w:rPr>
          <w:rFonts w:ascii="Times New Roman" w:hAnsi="Times New Roman" w:eastAsia="Times New Roman" w:cs="Times New Roman"/>
          <w:color w:val="000000"/>
          <w:spacing w:val="3"/>
          <w:sz w:val="24"/>
          <w:highlight w:val="white"/>
        </w:rPr>
        <w:t xml:space="preserve"> </w:t>
      </w:r>
      <w:r>
        <w:rPr>
          <w:rFonts w:ascii="Times New Roman" w:hAnsi="Times New Roman" w:eastAsia="Times New Roman" w:cs="Times New Roman"/>
          <w:b/>
          <w:i/>
          <w:color w:val="000000"/>
          <w:spacing w:val="3"/>
          <w:sz w:val="24"/>
          <w:highlight w:val="white"/>
        </w:rPr>
        <w:t xml:space="preserve">(đơn giá không bao gồm VAT).</w:t>
      </w:r>
      <w:r>
        <w:rPr>
          <w:rFonts w:ascii="Times New Roman" w:hAnsi="Times New Roman" w:eastAsia="Times New Roman" w:cs="Times New Roman"/>
          <w:sz w:val="24"/>
        </w:rPr>
      </w:r>
      <w:r>
        <w:rPr>
          <w:rFonts w:ascii="Times New Roman" w:hAnsi="Times New Roman" w:eastAsia="Times New Roman" w:cs="Times New Roman"/>
          <w:sz w:val="24"/>
        </w:rP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i/>
          <w:color w:val="000000"/>
          <w:spacing w:val="3"/>
          <w:sz w:val="24"/>
          <w:highlight w:val="white"/>
        </w:rPr>
        <w:t xml:space="preserve">Xác định mức độ hoàn thiện của công trình xây dựng:</w:t>
      </w: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rFonts w:ascii="Times New Roman" w:hAnsi="Times New Roman" w:eastAsia="Times New Roman" w:cs="Times New Roman"/>
          <w:b/>
          <w:bCs w:val="0"/>
          <w:i w:val="0"/>
          <w:color w:val="000000"/>
          <w:spacing w:val="3"/>
          <w:sz w:val="24"/>
          <w:szCs w:val="24"/>
          <w:highlight w:val="none"/>
        </w:rPr>
      </w:pPr>
      <w:r>
        <w:rPr>
          <w:rFonts w:ascii="Times New Roman" w:hAnsi="Times New Roman" w:eastAsia="Times New Roman" w:cs="Times New Roman"/>
          <w:i w:val="0"/>
          <w:iCs w:val="0"/>
          <w:color w:val="000000"/>
          <w:spacing w:val="3"/>
          <w:sz w:val="24"/>
          <w:highlight w:val="white"/>
        </w:rPr>
        <w:t xml:space="preserve">Q</w:t>
      </w:r>
      <w:r>
        <w:rPr>
          <w:rFonts w:ascii="Times New Roman" w:hAnsi="Times New Roman" w:eastAsia="Times New Roman" w:cs="Times New Roman"/>
          <w:i w:val="0"/>
          <w:iCs w:val="0"/>
          <w:color w:val="000000"/>
          <w:spacing w:val="3"/>
          <w:sz w:val="24"/>
          <w:highlight w:val="white"/>
        </w:rPr>
        <w:t xml:space="preserve">ua khảo sát hiện</w:t>
      </w:r>
      <w:r>
        <w:rPr>
          <w:rFonts w:ascii="Times New Roman" w:hAnsi="Times New Roman" w:eastAsia="Times New Roman" w:cs="Times New Roman"/>
          <w:i w:val="0"/>
          <w:iCs w:val="0"/>
          <w:color w:val="000000"/>
          <w:spacing w:val="3"/>
          <w:sz w:val="24"/>
          <w:highlight w:val="none"/>
        </w:rPr>
        <w:t xml:space="preserve"> trạng, tổ thẩm định nhận thấy rằng công trình xây dựng là 01 Nhà liền kề 5 tầng, hiện trạng nhà xây thô hoàn thiện mặt ngoài, kết cấu BTCT. Vận dụng Quyết định số 409/QĐ-BXD ngày 11 tháng 04 năm</w:t>
      </w:r>
      <w:r>
        <w:rPr>
          <w:rFonts w:ascii="Times New Roman" w:hAnsi="Times New Roman" w:eastAsia="Times New Roman" w:cs="Times New Roman"/>
          <w:i w:val="0"/>
          <w:iCs w:val="0"/>
          <w:color w:val="000000"/>
          <w:spacing w:val="3"/>
          <w:sz w:val="24"/>
          <w:highlight w:val="none"/>
        </w:rPr>
        <w:t xml:space="preserve"> 2025 của Bộ Xây dựng về việc công bố suất vố</w:t>
      </w:r>
      <w:r>
        <w:rPr>
          <w:rFonts w:ascii="Times New Roman" w:hAnsi="Times New Roman" w:eastAsia="Times New Roman" w:cs="Times New Roman"/>
          <w:i w:val="0"/>
          <w:iCs w:val="0"/>
          <w:color w:val="000000"/>
          <w:spacing w:val="3"/>
          <w:sz w:val="24"/>
          <w:highlight w:val="none"/>
        </w:rPr>
        <w:t xml:space="preserve">n đầu tư xây dựng và giá xây dựng tổng hợp bộ phận kết cấu công trình năm 2024, tổ thẩm định xác định mức độ hoàn thiện của công trình xây dựng trên đất là: </w:t>
      </w:r>
      <w:r>
        <w:rPr>
          <w:rFonts w:ascii="Times New Roman" w:hAnsi="Times New Roman" w:eastAsia="Times New Roman" w:cs="Times New Roman"/>
          <w:b/>
          <w:i w:val="0"/>
          <w:iCs w:val="0"/>
          <w:color w:val="000000"/>
          <w:spacing w:val="3"/>
          <w:sz w:val="24"/>
          <w:highlight w:val="none"/>
        </w:rPr>
        <w:t xml:space="preserve">65%</w:t>
      </w:r>
      <w:r>
        <w:rPr>
          <w:rFonts w:ascii="Times New Roman" w:hAnsi="Times New Roman" w:eastAsia="Times New Roman" w:cs="Times New Roman"/>
          <w:b/>
          <w:i w:val="0"/>
          <w:iCs w:val="0"/>
          <w:color w:val="000000"/>
          <w:spacing w:val="3"/>
          <w:sz w:val="24"/>
          <w:highlight w:val="none"/>
        </w:rPr>
        <w:t xml:space="preserve">.</w:t>
      </w:r>
      <w:r>
        <w:rPr>
          <w:rFonts w:ascii="Times New Roman" w:hAnsi="Times New Roman" w:eastAsia="Times New Roman" w:cs="Times New Roman"/>
          <w:b/>
          <w:bCs w:val="0"/>
          <w:i w:val="0"/>
          <w:color w:val="000000"/>
          <w:spacing w:val="3"/>
          <w:sz w:val="24"/>
          <w:szCs w:val="24"/>
          <w:highlight w:val="none"/>
        </w:rPr>
      </w:r>
      <w:r>
        <w:rPr>
          <w:rFonts w:ascii="Times New Roman" w:hAnsi="Times New Roman" w:eastAsia="Times New Roman" w:cs="Times New Roman"/>
          <w:b/>
          <w:bCs w:val="0"/>
          <w:i w:val="0"/>
          <w:color w:val="000000"/>
          <w:spacing w:val="3"/>
          <w:sz w:val="24"/>
          <w:szCs w:val="24"/>
          <w:highlight w:val="none"/>
        </w:rP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rFonts w:ascii="Times New Roman" w:hAnsi="Times New Roman" w:eastAsia="Times New Roman" w:cs="Times New Roman"/>
          <w:sz w:val="24"/>
          <w:szCs w:val="24"/>
        </w:rPr>
      </w:pPr>
      <w:r>
        <w:rPr>
          <w:rFonts w:ascii="Times New Roman" w:hAnsi="Times New Roman" w:eastAsia="Times New Roman" w:cs="Times New Roman"/>
          <w:b/>
          <w:i/>
          <w:color w:val="000000"/>
          <w:spacing w:val="3"/>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tỷ lệ hao mòn của công trình:</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Qua khảo sát hiện trạng, dựa vào đặc điểm tài sản và tham khảo ý kiến các chuyên gia về xây dựng. Tổ thẩm định đánh giá tỷ lệ hao mòn của công trình xây dựng theo công văn Số: 1326/BXD-QLN do Bộ Xây dựng ban hành ngày 08/8/2011 về việc hướng dẫn kiểm kê, đ</w:t>
      </w:r>
      <w:r>
        <w:rPr>
          <w:rFonts w:ascii="Times New Roman" w:hAnsi="Times New Roman" w:eastAsia="Times New Roman" w:cs="Times New Roman"/>
          <w:color w:val="000000"/>
          <w:sz w:val="24"/>
        </w:rPr>
        <w:t xml:space="preserve">ánh giá lại giá trị tài sản cố định là nhà, vật kiến trúc như sau:</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Tỷ lệ hao mòn của nhà, vật kiến trúc được xác định căn cứ vào tỷ lệ hao mòn của các kết cấu chính (nếu là nhà thì kết cấu chính gồm: móng, khung, cột, tường, nền, sàn, kết cấu đỡ mái và mái) tạo nên nhà đó và tỷ lệ giá trị của các kết cấu chính đó so với t</w:t>
      </w:r>
      <w:r>
        <w:rPr>
          <w:rFonts w:ascii="Times New Roman" w:hAnsi="Times New Roman" w:eastAsia="Times New Roman" w:cs="Times New Roman"/>
          <w:color w:val="000000"/>
          <w:sz w:val="24"/>
        </w:rPr>
        <w:t xml:space="preserve">ổng giá trị của nhà hoặc vật kiến trúc.</w:t>
      </w:r>
      <w:r/>
    </w:p>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color w:val="000000"/>
          <w:sz w:val="24"/>
        </w:rPr>
        <w:t xml:space="preserve">Công thức tính như sau:</w:t>
      </w:r>
      <w:r/>
    </w:p>
    <w:tbl>
      <w:tblPr>
        <w:tblStyle w:val="1039"/>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427"/>
        <w:gridCol w:w="505"/>
        <w:gridCol w:w="216"/>
        <w:gridCol w:w="2412"/>
        <w:gridCol w:w="557"/>
        <w:gridCol w:w="4753"/>
      </w:tblGrid>
      <w:tr>
        <w:trPr/>
        <w:tc>
          <w:tcPr>
            <w:tcBorders/>
            <w:tcMar>
              <w:left w:w="108" w:type="dxa"/>
              <w:top w:w="0" w:type="dxa"/>
              <w:right w:w="108" w:type="dxa"/>
              <w:bottom w:w="0" w:type="dxa"/>
            </w:tcMar>
            <w:tcW w:w="1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Tỷ lệ hao mòn của nhà, vật kiến trúc (%)</w:t>
            </w:r>
            <w:r/>
          </w:p>
        </w:tc>
        <w:tc>
          <w:tcPr>
            <w:tcBorders/>
            <w:tcMar>
              <w:left w:w="108" w:type="dxa"/>
              <w:top w:w="0" w:type="dxa"/>
              <w:right w:w="108" w:type="dxa"/>
              <w:bottom w:w="0" w:type="dxa"/>
            </w:tcMar>
            <w:tcW w:w="50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tcBorders>
            <w:tcMar>
              <w:left w:w="108" w:type="dxa"/>
              <w:top w:w="0" w:type="dxa"/>
              <w:right w:w="108" w:type="dxa"/>
              <w:bottom w:w="0" w:type="dxa"/>
            </w:tcMar>
            <w:tcW w:w="216" w:type="dxa"/>
            <w:vAlign w:val="center"/>
            <w:textDirection w:val="lrTb"/>
            <w:noWrap w:val="false"/>
          </w:tcPr>
          <w:p>
            <w:pPr>
              <w:pBdr/>
              <w:spacing w:after="0" w:before="0" w:line="240" w:lineRule="auto"/>
              <w:ind/>
              <w:rPr/>
            </w:pPr>
            <w:r/>
            <w:r/>
          </w:p>
        </w:tc>
        <w:tc>
          <w:tcPr>
            <w:tcBorders>
              <w:bottom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Tỷ lệ hao mòn của kết cấu chính thức i (%)</w:t>
            </w:r>
            <w:r/>
          </w:p>
        </w:tc>
        <w:tc>
          <w:tcPr>
            <w:tcBorders>
              <w:bottom w:val="single" w:color="000000" w:sz="8" w:space="0"/>
            </w:tcBorders>
            <w:tcMar>
              <w:left w:w="108" w:type="dxa"/>
              <w:top w:w="0" w:type="dxa"/>
              <w:right w:w="108" w:type="dxa"/>
              <w:bottom w:w="0" w:type="dxa"/>
            </w:tcMar>
            <w:tcW w:w="5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x</w:t>
            </w:r>
            <w:r/>
          </w:p>
        </w:tc>
        <w:tc>
          <w:tcPr>
            <w:tcBorders>
              <w:bottom w:val="single" w:color="000000" w:sz="8" w:space="0"/>
            </w:tcBorders>
            <w:tcMar>
              <w:left w:w="108" w:type="dxa"/>
              <w:top w:w="0" w:type="dxa"/>
              <w:right w:w="108" w:type="dxa"/>
              <w:bottom w:w="0" w:type="dxa"/>
            </w:tcMar>
            <w:tcW w:w="47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Tỷ lệ giá trị của kết cấu chính thứ i so với tổng giá trị của ngôi nhà hoặc vật kiến trúc (%)</w:t>
            </w:r>
            <w:r/>
          </w:p>
        </w:tc>
      </w:tr>
      <w:tr>
        <w:trPr/>
        <w:tc>
          <w:tcPr>
            <w:tcBorders/>
            <w:vMerge w:val="continue"/>
            <w:textDirection w:val="lrTb"/>
            <w:noWrap w:val="false"/>
          </w:tcPr>
          <w:p>
            <w:pPr>
              <w:pBdr/>
              <w:spacing/>
              <w:ind/>
              <w:rPr/>
            </w:pPr>
            <w:r/>
            <w:r/>
          </w:p>
        </w:tc>
        <w:tc>
          <w:tcPr>
            <w:tcBorders/>
            <w:vMerge w:val="continue"/>
            <w:textDirection w:val="lrTb"/>
            <w:noWrap w:val="false"/>
          </w:tcPr>
          <w:p>
            <w:pPr>
              <w:pBdr/>
              <w:spacing/>
              <w:ind/>
              <w:rPr/>
            </w:pPr>
            <w:r/>
            <w:r/>
          </w:p>
        </w:tc>
        <w:tc>
          <w:tcPr>
            <w:gridSpan w:val="4"/>
            <w:tcBorders/>
            <w:tcMar>
              <w:left w:w="108" w:type="dxa"/>
              <w:top w:w="0" w:type="dxa"/>
              <w:right w:w="108" w:type="dxa"/>
              <w:bottom w:w="0" w:type="dxa"/>
            </w:tcMar>
            <w:tcW w:w="79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Tổng tỷ lệ giá trị của các kết cấu chính so với tổng giá trị của ngôi nhà hoặc vật kiến trúc (%)</w:t>
            </w:r>
            <w:r/>
          </w:p>
        </w:tc>
      </w:tr>
    </w:tbl>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i/>
          <w:color w:val="000000"/>
          <w:sz w:val="24"/>
        </w:rPr>
        <w:t xml:space="preserve">Trong đó:</w:t>
      </w:r>
      <w:r/>
    </w:p>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color w:val="000000"/>
          <w:sz w:val="24"/>
        </w:rPr>
        <w:t xml:space="preserve">i: số thứ tự của kết cấu chính</w:t>
      </w:r>
      <w:r/>
    </w:p>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color w:val="000000"/>
          <w:sz w:val="24"/>
        </w:rPr>
        <w:t xml:space="preserve">n: số các kết cấu chính.</w:t>
      </w:r>
      <w:r/>
    </w:p>
    <w:p>
      <w:pPr>
        <w:numPr>
          <w:ilvl w:val="0"/>
          <w:numId w:val="42"/>
        </w:numPr>
        <w:pBdr>
          <w:top w:val="none" w:color="000000" w:sz="4" w:space="0"/>
          <w:left w:val="none" w:color="000000" w:sz="4" w:space="0"/>
          <w:bottom w:val="none" w:color="000000" w:sz="4" w:space="0"/>
          <w:right w:val="none" w:color="000000" w:sz="4" w:space="0"/>
        </w:pBdr>
        <w:spacing w:line="360" w:lineRule="auto"/>
        <w:ind/>
        <w:jc w:val="both"/>
        <w:rPr/>
      </w:pPr>
      <w:r>
        <w:rPr>
          <w:rFonts w:ascii="Times New Roman" w:hAnsi="Times New Roman" w:eastAsia="Times New Roman" w:cs="Times New Roman"/>
          <w:color w:val="000000"/>
          <w:sz w:val="24"/>
        </w:rPr>
        <w:t xml:space="preserve">Tổ thẩm định xác định tỷ lệ hao mòncủa công trình:</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1962"/>
        <w:gridCol w:w="2106"/>
        <w:gridCol w:w="2250"/>
        <w:gridCol w:w="288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Tỷ lệ hao mòn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Tỷ lệ hao mòn các kết cấu chính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21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e = c x d/g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2106" w:type="dxa"/>
            <w:vAlign w:val="top"/>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2106" w:type="dxa"/>
            <w:vAlign w:val="top"/>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2106" w:type="dxa"/>
            <w:vAlign w:val="top"/>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2106" w:type="dxa"/>
            <w:vAlign w:val="top"/>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2106" w:type="dxa"/>
            <w:vAlign w:val="top"/>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2106" w:type="dxa"/>
            <w:vAlign w:val="top"/>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2106"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63%</w:t>
            </w:r>
            <w:r/>
          </w:p>
        </w:tc>
        <w:tc>
          <w:tcPr>
            <w:tcBorders>
              <w:bottom w:val="single" w:color="000000" w:sz="8" w:space="0"/>
              <w:right w:val="single" w:color="000000" w:sz="8" w:space="0"/>
            </w:tcBorders>
            <w:tcMar>
              <w:left w:w="108" w:type="dxa"/>
              <w:top w:w="0" w:type="dxa"/>
              <w:right w:w="108" w:type="dxa"/>
              <w:bottom w:w="0" w:type="dxa"/>
            </w:tcMar>
            <w:tcW w:w="2250" w:type="dxa"/>
            <w:vAlign w:val="top"/>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2880" w:type="dxa"/>
            <w:vAlign w:val="top"/>
            <w:textDirection w:val="lrTb"/>
            <w:noWrap w:val="false"/>
          </w:tcPr>
          <w:p>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31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Tỷ lệ hao mòn:</w:t>
            </w: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8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5%</w:t>
            </w:r>
            <w:r/>
          </w:p>
        </w:tc>
      </w:tr>
    </w:tbl>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highlight w:val="yellow"/>
        </w:rPr>
      </w:pPr>
      <w:r>
        <w:rPr>
          <w:rFonts w:ascii="Times New Roman" w:hAnsi="Times New Roman" w:eastAsia="Times New Roman" w:cs="Times New Roman"/>
          <w:color w:val="000000"/>
          <w:sz w:val="24"/>
        </w:rPr>
        <w:t xml:space="preserve">Tổ thẩm</w:t>
      </w:r>
      <w:r>
        <w:rPr>
          <w:rFonts w:ascii="Times New Roman" w:hAnsi="Times New Roman" w:eastAsia="Times New Roman" w:cs="Times New Roman"/>
          <w:color w:val="000000"/>
          <w:sz w:val="24"/>
          <w:highlight w:val="none"/>
        </w:rPr>
        <w:t xml:space="preserve"> định</w:t>
      </w:r>
      <w:r>
        <w:rPr>
          <w:rFonts w:ascii="Times New Roman" w:hAnsi="Times New Roman" w:eastAsia="Times New Roman" w:cs="Times New Roman"/>
          <w:color w:val="000000"/>
          <w:sz w:val="24"/>
          <w:highlight w:val="none"/>
        </w:rPr>
        <w:t xml:space="preserve"> xác định tỉ lệ hao mòn của tài sản thẩm định là: 5%. Tương đương Tỷ lệ chất lượng còn lại của tài sản là: 95%.</w:t>
      </w:r>
      <w:r>
        <w:rPr>
          <w:highlight w:val="yellow"/>
        </w:rPr>
      </w:r>
    </w:p>
    <w:p>
      <w:pPr>
        <w:numPr>
          <w:ilvl w:val="0"/>
          <w:numId w:val="43"/>
        </w:numPr>
        <w:pBdr>
          <w:top w:val="none" w:color="000000" w:sz="4" w:space="0"/>
          <w:left w:val="none" w:color="000000" w:sz="4" w:space="0"/>
          <w:bottom w:val="none" w:color="000000" w:sz="4" w:space="0"/>
          <w:right w:val="none" w:color="000000" w:sz="4" w:space="0"/>
        </w:pBdr>
        <w:spacing w:after="60" w:before="60" w:line="276" w:lineRule="auto"/>
        <w:ind/>
        <w:jc w:val="both"/>
        <w:rPr/>
      </w:pPr>
      <w:r>
        <w:rPr>
          <w:rFonts w:ascii="Times New Roman" w:hAnsi="Times New Roman" w:eastAsia="Times New Roman" w:cs="Times New Roman"/>
          <w:b/>
          <w:color w:val="000000"/>
          <w:sz w:val="24"/>
        </w:rPr>
        <w:t xml:space="preserve">Giá trị công trình xây dựng:</w:t>
      </w:r>
      <w:r/>
    </w:p>
    <w:p>
      <w:pPr>
        <w:pStyle w:val="1035"/>
        <w:pBdr/>
        <w:spacing w:after="120" w:before="120" w:line="276" w:lineRule="auto"/>
        <w:ind w:right="0" w:firstLine="0" w:left="0"/>
        <w:jc w:val="both"/>
        <w:rPr>
          <w:b w:val="0"/>
          <w:bCs w:val="0"/>
          <w:highlight w:val="none"/>
        </w:rPr>
      </w:pPr>
      <w:r>
        <w:rPr>
          <w:b/>
          <w:lang w:val="pt-BR"/>
        </w:rPr>
      </w:r>
      <w:r>
        <w:rPr>
          <w:rFonts w:ascii="Times New Roman" w:hAnsi="Times New Roman" w:eastAsia="Times New Roman" w:cs="Times New Roman"/>
          <w:i w:val="0"/>
          <w:iCs w:val="0"/>
          <w:color w:val="000000"/>
          <w:spacing w:val="3"/>
          <w:sz w:val="24"/>
          <w:highlight w:val="white"/>
        </w:rPr>
        <w:t xml:space="preserve">Q</w:t>
      </w:r>
      <w:r>
        <w:rPr>
          <w:rFonts w:ascii="Times New Roman" w:hAnsi="Times New Roman" w:eastAsia="Times New Roman" w:cs="Times New Roman"/>
          <w:i w:val="0"/>
          <w:iCs w:val="0"/>
          <w:color w:val="000000"/>
          <w:spacing w:val="3"/>
          <w:sz w:val="24"/>
          <w:highlight w:val="white"/>
        </w:rPr>
        <w:t xml:space="preserve">ua khảo sát hiện trạng, tổ thẩm định nhận thấy rằng công trình xây dựng là 01 Nhà liền kề 5 tầng, hiện trạng nhà xây thô hoàn thiện mặt ngoài, kết cấu BTCT</w:t>
      </w:r>
      <w:r>
        <w:rPr>
          <w:b/>
          <w:bCs/>
          <w:lang w:val="pt-BR"/>
        </w:rPr>
        <w:t xml:space="preserve">. </w:t>
      </w:r>
      <w:r>
        <w:rPr>
          <w:b w:val="0"/>
          <w:bCs w:val="0"/>
          <w:lang w:val="pt-BR"/>
        </w:rPr>
        <w:t xml:space="preserve">Khi đó, Giá trị Công trình xây dựng gắn liền với đất được xác định như sau:</w:t>
      </w:r>
      <w:r>
        <w:rPr>
          <w:b w:val="0"/>
          <w:bCs w:val="0"/>
          <w:lang w:val="pt-BR"/>
        </w:rPr>
      </w:r>
    </w:p>
    <w:p>
      <w:pPr>
        <w:pStyle w:val="1035"/>
        <w:pBdr/>
        <w:spacing w:after="120" w:before="120" w:line="276" w:lineRule="auto"/>
        <w:ind w:right="0" w:firstLine="0" w:left="0"/>
        <w:jc w:val="center"/>
        <w:rPr>
          <w:b/>
          <w:bCs/>
          <w:highlight w:val="none"/>
          <w:lang w:val="pt-BR" w:bidi="pt-BR"/>
        </w:rPr>
      </w:pPr>
      <w:r>
        <w:rPr>
          <w:b/>
          <w:bCs/>
          <w:highlight w:val="none"/>
          <w:lang w:val="pt-BR" w:bidi="pt-BR"/>
        </w:rPr>
        <w:t xml:space="preserve">Giá trị Công trình xây dựng = Đơn giá x Tỷ lệ mức độ hoàn thiện x Tỷ lệ CLCL</w:t>
      </w:r>
      <w:r>
        <w:rPr>
          <w:b/>
          <w:bCs/>
          <w:highlight w:val="none"/>
          <w:lang w:val="pt-BR" w:bidi="pt-BR"/>
        </w:rPr>
      </w:r>
      <w:r>
        <w:rPr>
          <w:b/>
          <w:bCs/>
          <w:lang w:val="pt-BR"/>
        </w:rPr>
      </w:r>
    </w:p>
    <w:p>
      <w:pPr>
        <w:pStyle w:val="1035"/>
        <w:pBdr/>
        <w:spacing w:after="120" w:before="120" w:line="276" w:lineRule="auto"/>
        <w:ind w:right="0" w:firstLine="0" w:left="0"/>
        <w:jc w:val="center"/>
        <w:rPr>
          <w:b/>
          <w:bCs/>
          <w:lang w:val="pt-BR"/>
        </w:rPr>
      </w:pPr>
      <w:r>
        <w:rPr>
          <w:b/>
          <w:bCs/>
          <w:highlight w:val="none"/>
          <w:lang w:val="pt-BR" w:bidi="pt-BR"/>
        </w:rPr>
      </w:r>
      <w:r>
        <w:rPr>
          <w:b/>
          <w:bCs/>
          <w:highlight w:val="none"/>
          <w:lang w:val="pt-BR" w:bidi="pt-BR"/>
        </w:rPr>
        <w:t xml:space="preserve">Tỷ lệ mức độ hoàn thiện x Tỷ lệ CLCL</w:t>
      </w:r>
      <w:r/>
      <w:r>
        <w:rPr>
          <w:b/>
          <w:bCs/>
          <w:highlight w:val="none"/>
          <w:lang w:val="pt-BR" w:bidi="pt-BR"/>
        </w:rPr>
      </w:r>
      <w:r>
        <w:rPr>
          <w:b/>
          <w:bCs/>
          <w:highlight w:val="none"/>
          <w:lang w:val="pt-BR" w:bidi="pt-BR"/>
        </w:rPr>
        <w:t xml:space="preserve"> = 95% x 65% = 62%.</w:t>
      </w:r>
      <w:r>
        <w:rPr>
          <w:b/>
          <w:bCs/>
          <w:highlight w:val="none"/>
          <w:lang w:val="pt-BR" w:bidi="pt-BR"/>
        </w:rPr>
      </w:r>
    </w:p>
    <w:p>
      <w:pPr>
        <w:pStyle w:val="103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color w:val="000000" w:themeColor="text1"/>
          <w:lang w:val="pt-BR"/>
        </w:rP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r>
        <w:rPr>
          <w:highlight w:val="none"/>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24"/>
        <w:gridCol w:w="2141"/>
        <w:gridCol w:w="1417"/>
        <w:gridCol w:w="1765"/>
        <w:gridCol w:w="1749"/>
        <w:gridCol w:w="1710"/>
      </w:tblGrid>
      <w:tr>
        <w:trPr>
          <w:trHeight w:val="312"/>
        </w:trPr>
        <w:tc>
          <w:tcPr>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TT</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2141"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Tài sản</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417"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Diện tích (m²)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765"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Đơn giá (đồng/m²)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749"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Tỷ lệ CLCL x Tỷ lệ hoàn thiện (%)</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Thành tiền (đồng)</w:t>
            </w:r>
            <w:r>
              <w:rPr>
                <w:highlight w:val="white"/>
              </w:rPr>
            </w:r>
            <w:r>
              <w:rPr>
                <w:highlight w:val="white"/>
              </w:rPr>
            </w:r>
          </w:p>
        </w:tc>
      </w:tr>
      <w:tr>
        <w:trPr>
          <w:trHeight w:val="1764"/>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highlight w:val="white"/>
              </w:rPr>
            </w:r>
            <w:r>
              <w:rPr>
                <w:highlight w:val="white"/>
              </w:rPr>
            </w:r>
            <w:r>
              <w:rPr>
                <w:highlight w:val="white"/>
              </w:rPr>
            </w:r>
          </w:p>
        </w:tc>
        <w:tc>
          <w:tcPr>
            <w:gridSpan w:val="4"/>
            <w:shd w:val="clear" w:color="f2f2f2" w:fill="f2f2f2"/>
            <w:tcBorders>
              <w:top w:val="single" w:color="000000" w:sz="5" w:space="0"/>
              <w:bottom w:val="single" w:color="000000" w:sz="5" w:space="0"/>
              <w:right w:val="single" w:color="000000" w:sz="4" w:space="0"/>
            </w:tcBorders>
            <w:tcMar>
              <w:left w:w="15" w:type="dxa"/>
              <w:top w:w="15" w:type="dxa"/>
              <w:right w:w="15" w:type="dxa"/>
              <w:bottom w:w="0" w:type="dxa"/>
            </w:tcMar>
            <w:tcW w:w="7072" w:type="dxa"/>
            <w:vAlign w:val="center"/>
            <w:textDirection w:val="lrTb"/>
            <w:noWrap w:val="false"/>
          </w:tcPr>
          <w:p>
            <w:pPr>
              <w:pBdr/>
              <w:shd w:val="clear" w:color="ffffff" w:themeColor="background1" w:fill="ffffff" w:themeFill="background1"/>
              <w:spacing w:after="0" w:before="0" w:line="240" w:lineRule="auto"/>
              <w:ind w:right="97" w:firstLine="0" w:left="142"/>
              <w:jc w:val="both"/>
              <w:rPr>
                <w:highlight w:val="white"/>
              </w:rPr>
            </w:pPr>
            <w:r>
              <w:rPr>
                <w:rFonts w:ascii="Times New Roman" w:hAnsi="Times New Roman" w:eastAsia="Times New Roman" w:cs="Times New Roman"/>
                <w:b/>
                <w:color w:val="000000"/>
                <w:sz w:val="24"/>
                <w:highlight w:val="white"/>
              </w:rPr>
              <w:t xml:space="preserve">Quyền sử dụng đất và tài sản gắn liền với đất tại thửa đất số: LK31.07 có địa chỉ: LK31.07, Khu đô thị mới Kim Chung - Di Trạch, xã Di Trạch, huyện Hoài Đức, thành phố Hà Nội (nay là xã Hoài Đức, thành phố Hà Nội) theo Giấy chứng nhận quyền sử dụng đất, qu</w:t>
            </w:r>
            <w:r>
              <w:rPr>
                <w:rFonts w:ascii="Times New Roman" w:hAnsi="Times New Roman" w:eastAsia="Times New Roman" w:cs="Times New Roman"/>
                <w:b/>
                <w:color w:val="000000"/>
                <w:sz w:val="24"/>
                <w:highlight w:val="white"/>
              </w:rPr>
              <w:t xml:space="preserve">yền sở hữu tài sản gắn liền với đất số: AA 01714590, số vào sổ cấp GCN: VP 19591 do Văn phòng Đăng ký đất đai Hà Nội cấp ngày 21/06/2025; Chủ sử dụng đất là ông Trần Tuấn Anh và bà Nguyễn Thị Thuý.</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0" w:before="0" w:line="240" w:lineRule="auto"/>
              <w:ind/>
              <w:jc w:val="right"/>
              <w:rPr>
                <w:highlight w:val="white"/>
              </w:rPr>
            </w:pPr>
            <w:r>
              <w:rPr>
                <w:rFonts w:ascii="Times New Roman" w:hAnsi="Times New Roman" w:eastAsia="Times New Roman" w:cs="Times New Roman"/>
                <w:b/>
                <w:color w:val="000000"/>
                <w:sz w:val="24"/>
                <w:highlight w:val="white"/>
              </w:rPr>
              <w:t xml:space="preserve"> </w:t>
            </w:r>
            <w:r>
              <w:rPr>
                <w:highlight w:val="white"/>
              </w:rPr>
            </w:r>
            <w:r>
              <w:rPr>
                <w:highlight w:val="white"/>
              </w:rPr>
            </w:r>
          </w:p>
        </w:tc>
      </w:tr>
      <w:tr>
        <w:trPr>
          <w:trHeight w:val="402"/>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highlight w:val="none"/>
              </w:rPr>
              <w:t xml:space="preserve">01</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141"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Đất ở tại đô thị</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417"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117,7</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65"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174.000.000</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4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none"/>
              </w:rPr>
              <w:t xml:space="preserve">100%</w:t>
            </w:r>
            <w:r>
              <w:rPr>
                <w:rFonts w:ascii="Times New Roman" w:hAnsi="Times New Roman" w:eastAsia="Times New Roman" w:cs="Times New Roman"/>
                <w:color w:val="000000"/>
                <w:sz w:val="24"/>
                <w:highlight w:val="white"/>
              </w:rPr>
              <w:t xml:space="preserve"> </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0" w:before="0" w:line="240" w:lineRule="auto"/>
              <w:ind w:right="121" w:firstLine="0" w:left="0"/>
              <w:jc w:val="right"/>
              <w:rPr>
                <w:highlight w:val="white"/>
              </w:rPr>
            </w:pPr>
            <w:r>
              <w:rPr>
                <w:rFonts w:ascii="Times New Roman" w:hAnsi="Times New Roman" w:eastAsia="Times New Roman" w:cs="Times New Roman"/>
                <w:color w:val="000000"/>
                <w:sz w:val="24"/>
                <w:highlight w:val="white"/>
              </w:rPr>
              <w:t xml:space="preserve">20.479.800.000</w:t>
            </w:r>
            <w:r>
              <w:rPr>
                <w:highlight w:val="white"/>
              </w:rPr>
            </w:r>
            <w:r>
              <w:rPr>
                <w:highlight w:val="white"/>
              </w:rPr>
            </w:r>
          </w:p>
        </w:tc>
      </w:tr>
      <w:tr>
        <w:trPr>
          <w:trHeight w:val="432"/>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724"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color w:val="000000"/>
                <w:sz w:val="24"/>
                <w:highlight w:val="white"/>
              </w:rPr>
              <w:t xml:space="preserve"> 02</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141"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Nhà liền kề </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417"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349,4</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65"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6.640.633</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4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none"/>
              </w:rPr>
            </w:pPr>
            <w:r>
              <w:rPr>
                <w:rFonts w:ascii="Times New Roman" w:hAnsi="Times New Roman" w:eastAsia="Times New Roman" w:cs="Times New Roman"/>
                <w:color w:val="000000"/>
                <w:sz w:val="24"/>
                <w:highlight w:val="none"/>
              </w:rPr>
              <w:t xml:space="preserve">62%</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val="false"/>
          </w:tcPr>
          <w:p>
            <w:pPr>
              <w:pBdr/>
              <w:shd w:val="clear" w:color="ffffff" w:themeColor="background1" w:fill="ffffff" w:themeFill="background1"/>
              <w:spacing w:after="40" w:before="40" w:line="288" w:lineRule="auto"/>
              <w:ind w:right="121" w:firstLine="0" w:left="0"/>
              <w:jc w:val="right"/>
              <w:rPr>
                <w:highlight w:val="white"/>
              </w:rPr>
            </w:pPr>
            <w:r>
              <w:rPr>
                <w:color w:val="000000" w:themeColor="text1"/>
                <w:highlight w:val="white"/>
              </w:rPr>
              <w:t xml:space="preserve">1.4</w:t>
            </w:r>
            <w:r>
              <w:rPr>
                <w:color w:val="000000" w:themeColor="text1"/>
                <w:highlight w:val="none"/>
              </w:rPr>
              <w:t xml:space="preserve">38.547.046</w:t>
            </w:r>
            <w:r>
              <w:rPr>
                <w:highlight w:val="white"/>
              </w:rPr>
            </w:r>
            <w:r>
              <w:rPr>
                <w:highlight w:val="white"/>
              </w:rPr>
            </w:r>
          </w:p>
        </w:tc>
      </w:tr>
      <w:tr>
        <w:trPr>
          <w:trHeight w:val="312"/>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779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TỔNG CỘNG:</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tcPr>
          <w:p>
            <w:pPr>
              <w:pBdr/>
              <w:shd w:val="clear" w:color="ffffff" w:themeColor="background1" w:fill="ffffff" w:themeFill="background1"/>
              <w:spacing w:after="40" w:before="40" w:line="288" w:lineRule="auto"/>
              <w:ind w:right="121" w:firstLine="0" w:left="0"/>
              <w:jc w:val="right"/>
              <w:rPr>
                <w:b/>
                <w:bCs/>
                <w:color w:val="000000"/>
                <w:highlight w:val="white"/>
              </w:rPr>
            </w:pPr>
            <w:r>
              <w:rPr>
                <w:b/>
                <w:bCs/>
                <w:highlight w:val="white"/>
              </w:rPr>
              <w:t xml:space="preserve">21.91</w:t>
            </w:r>
            <w:r>
              <w:rPr>
                <w:b/>
                <w:bCs/>
                <w:highlight w:val="none"/>
              </w:rPr>
              <w:t xml:space="preserve">8.347.046</w:t>
            </w:r>
            <w:r>
              <w:rPr>
                <w:b/>
                <w:bCs/>
                <w:color w:val="000000"/>
                <w:highlight w:val="white"/>
              </w:rPr>
            </w:r>
            <w:r>
              <w:rPr>
                <w:b/>
                <w:bCs/>
                <w:color w:val="000000"/>
                <w:highlight w:val="white"/>
              </w:rPr>
            </w:r>
          </w:p>
        </w:tc>
      </w:tr>
      <w:tr>
        <w:trPr>
          <w:trHeight w:val="300"/>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779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LÀM TRÒN:</w:t>
            </w:r>
            <w:r>
              <w:rPr>
                <w:highlight w:val="white"/>
              </w:rPr>
            </w:r>
            <w:r>
              <w:rPr>
                <w:highlight w:val="whit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710" w:type="dxa"/>
            <w:vAlign w:val="center"/>
            <w:textDirection w:val="lrTb"/>
            <w:noWrap/>
          </w:tcPr>
          <w:p>
            <w:pPr>
              <w:pBdr/>
              <w:shd w:val="clear" w:color="ffffff" w:themeColor="background1" w:fill="ffffff" w:themeFill="background1"/>
              <w:spacing w:after="40" w:before="40" w:line="288" w:lineRule="auto"/>
              <w:ind w:right="121" w:firstLine="0" w:left="0"/>
              <w:jc w:val="right"/>
              <w:rPr>
                <w:b/>
                <w:bCs/>
                <w:color w:val="000000"/>
                <w:highlight w:val="white"/>
              </w:rPr>
            </w:pPr>
            <w:r>
              <w:rPr>
                <w:b/>
                <w:bCs/>
                <w:color w:val="000000"/>
                <w:highlight w:val="white"/>
              </w:rPr>
              <w:t xml:space="preserve">21.918.000.000</w:t>
            </w:r>
            <w:r>
              <w:rPr>
                <w:b/>
                <w:bCs/>
                <w:color w:val="000000"/>
                <w:highlight w:val="white"/>
              </w:rPr>
            </w:r>
            <w:r>
              <w:rPr>
                <w:b/>
                <w:bCs/>
                <w:color w:val="000000"/>
                <w:highlight w:val="white"/>
              </w:rPr>
            </w:r>
          </w:p>
        </w:tc>
      </w:tr>
      <w:tr>
        <w:trPr>
          <w:trHeight w:val="300"/>
        </w:trPr>
        <w:tc>
          <w:tcPr>
            <w:gridSpan w:val="6"/>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9506" w:type="dxa"/>
            <w:vAlign w:val="center"/>
            <w:vMerge w:val="restart"/>
            <w:textDirection w:val="lrTb"/>
            <w:noWrap/>
          </w:tcPr>
          <w:p>
            <w:pPr>
              <w:pBdr/>
              <w:spacing w:after="40" w:before="40" w:line="288" w:lineRule="auto"/>
              <w:ind/>
              <w:jc w:val="center"/>
              <w:rPr>
                <w:b/>
                <w:bCs/>
                <w:i/>
                <w:iCs/>
                <w:color w:val="000000"/>
                <w:highlight w:val="white"/>
              </w:rPr>
            </w:pPr>
            <w:r>
              <w:rPr>
                <w:b/>
                <w:bCs/>
                <w:i/>
                <w:iCs/>
                <w:color w:val="000000"/>
                <w:highlight w:val="white"/>
              </w:rPr>
              <w:t xml:space="preserve">(</w:t>
            </w:r>
            <w:r>
              <w:rPr>
                <w:b/>
                <w:bCs/>
                <w:i/>
                <w:iCs/>
                <w:color w:val="000000"/>
                <w:highlight w:val="white"/>
              </w:rPr>
              <w:t xml:space="preserve">Bằng</w:t>
            </w:r>
            <w:r>
              <w:rPr>
                <w:b/>
                <w:bCs/>
                <w:i/>
                <w:iCs/>
                <w:color w:val="000000"/>
                <w:highlight w:val="white"/>
              </w:rPr>
              <w:t xml:space="preserve"> </w:t>
            </w:r>
            <w:r>
              <w:rPr>
                <w:b/>
                <w:bCs/>
                <w:i/>
                <w:iCs/>
                <w:color w:val="000000"/>
                <w:highlight w:val="white"/>
              </w:rPr>
              <w:t xml:space="preserve">chữ</w:t>
            </w:r>
            <w:r>
              <w:rPr>
                <w:b/>
                <w:bCs/>
                <w:i/>
                <w:iCs/>
                <w:color w:val="000000"/>
                <w:highlight w:val="white"/>
              </w:rPr>
              <w:t xml:space="preserve">: </w:t>
            </w:r>
            <w:r>
              <w:rPr>
                <w:b/>
                <w:bCs/>
                <w:i/>
                <w:iCs/>
                <w:color w:val="000000"/>
                <w:highlight w:val="white"/>
              </w:rPr>
              <w:t xml:space="preserve">Hai mươi mốt tỷ, chín trăm mười tám triệu đồng</w:t>
            </w:r>
            <w:r>
              <w:rPr>
                <w:b/>
                <w:bCs/>
                <w:i/>
                <w:iCs/>
                <w:color w:val="000000"/>
                <w:highlight w:val="white"/>
              </w:rPr>
              <w:t xml:space="preserve">./.)</w:t>
            </w:r>
            <w:r>
              <w:rPr>
                <w:b/>
                <w:bCs/>
                <w:i/>
                <w:iCs/>
                <w:color w:val="000000"/>
                <w:highlight w:val="white"/>
              </w:rPr>
            </w:r>
            <w:r>
              <w:rPr>
                <w:b/>
                <w:bCs/>
                <w:i/>
                <w:iCs/>
                <w:color w:val="000000"/>
                <w:highlight w:val="white"/>
              </w:rP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5"/>
        </w:numPr>
        <w:pBdr/>
        <w:tabs>
          <w:tab w:val="left" w:leader="none" w:pos="993"/>
        </w:tabs>
        <w:spacing w:after="120" w:before="120" w:line="288" w:lineRule="auto"/>
        <w:ind w:hanging="357" w:left="357"/>
        <w:jc w:val="both"/>
        <w:rPr>
          <w:lang w:val="pt-BR"/>
        </w:rPr>
      </w:pPr>
      <w:r/>
      <w:bookmarkStart w:id="3"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3"/>
      <w:r>
        <w:rPr>
          <w:lang w:val="pt-BR"/>
        </w:rPr>
      </w:r>
      <w:r>
        <w:rPr>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highlight w:val="none"/>
          <w:lang w:val="pt-BR"/>
        </w:rPr>
      </w:r>
      <w:r>
        <w:rPr>
          <w:b/>
          <w:bCs/>
          <w:highlight w:val="none"/>
          <w:lang w:val="pt-BR"/>
        </w:rPr>
      </w:r>
    </w:p>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275/2026/0480/VFI-CT.17.A</w:t>
      </w:r>
      <w:r>
        <w:rPr>
          <w:color w:val="ff0000"/>
          <w:lang w:val="vi-VN"/>
        </w:rPr>
        <w:t xml:space="preserve"> </w:t>
      </w:r>
      <w:r>
        <w:rPr>
          <w:color w:val="000000" w:themeColor="text1"/>
        </w:rPr>
        <w:t xml:space="preserve">ngày 27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5009" w:type="pct"/>
        <w:tblBorders/>
        <w:tblLayout w:type="fixed"/>
        <w:tblLook w:val="01E0" w:firstRow="1" w:lastRow="1" w:firstColumn="1" w:lastColumn="1" w:noHBand="0" w:noVBand="0"/>
      </w:tblPr>
      <w:tblGrid>
        <w:gridCol w:w="4608"/>
        <w:gridCol w:w="5220"/>
      </w:tblGrid>
      <w:tr>
        <w:trPr>
          <w:trHeight w:val="20"/>
        </w:trPr>
        <w:tc>
          <w:tcPr>
            <w:tcBorders/>
            <w:tcW w:w="460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2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0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22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0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22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bCs/>
          <w:u w:val="single"/>
          <w:lang w:val="vi-VN"/>
        </w:rPr>
      </w:pPr>
      <w:r>
        <w:rPr>
          <w:b/>
          <w:u w:val="single"/>
          <w:lang w:val="vi-VN"/>
        </w:rPr>
      </w:r>
      <w:r>
        <w:rPr>
          <w:b/>
          <w:bCs/>
          <w:u w:val="single"/>
          <w:lang w:val="vi-VN"/>
        </w:rPr>
      </w:r>
      <w:r>
        <w:rPr>
          <w:b/>
          <w:bCs/>
          <w:u w:val="single"/>
          <w:lang w:val="vi-VN"/>
        </w:rPr>
      </w:r>
    </w:p>
    <w:p>
      <w:pPr>
        <w:pBdr/>
        <w:spacing w:after="200" w:line="276" w:lineRule="auto"/>
        <w:ind/>
        <w:jc w:val="center"/>
        <w:rPr>
          <w:b/>
          <w:bCs/>
          <w:u w:val="single"/>
          <w:lang w:val="vi-VN"/>
        </w:rPr>
      </w:pPr>
      <w:r>
        <w:rPr>
          <w:b/>
          <w:u w:val="single"/>
          <w:lang w:val="vi-VN"/>
        </w:rPr>
      </w:r>
      <w:r>
        <w:rPr>
          <w:b/>
          <w:bCs/>
          <w:u w:val="single"/>
          <w:lang w:val="vi-VN"/>
        </w:rPr>
      </w:r>
      <w:r>
        <w:rPr>
          <w:b/>
          <w:bCs/>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CHẤT LƯỢNG</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275/2026/0480/VFI-BC.17.A</w:t>
      </w:r>
      <w:r>
        <w:rPr>
          <w:i/>
        </w:rPr>
        <w:t xml:space="preserve"> </w:t>
      </w:r>
      <w:r>
        <w:rPr>
          <w:i/>
        </w:rPr>
        <w:t xml:space="preserve">ngày</w:t>
      </w:r>
      <w:r>
        <w:rPr>
          <w:i/>
          <w:lang w:val="pt-BR"/>
        </w:rPr>
        <w:t xml:space="preserve"> </w:t>
      </w:r>
      <w:r>
        <w:rPr>
          <w:i/>
          <w:lang w:val="pt-BR"/>
        </w:rPr>
        <w:t xml:space="preserve">27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58663" cy="342188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67600" name=""/>
                              <pic:cNvPicPr>
                                <a:picLocks noChangeAspect="1"/>
                              </pic:cNvPicPr>
                              <pic:nvPr/>
                            </pic:nvPicPr>
                            <pic:blipFill rotWithShape="1">
                              <a:blip r:embed="rId18"/>
                              <a:srcRect l="0" t="10936" r="0" b="16926"/>
                              <a:stretch/>
                            </pic:blipFill>
                            <pic:spPr bwMode="auto">
                              <a:xfrm flipH="0" flipV="0">
                                <a:off x="0" y="0"/>
                                <a:ext cx="2658662" cy="34218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9.34pt;height:269.44pt;mso-wrap-distance-left:0.00pt;mso-wrap-distance-top:0.00pt;mso-wrap-distance-right:0.00pt;mso-wrap-distance-bottom:0.00pt;z-index:1;" stroked="false">
                      <v:imagedata r:id="rId18" o:title="" croptop="7167f" cropleft="0f" cropbottom="11093f" cropright="0f"/>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11923" cy="334923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42280" name=""/>
                              <pic:cNvPicPr>
                                <a:picLocks noChangeAspect="1"/>
                              </pic:cNvPicPr>
                              <pic:nvPr/>
                            </pic:nvPicPr>
                            <pic:blipFill rotWithShape="1">
                              <a:blip r:embed="rId19"/>
                              <a:stretch/>
                            </pic:blipFill>
                            <pic:spPr bwMode="auto">
                              <a:xfrm flipH="0" flipV="0">
                                <a:off x="0" y="0"/>
                                <a:ext cx="2511922" cy="3349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7.79pt;height:263.72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74880" cy="193116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2703" name=""/>
                              <pic:cNvPicPr>
                                <a:picLocks noChangeAspect="1"/>
                              </pic:cNvPicPr>
                              <pic:nvPr/>
                            </pic:nvPicPr>
                            <pic:blipFill rotWithShape="1">
                              <a:blip r:embed="rId20"/>
                              <a:stretch/>
                            </pic:blipFill>
                            <pic:spPr bwMode="auto">
                              <a:xfrm flipH="0" flipV="0">
                                <a:off x="0" y="0"/>
                                <a:ext cx="2574879" cy="19311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2.75pt;height:152.06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30835" cy="189812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23228" name=""/>
                              <pic:cNvPicPr>
                                <a:picLocks noChangeAspect="1"/>
                              </pic:cNvPicPr>
                              <pic:nvPr/>
                            </pic:nvPicPr>
                            <pic:blipFill rotWithShape="1">
                              <a:blip r:embed="rId21"/>
                              <a:stretch/>
                            </pic:blipFill>
                            <pic:spPr bwMode="auto">
                              <a:xfrm flipH="0" flipV="0">
                                <a:off x="0" y="0"/>
                                <a:ext cx="2530834" cy="18981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9.28pt;height:149.46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73909" cy="1930432"/>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97858" name=""/>
                              <pic:cNvPicPr>
                                <a:picLocks noChangeAspect="1"/>
                              </pic:cNvPicPr>
                              <pic:nvPr/>
                            </pic:nvPicPr>
                            <pic:blipFill rotWithShape="1">
                              <a:blip r:embed="rId22"/>
                              <a:stretch/>
                            </pic:blipFill>
                            <pic:spPr bwMode="auto">
                              <a:xfrm flipH="0" flipV="0">
                                <a:off x="0" y="0"/>
                                <a:ext cx="2573908" cy="19304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2.67pt;height:152.00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25193" cy="189389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32289" name=""/>
                              <pic:cNvPicPr>
                                <a:picLocks noChangeAspect="1"/>
                              </pic:cNvPicPr>
                              <pic:nvPr/>
                            </pic:nvPicPr>
                            <pic:blipFill rotWithShape="1">
                              <a:blip r:embed="rId23"/>
                              <a:stretch/>
                            </pic:blipFill>
                            <pic:spPr bwMode="auto">
                              <a:xfrm flipH="0" flipV="0">
                                <a:off x="0" y="0"/>
                                <a:ext cx="2525193" cy="18938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8.83pt;height:149.13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highlight w:val="none"/>
        </w:rPr>
      </w:pPr>
      <w:r>
        <w:br w:type="page" w:clear="all"/>
      </w:r>
      <w:r>
        <w:rPr>
          <w:highlight w:val="none"/>
        </w:rPr>
      </w:r>
      <w:r>
        <w:rPr>
          <w:highlight w:val="none"/>
        </w:rPr>
      </w:r>
    </w:p>
    <w:p>
      <w:pPr>
        <w:pBdr/>
        <w:spacing w:after="200" w:line="276" w:lineRule="auto"/>
        <w:ind/>
        <w:jc w:val="center"/>
        <w:rPr/>
      </w:pPr>
      <w:r>
        <w:rPr>
          <w:highlight w:val="none"/>
        </w:rPr>
      </w:r>
      <w:r>
        <mc:AlternateContent>
          <mc:Choice Requires="wpg">
            <w:drawing>
              <wp:inline xmlns:wp="http://schemas.openxmlformats.org/drawingml/2006/wordprocessingDrawing" distT="0" distB="0" distL="0" distR="0">
                <wp:extent cx="5924890" cy="900058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32887" name=""/>
                        <pic:cNvPicPr>
                          <a:picLocks noChangeAspect="1"/>
                        </pic:cNvPicPr>
                        <pic:nvPr/>
                      </pic:nvPicPr>
                      <pic:blipFill rotWithShape="1">
                        <a:blip r:embed="rId24"/>
                        <a:stretch/>
                      </pic:blipFill>
                      <pic:spPr bwMode="auto">
                        <a:xfrm flipH="0" flipV="0">
                          <a:off x="0" y="0"/>
                          <a:ext cx="5924889" cy="90005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66.53pt;height:708.71pt;mso-wrap-distance-left:0.00pt;mso-wrap-distance-top:0.00pt;mso-wrap-distance-right:0.00pt;mso-wrap-distance-bottom:0.00pt;z-index:1;" stroked="false">
                <v:imagedata r:id="rId24" o:title=""/>
                <o:lock v:ext="edit" rotation="t"/>
              </v:shape>
            </w:pict>
          </mc:Fallback>
        </mc:AlternateContent>
      </w:r>
      <w:r>
        <w:rPr>
          <w:highlight w:val="none"/>
        </w:rPr>
      </w:r>
      <w:r/>
    </w:p>
    <w:p>
      <w:pPr>
        <w:pBdr/>
        <w:spacing w:after="200" w:line="276" w:lineRule="auto"/>
        <w:ind/>
        <w:jc w:val="center"/>
        <w:rPr>
          <w:bCs/>
          <w:i/>
          <w:lang w:val="pt-BR"/>
        </w:rPr>
      </w:pPr>
      <w:r>
        <w:rPr>
          <w:b/>
          <w:highlight w:val="none"/>
        </w:rPr>
      </w:r>
      <w:r>
        <w:rPr>
          <w:bCs/>
          <w:i/>
          <w:lang w:val="pt-BR"/>
        </w:rPr>
      </w:r>
      <w:r>
        <w:rPr>
          <w:bCs/>
          <w:i/>
          <w:lang w:val="pt-BR"/>
        </w:rPr>
      </w:r>
    </w:p>
    <w:p>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715" cy="913393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7033" name=""/>
                        <pic:cNvPicPr>
                          <a:picLocks noChangeAspect="1"/>
                        </pic:cNvPicPr>
                        <pic:nvPr/>
                      </pic:nvPicPr>
                      <pic:blipFill rotWithShape="1">
                        <a:blip r:embed="rId25"/>
                        <a:stretch/>
                      </pic:blipFill>
                      <pic:spPr bwMode="auto">
                        <a:xfrm flipH="0" flipV="0">
                          <a:off x="0" y="0"/>
                          <a:ext cx="6048714" cy="91339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8pt;height:719.21pt;mso-wrap-distance-left:0.00pt;mso-wrap-distance-top:0.00pt;mso-wrap-distance-right:0.00pt;mso-wrap-distance-bottom:0.00pt;z-index:1;" stroked="false">
                <v:imagedata r:id="rId25" o:title=""/>
                <o:lock v:ext="edit" rotation="t"/>
              </v:shape>
            </w:pict>
          </mc:Fallback>
        </mc:AlternateContent>
      </w:r>
      <w:r>
        <w:rPr>
          <w:b/>
          <w:bCs/>
          <w:highlight w:val="none"/>
        </w:rPr>
      </w:r>
      <w:r>
        <w:rPr>
          <w:b/>
          <w:bCs/>
          <w:highlight w:val="none"/>
        </w:rPr>
      </w:r>
    </w:p>
    <w:p>
      <w:pPr>
        <w:pBdr/>
        <w:spacing w:after="200" w:line="276" w:lineRule="auto"/>
        <w:ind/>
        <w:jc w:val="center"/>
        <w:rPr>
          <w:b/>
          <w:bCs/>
          <w:highlight w:val="none"/>
        </w:rPr>
      </w:pPr>
      <w:r>
        <w:rPr>
          <w:b/>
          <w:highlight w:val="none"/>
        </w:rPr>
      </w:r>
      <w:r>
        <w:rPr>
          <w:b/>
          <w:bCs/>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275/2026/0480/VFI-BC.17.A</w:t>
      </w:r>
      <w:r>
        <w:rPr>
          <w:i/>
        </w:rPr>
        <w:t xml:space="preserve"> </w:t>
      </w:r>
      <w:r>
        <w:rPr>
          <w:i/>
        </w:rPr>
        <w:t xml:space="preserve">ngày</w:t>
      </w:r>
      <w:r>
        <w:rPr>
          <w:i/>
          <w:lang w:val="pt-BR"/>
        </w:rPr>
        <w:t xml:space="preserve"> </w:t>
      </w:r>
      <w:r>
        <w:rPr>
          <w:i/>
          <w:lang w:val="pt-BR"/>
        </w:rPr>
        <w:t xml:space="preserve">27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3078"/>
        <w:gridCol w:w="612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0914.203856</w:t>
            </w:r>
            <w:r>
              <w:rPr>
                <w:sz w:val="22"/>
                <w:szCs w:val="22"/>
              </w:rPr>
              <w:t xml:space="preserve"> </w:t>
            </w:r>
            <w:r>
              <w:rPr>
                <w:sz w:val="22"/>
                <w:szCs w:val="22"/>
              </w:rPr>
              <w:br/>
              <w:t xml:space="preserve">(A.Kỳ</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22.000.000.000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19.140.000.000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100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17818" cy="3963256"/>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2517818" cy="396325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98.25pt;height:312.07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431328" cy="3963256"/>
                      <wp:effectExtent l="0" t="0" r="0" b="0"/>
                      <wp:docPr id="15" name=""/>
                      <wp:cNvGraphicFramePr/>
                      <a:graphic xmlns:a="http://schemas.openxmlformats.org/drawingml/2006/main">
                        <a:graphicData uri="http://schemas.openxmlformats.org/drawingml/2006/picture">
                          <pic:pic xmlns:pic="http://schemas.openxmlformats.org/drawingml/2006/picture">
                            <pic:nvPicPr>
                              <pic:cNvPr id="738195148" name="" descr=""/>
                              <pic:cNvPicPr/>
                              <pic:nvPr/>
                            </pic:nvPicPr>
                            <pic:blipFill rotWithShape="1">
                              <a:blip r:embed="rId27"/>
                              <a:stretch/>
                            </pic:blipFill>
                            <pic:spPr bwMode="auto">
                              <a:xfrm flipH="0" flipV="0">
                                <a:off x="0" y="0"/>
                                <a:ext cx="2431327" cy="396325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91.44pt;height:312.07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rPr>
                <w:color w:val="000000"/>
                <w:sz w:val="22"/>
                <w:szCs w:val="22"/>
              </w:rPr>
            </w:pPr>
            <w:r>
              <w:rPr>
                <w:color w:val="000000"/>
                <w:sz w:val="22"/>
                <w:szCs w:val="22"/>
                <w:highlight w:val="none"/>
              </w:rPr>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34616" cy="3967035"/>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5334615" cy="39670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20.05pt;height:312.36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tbl>
      <w:tblPr>
        <w:jc w:val="center"/>
        <w:tblW w:w="8488" w:type="dxa"/>
        <w:tblBorders/>
        <w:tblLook w:val="04A0" w:firstRow="1" w:lastRow="0" w:firstColumn="1" w:lastColumn="0" w:noHBand="0" w:noVBand="1"/>
      </w:tblPr>
      <w:tblGrid>
        <w:gridCol w:w="4676"/>
      </w:tblGrid>
      <w:tr>
        <w:trPr>
          <w:jc w:val="center"/>
          <w:trHeight w:val="283"/>
        </w:trPr>
        <w:tc>
          <w:tcPr>
            <w:tcBorders/>
            <w:tcW w:w="46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jc w:val="center"/>
          <w:trHeight w:val="293"/>
        </w:trPr>
        <w:tc>
          <w:tcPr>
            <w:tcBorders/>
            <w:tcW w:w="46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b/>
                <w:bCs/>
              </w:rPr>
            </w:pPr>
            <w:r>
              <w:rPr>
                <w:b/>
                <w:bCs/>
              </w:rPr>
              <w:t xml:space="preserve">Trần Sơn Tùng</w:t>
            </w:r>
            <w:r>
              <w:rPr>
                <w:b/>
                <w:bCs/>
              </w:rPr>
            </w:r>
            <w:r>
              <w:rPr>
                <w:b/>
                <w:bCs/>
              </w:rPr>
            </w:r>
          </w:p>
        </w:tc>
      </w:tr>
    </w:tbl>
    <w:p>
      <w:pPr>
        <w:pBdr/>
        <w:spacing/>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3078"/>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0943.886000</w:t>
            </w:r>
            <w:r>
              <w:rPr>
                <w:sz w:val="22"/>
                <w:szCs w:val="22"/>
              </w:rPr>
              <w:t xml:space="preserve"> </w:t>
            </w:r>
            <w:r>
              <w:rPr>
                <w:sz w:val="22"/>
                <w:szCs w:val="22"/>
              </w:rPr>
              <w:br/>
              <w:t xml:space="preserve">(A.An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21.000.000.000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18.270.000.000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100,0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5,0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87744" cy="4389979"/>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2587743" cy="438997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03.76pt;height:345.67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499372" cy="4389979"/>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2499372" cy="438997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96.80pt;height:345.67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070055" cy="4408947"/>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4070054" cy="440894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20.48pt;height:347.16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08"/>
        </w:trPr>
        <w:tc>
          <w:tcPr>
            <w:tcBorders/>
            <w:tcW w:w="9059"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3258"/>
        <w:gridCol w:w="594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Liê hệ trực tiếp</w:t>
            </w:r>
            <w:r>
              <w:rPr>
                <w:color w:val="000000" w:themeColor="text1"/>
                <w:sz w:val="22"/>
                <w:szCs w:val="22"/>
              </w:rPr>
              <w:br/>
            </w:r>
            <w:r>
              <w:rPr>
                <w:sz w:val="22"/>
                <w:szCs w:val="22"/>
              </w:rPr>
              <w:t xml:space="preserve">SĐT: </w:t>
            </w:r>
            <w:r>
              <w:rPr>
                <w:color w:val="000000" w:themeColor="text1"/>
                <w:sz w:val="22"/>
                <w:szCs w:val="22"/>
              </w:rPr>
              <w:t xml:space="preserve">0968.660002</w:t>
            </w:r>
            <w:r>
              <w:rPr>
                <w:sz w:val="22"/>
                <w:szCs w:val="22"/>
              </w:rPr>
              <w:t xml:space="preserve"> </w:t>
            </w:r>
            <w:r>
              <w:rPr>
                <w:sz w:val="22"/>
                <w:szCs w:val="22"/>
              </w:rPr>
              <w:br/>
              <w:t xml:space="preserve">(Tuấn 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20.700.000.000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18.630.000.000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Khu đô thị mới Kim Chung - Di Trạch, xã Di Trạch, huyện Hoài Đức, thành phố Hà Nội (nay là xã Hoài Đức, thành phố Hà Nội)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100,0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5,0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25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913049" cy="4450892"/>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1913048" cy="445089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50.63pt;height:350.46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950800" cy="4450892"/>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1950800" cy="445089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53.61pt;height:350.46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569626" cy="4450892"/>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1569625" cy="445089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23.59pt;height:350.46pt;mso-wrap-distance-left:0.00pt;mso-wrap-distance-top:0.00pt;mso-wrap-distance-right:0.00pt;mso-wrap-distance-bottom:0.00pt;z-index:1;" stroked="false">
                      <v:imagedata r:id="rId34"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rPr>
                <w:color w:val="000000"/>
                <w:sz w:val="22"/>
                <w:szCs w:val="22"/>
                <w:highlight w:val="none"/>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rPr>
                <w:color w:val="000000"/>
                <w:sz w:val="22"/>
                <w:szCs w:val="22"/>
              </w:rPr>
            </w:pPr>
            <w:r>
              <w:rPr>
                <w:color w:val="000000"/>
                <w:sz w:val="22"/>
                <w:szCs w:val="22"/>
                <w:highlight w:val="none"/>
              </w:rPr>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323212" cy="2042985"/>
                      <wp:effectExtent l="0" t="0" r="0" b="0"/>
                      <wp:docPr id="23" name=""/>
                      <wp:cNvGraphicFramePr/>
                      <a:graphic xmlns:a="http://schemas.openxmlformats.org/drawingml/2006/main">
                        <a:graphicData uri="http://schemas.openxmlformats.org/drawingml/2006/picture">
                          <pic:pic xmlns:pic="http://schemas.openxmlformats.org/drawingml/2006/picture">
                            <pic:nvPicPr>
                              <pic:cNvPr id="912662147" name="" descr=""/>
                              <pic:cNvPicPr/>
                              <pic:nvPr/>
                            </pic:nvPicPr>
                            <pic:blipFill rotWithShape="1">
                              <a:blip r:embed="rId35"/>
                              <a:stretch/>
                            </pic:blipFill>
                            <pic:spPr bwMode="auto">
                              <a:xfrm flipH="0" flipV="0">
                                <a:off x="0" y="0"/>
                                <a:ext cx="5323212" cy="20429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19.15pt;height:160.86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9203"/>
      </w:tblGrid>
      <w:tr>
        <w:trPr>
          <w:trHeight w:val="312"/>
        </w:trPr>
        <w:tc>
          <w:tcPr>
            <w:tcBorders/>
            <w:tcW w:w="9203"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9203"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954" w:right="566" w:bottom="67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5B1299F"/>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75014732"/>
    <w:lvl w:ilvl="0">
      <w:isLgl w:val="false"/>
      <w:lvlJc w:val="left"/>
      <w:lvlText w:val=""/>
      <w:numFmt w:val="bullet"/>
      <w:pPr>
        <w:pBdr/>
        <w:spacing/>
        <w:ind w:hanging="360" w:left="1440"/>
      </w:pPr>
      <w:rPr>
        <w:rFonts w:hint="default" w:ascii="Wingdings" w:hAnsi="Wingdings" w:eastAsia="Wingdings" w:cs="Wingdings"/>
      </w:rPr>
      <w:start w:val="1"/>
      <w:suff w:val="tab"/>
    </w:lvl>
    <w:lvl w:ilvl="1">
      <w:isLgl w:val="false"/>
      <w:lvlJc w:val="left"/>
      <w:lvlText w:val="o"/>
      <w:numFmt w:val="bullet"/>
      <w:pPr>
        <w:pBdr/>
        <w:spacing/>
        <w:ind w:hanging="360" w:left="2160"/>
      </w:pPr>
      <w:rPr>
        <w:rFonts w:hint="default" w:ascii="Courier New" w:hAnsi="Courier New" w:eastAsia="Courier New" w:cs="Courier New"/>
      </w:rPr>
      <w:start w:val="1"/>
      <w:suff w:val="tab"/>
    </w:lvl>
    <w:lvl w:ilvl="2">
      <w:isLgl w:val="false"/>
      <w:lvlJc w:val="left"/>
      <w:lvlText w:val=""/>
      <w:numFmt w:val="bullet"/>
      <w:pPr>
        <w:pBdr/>
        <w:spacing/>
        <w:ind w:hanging="360" w:left="2880"/>
      </w:pPr>
      <w:rPr>
        <w:rFonts w:hint="default" w:ascii="Wingdings" w:hAnsi="Wingdings" w:eastAsia="Wingdings" w:cs="Wingdings"/>
      </w:rPr>
      <w:start w:val="1"/>
      <w:suff w:val="tab"/>
    </w:lvl>
    <w:lvl w:ilvl="3">
      <w:isLgl w:val="false"/>
      <w:lvlJc w:val="left"/>
      <w:lvlText w:val=""/>
      <w:numFmt w:val="bullet"/>
      <w:pPr>
        <w:pBdr/>
        <w:spacing/>
        <w:ind w:hanging="360" w:left="3600"/>
      </w:pPr>
      <w:rPr>
        <w:rFonts w:hint="default" w:ascii="Symbol" w:hAnsi="Symbol" w:eastAsia="Symbol" w:cs="Symbol"/>
      </w:rPr>
      <w:start w:val="1"/>
      <w:suff w:val="tab"/>
    </w:lvl>
    <w:lvl w:ilvl="4">
      <w:isLgl w:val="false"/>
      <w:lvlJc w:val="left"/>
      <w:lvlText w:val="o"/>
      <w:numFmt w:val="bullet"/>
      <w:pPr>
        <w:pBdr/>
        <w:spacing/>
        <w:ind w:hanging="360" w:left="4320"/>
      </w:pPr>
      <w:rPr>
        <w:rFonts w:hint="default" w:ascii="Courier New" w:hAnsi="Courier New" w:eastAsia="Courier New" w:cs="Courier New"/>
      </w:rPr>
      <w:start w:val="1"/>
      <w:suff w:val="tab"/>
    </w:lvl>
    <w:lvl w:ilvl="5">
      <w:isLgl w:val="false"/>
      <w:lvlJc w:val="left"/>
      <w:lvlText w:val=""/>
      <w:numFmt w:val="bullet"/>
      <w:pPr>
        <w:pBdr/>
        <w:spacing/>
        <w:ind w:hanging="360" w:left="5040"/>
      </w:pPr>
      <w:rPr>
        <w:rFonts w:hint="default" w:ascii="Wingdings" w:hAnsi="Wingdings" w:eastAsia="Wingdings" w:cs="Wingdings"/>
      </w:rPr>
      <w:start w:val="1"/>
      <w:suff w:val="tab"/>
    </w:lvl>
    <w:lvl w:ilvl="6">
      <w:isLgl w:val="false"/>
      <w:lvlJc w:val="left"/>
      <w:lvlText w:val=""/>
      <w:numFmt w:val="bullet"/>
      <w:pPr>
        <w:pBdr/>
        <w:spacing/>
        <w:ind w:hanging="360" w:left="5760"/>
      </w:pPr>
      <w:rPr>
        <w:rFonts w:hint="default" w:ascii="Symbol" w:hAnsi="Symbol" w:eastAsia="Symbol" w:cs="Symbol"/>
      </w:rPr>
      <w:start w:val="1"/>
      <w:suff w:val="tab"/>
    </w:lvl>
    <w:lvl w:ilvl="7">
      <w:isLgl w:val="false"/>
      <w:lvlJc w:val="left"/>
      <w:lvlText w:val="o"/>
      <w:numFmt w:val="bullet"/>
      <w:pPr>
        <w:pBdr/>
        <w:spacing/>
        <w:ind w:hanging="360" w:left="6480"/>
      </w:pPr>
      <w:rPr>
        <w:rFonts w:hint="default" w:ascii="Courier New" w:hAnsi="Courier New" w:eastAsia="Courier New" w:cs="Courier New"/>
      </w:rPr>
      <w:start w:val="1"/>
      <w:suff w:val="tab"/>
    </w:lvl>
    <w:lvl w:ilvl="8">
      <w:isLgl w:val="false"/>
      <w:lvlJc w:val="left"/>
      <w:lvlText w:val=""/>
      <w:numFmt w:val="bullet"/>
      <w:pPr>
        <w:pBdr/>
        <w:spacing/>
        <w:ind w:hanging="360" w:left="7200"/>
      </w:pPr>
      <w:rPr>
        <w:rFonts w:hint="default" w:ascii="Wingdings" w:hAnsi="Wingdings" w:eastAsia="Wingdings" w:cs="Wingdings"/>
      </w:rPr>
      <w:start w:val="1"/>
      <w:suff w:val="tab"/>
    </w:lvl>
  </w:abstractNum>
  <w:abstractNum w:abstractNumId="39">
    <w:nsid w:val="769F0714"/>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72FBFCE2"/>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34239F50"/>
    <w:lvl w:ilvl="0">
      <w:isLgl w:val="false"/>
      <w:lvlJc w:val="left"/>
      <w:lvlText w:val=""/>
      <w:numFmt w:val="bullet"/>
      <w:pPr>
        <w:pBdr/>
        <w:spacing/>
        <w:ind w:hanging="360" w:left="1008"/>
      </w:pPr>
      <w:rPr>
        <w:rFonts w:hint="default" w:ascii="Wingdings" w:hAnsi="Wingdings" w:eastAsia="Wingdings" w:cs="Wingdings"/>
      </w:rPr>
      <w:start w:val="1"/>
      <w:suff w:val="tab"/>
    </w:lvl>
    <w:lvl w:ilvl="1">
      <w:isLgl w:val="false"/>
      <w:lvlJc w:val="left"/>
      <w:lvlText w:val="o"/>
      <w:numFmt w:val="bullet"/>
      <w:pPr>
        <w:pBdr/>
        <w:spacing/>
        <w:ind w:hanging="360" w:left="1728"/>
      </w:pPr>
      <w:rPr>
        <w:rFonts w:hint="default" w:ascii="Courier New" w:hAnsi="Courier New" w:eastAsia="Courier New" w:cs="Courier New"/>
      </w:rPr>
      <w:start w:val="1"/>
      <w:suff w:val="tab"/>
    </w:lvl>
    <w:lvl w:ilvl="2">
      <w:isLgl w:val="false"/>
      <w:lvlJc w:val="left"/>
      <w:lvlText w:val=""/>
      <w:numFmt w:val="bullet"/>
      <w:pPr>
        <w:pBdr/>
        <w:spacing/>
        <w:ind w:hanging="360" w:left="2448"/>
      </w:pPr>
      <w:rPr>
        <w:rFonts w:hint="default" w:ascii="Wingdings" w:hAnsi="Wingdings" w:eastAsia="Wingdings" w:cs="Wingdings"/>
      </w:rPr>
      <w:start w:val="1"/>
      <w:suff w:val="tab"/>
    </w:lvl>
    <w:lvl w:ilvl="3">
      <w:isLgl w:val="false"/>
      <w:lvlJc w:val="left"/>
      <w:lvlText w:val=""/>
      <w:numFmt w:val="bullet"/>
      <w:pPr>
        <w:pBdr/>
        <w:spacing/>
        <w:ind w:hanging="360" w:left="3168"/>
      </w:pPr>
      <w:rPr>
        <w:rFonts w:hint="default" w:ascii="Symbol" w:hAnsi="Symbol" w:eastAsia="Symbol" w:cs="Symbol"/>
      </w:rPr>
      <w:start w:val="1"/>
      <w:suff w:val="tab"/>
    </w:lvl>
    <w:lvl w:ilvl="4">
      <w:isLgl w:val="false"/>
      <w:lvlJc w:val="left"/>
      <w:lvlText w:val="o"/>
      <w:numFmt w:val="bullet"/>
      <w:pPr>
        <w:pBdr/>
        <w:spacing/>
        <w:ind w:hanging="360" w:left="3888"/>
      </w:pPr>
      <w:rPr>
        <w:rFonts w:hint="default" w:ascii="Courier New" w:hAnsi="Courier New" w:eastAsia="Courier New" w:cs="Courier New"/>
      </w:rPr>
      <w:start w:val="1"/>
      <w:suff w:val="tab"/>
    </w:lvl>
    <w:lvl w:ilvl="5">
      <w:isLgl w:val="false"/>
      <w:lvlJc w:val="left"/>
      <w:lvlText w:val=""/>
      <w:numFmt w:val="bullet"/>
      <w:pPr>
        <w:pBdr/>
        <w:spacing/>
        <w:ind w:hanging="360" w:left="4608"/>
      </w:pPr>
      <w:rPr>
        <w:rFonts w:hint="default" w:ascii="Wingdings" w:hAnsi="Wingdings" w:eastAsia="Wingdings" w:cs="Wingdings"/>
      </w:rPr>
      <w:start w:val="1"/>
      <w:suff w:val="tab"/>
    </w:lvl>
    <w:lvl w:ilvl="6">
      <w:isLgl w:val="false"/>
      <w:lvlJc w:val="left"/>
      <w:lvlText w:val=""/>
      <w:numFmt w:val="bullet"/>
      <w:pPr>
        <w:pBdr/>
        <w:spacing/>
        <w:ind w:hanging="360" w:left="5328"/>
      </w:pPr>
      <w:rPr>
        <w:rFonts w:hint="default" w:ascii="Symbol" w:hAnsi="Symbol" w:eastAsia="Symbol" w:cs="Symbol"/>
      </w:rPr>
      <w:start w:val="1"/>
      <w:suff w:val="tab"/>
    </w:lvl>
    <w:lvl w:ilvl="7">
      <w:isLgl w:val="false"/>
      <w:lvlJc w:val="left"/>
      <w:lvlText w:val="o"/>
      <w:numFmt w:val="bullet"/>
      <w:pPr>
        <w:pBdr/>
        <w:spacing/>
        <w:ind w:hanging="360" w:left="6048"/>
      </w:pPr>
      <w:rPr>
        <w:rFonts w:hint="default" w:ascii="Courier New" w:hAnsi="Courier New" w:eastAsia="Courier New" w:cs="Courier New"/>
      </w:rPr>
      <w:start w:val="1"/>
      <w:suff w:val="tab"/>
    </w:lvl>
    <w:lvl w:ilvl="8">
      <w:isLgl w:val="false"/>
      <w:lvlJc w:val="left"/>
      <w:lvlText w:val=""/>
      <w:numFmt w:val="bullet"/>
      <w:pPr>
        <w:pBdr/>
        <w:spacing/>
        <w:ind w:hanging="360" w:left="6768"/>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509</cp:revision>
  <dcterms:created xsi:type="dcterms:W3CDTF">2025-09-15T02:01:00Z</dcterms:created>
  <dcterms:modified xsi:type="dcterms:W3CDTF">2026-03-27T09:37:54Z</dcterms:modified>
</cp:coreProperties>
</file>