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tabs>
          <w:tab w:val="left" w:leader="none" w:pos="7268"/>
        </w:tabs>
        <w:spacing/>
        <w:ind w:right="-1"/>
        <w:jc w:val="left"/>
        <w:rPr>
          <w:b/>
          <w:sz w:val="28"/>
        </w:rPr>
      </w:pPr>
      <w:r>
        <w:rPr>
          <w:b/>
          <w:sz w:val="28"/>
        </w:rPr>
      </w:r>
      <w:r>
        <w:rPr>
          <w:b/>
          <w:sz w:val="28"/>
        </w:rPr>
      </w:r>
      <w:r>
        <w:rPr>
          <w:b/>
          <w:sz w:val="28"/>
        </w:rPr>
        <w:tab/>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874680" cy="35540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874678" cy="35540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275/2026/0275/VFI-CT.17.A</w:t>
                            </w:r>
                            <w:r>
                              <w:rPr>
                                <w:b/>
                              </w:rPr>
                            </w:r>
                            <w:r>
                              <w:rPr>
                                <w:b/>
                              </w:rPr>
                            </w:r>
                          </w:p>
                          <w:p>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lang w:val="pt-BR"/>
                              </w:rPr>
                            </w:r>
                            <w:r>
                              <w:rPr>
                                <w:rFonts w:ascii="Times New Roman Bold" w:hAnsi="Times New Roman Bold"/>
                                <w:b/>
                                <w:bCs/>
                                <w:color w:val="000000" w:themeColor="text1"/>
                                <w:lang w:val="pt-BR"/>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color w:val="000000" w:themeColor="text1"/>
                                <w:lang w:val="pt-BR"/>
                              </w:rPr>
                              <w:t xml:space="preserve">NGÂN HÀNG NÔNG NGHIỆP VÀ PHÁT TRIỂN NÔNG THÔN VIỆT NAM - CHI NHÁNH TỈNH HƯNG YÊN</w:t>
                            </w:r>
                            <w:r>
                              <w:rPr>
                                <w:rFonts w:ascii="Times New Roman Bold" w:hAnsi="Times New Roman Bold"/>
                                <w:b/>
                                <w:lang w:val="pt-BR"/>
                              </w:rPr>
                            </w:r>
                            <w:r>
                              <w:rPr>
                                <w:rFonts w:ascii="Times New Roman Bold" w:hAnsi="Times New Roman Bold"/>
                                <w:b/>
                                <w:bCs/>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91, tờ bản đồ số: 24 có địa chỉ: Xã Thủ Sỹ, huyện </w:t>
                            </w:r>
                            <w:r>
                              <w:rPr>
                                <w:color w:val="000000"/>
                              </w:rPr>
                              <w:t xml:space="preserve">Tiên Lữ, tỉnh Hưng Yên (nay là xã Tân Hưng, Tỉnh Hưng Yên)  theo Giấy chứng nhận quyền sử dụng đất quyền sở hữu nhà ở và tài sản khác gắn liền với đất số: BK 841870, số vào sổ cấp GCN: CH 00511 do UBND huyện Tiên Lữ cấp ngày 10/03/2014 cho Ông Đào Văn Kiều</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62.57pt;height:279.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275/2026/0275/VFI-CT.17.A</w:t>
                      </w:r>
                      <w:r>
                        <w:rPr>
                          <w:b/>
                        </w:rPr>
                      </w:r>
                      <w:r>
                        <w:rPr>
                          <w:b/>
                        </w:rPr>
                      </w:r>
                    </w:p>
                    <w:p>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lang w:val="pt-BR"/>
                        </w:rPr>
                      </w:r>
                      <w:r>
                        <w:rPr>
                          <w:rFonts w:ascii="Times New Roman Bold" w:hAnsi="Times New Roman Bold"/>
                          <w:b/>
                          <w:bCs/>
                          <w:color w:val="000000" w:themeColor="text1"/>
                          <w:lang w:val="pt-BR"/>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color w:val="000000" w:themeColor="text1"/>
                          <w:lang w:val="pt-BR"/>
                        </w:rPr>
                        <w:t xml:space="preserve">NGÂN HÀNG NÔNG NGHIỆP VÀ PHÁT TRIỂN NÔNG THÔN VIỆT NAM - CHI NHÁNH TỈNH HƯNG YÊN</w:t>
                      </w:r>
                      <w:r>
                        <w:rPr>
                          <w:rFonts w:ascii="Times New Roman Bold" w:hAnsi="Times New Roman Bold"/>
                          <w:b/>
                          <w:lang w:val="pt-BR"/>
                        </w:rPr>
                      </w:r>
                      <w:r>
                        <w:rPr>
                          <w:rFonts w:ascii="Times New Roman Bold" w:hAnsi="Times New Roman Bold"/>
                          <w:b/>
                          <w:bCs/>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91, tờ bản đồ số: 24 có địa chỉ: Xã Thủ Sỹ, huyện </w:t>
                      </w:r>
                      <w:r>
                        <w:rPr>
                          <w:color w:val="000000"/>
                        </w:rPr>
                        <w:t xml:space="preserve">Tiên Lữ, tỉnh Hưng Yên (nay là xã Tân Hưng, Tỉnh Hưng Yên)  theo Giấy chứng nhận quyền sử dụng đất quyền sở hữu nhà ở và tài sản khác gắn liền với đất số: BK 841870, số vào sổ cấp GCN: CH 00511 do UBND huyện Tiên Lữ cấp ngày 10/03/2014 cho Ông Đào Văn Kiều</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206" w:type="dxa"/>
        <w:tblBorders/>
        <w:tblLayout w:type="fixed"/>
        <w:tblLook w:val="04A0" w:firstRow="1" w:lastRow="0" w:firstColumn="1" w:lastColumn="0" w:noHBand="0" w:noVBand="1"/>
      </w:tblPr>
      <w:tblGrid>
        <w:gridCol/>
        <w:gridCol w:w="1638"/>
        <w:gridCol w:w="2070"/>
        <w:gridCol w:w="6498"/>
        <w:gridCol/>
      </w:tblGrid>
      <w:tr>
        <w:trPr>
          <w:trHeight w:val="1152"/>
        </w:trPr>
        <w:tc>
          <w:tcPr>
            <w:gridSpan w:val="2"/>
            <w:tcBorders/>
            <w:tcW w:w="163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56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708" w:type="dxa"/>
            <w:textDirection w:val="lrTb"/>
            <w:noWrap w:val="false"/>
          </w:tcPr>
          <w:p>
            <w:pPr>
              <w:pStyle w:val="1033"/>
              <w:pBdr/>
              <w:spacing w:after="60"/>
              <w:ind/>
              <w:rPr>
                <w:color w:val="000000" w:themeColor="text1"/>
                <w:sz w:val="24"/>
                <w:szCs w:val="24"/>
              </w:rPr>
            </w:pPr>
            <w:r>
              <w:rPr>
                <w:rStyle w:val="1032"/>
                <w:rFonts w:ascii="Times New Roman" w:hAnsi="Times New Roman"/>
                <w:color w:val="000000" w:themeColor="text1"/>
                <w:lang w:val="pt-BR"/>
              </w:rPr>
              <w:t xml:space="preserve">Số</w:t>
            </w:r>
            <w:r>
              <w:rPr>
                <w:rStyle w:val="1032"/>
                <w:rFonts w:ascii="Times New Roman" w:hAnsi="Times New Roman"/>
                <w:color w:val="000000" w:themeColor="text1"/>
                <w:lang w:val="pt-BR"/>
              </w:rPr>
              <w:t xml:space="preserve">: </w:t>
            </w:r>
            <w:r>
              <w:rPr>
                <w:rStyle w:val="1032"/>
                <w:rFonts w:ascii="Times New Roman" w:hAnsi="Times New Roman"/>
                <w:color w:val="000000" w:themeColor="text1"/>
                <w:lang w:val="pt-BR"/>
              </w:rPr>
              <w:t xml:space="preserve">275/2026/0275/VFI-CT.17.A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498" w:type="dxa"/>
            <w:textDirection w:val="lrTb"/>
            <w:noWrap w:val="false"/>
          </w:tcPr>
          <w:p>
            <w:pPr>
              <w:pStyle w:val="1033"/>
              <w:pBdr/>
              <w:spacing w:after="60"/>
              <w:ind w:right="-56"/>
              <w:jc w:val="right"/>
              <w:rPr>
                <w:color w:val="000000" w:themeColor="text1"/>
                <w:sz w:val="24"/>
                <w:szCs w:val="24"/>
                <w:lang w:val="vi-VN"/>
              </w:rPr>
            </w:pPr>
            <w:r>
              <w:rPr>
                <w:rStyle w:val="1032"/>
                <w:rFonts w:ascii="Times New Roman" w:hAnsi="Times New Roman"/>
                <w:i/>
                <w:color w:val="auto"/>
              </w:rPr>
              <w:t xml:space="preserve">TP. </w:t>
            </w:r>
            <w:r>
              <w:rPr>
                <w:rStyle w:val="1032"/>
                <w:rFonts w:ascii="Times New Roman" w:hAnsi="Times New Roman"/>
                <w:i/>
                <w:color w:val="auto"/>
              </w:rPr>
              <w:t xml:space="preserve">Hà</w:t>
            </w:r>
            <w:r>
              <w:rPr>
                <w:rStyle w:val="1032"/>
                <w:rFonts w:ascii="Times New Roman" w:hAnsi="Times New Roman"/>
                <w:i/>
                <w:color w:val="auto"/>
              </w:rPr>
              <w:t xml:space="preserve"> </w:t>
            </w:r>
            <w:r>
              <w:rPr>
                <w:rStyle w:val="1032"/>
                <w:rFonts w:ascii="Times New Roman" w:hAnsi="Times New Roman"/>
                <w:i/>
                <w:color w:val="auto"/>
              </w:rPr>
              <w:t xml:space="preserve">Nội</w:t>
            </w:r>
            <w:r>
              <w:rPr>
                <w:rStyle w:val="1032"/>
                <w:rFonts w:ascii="Times New Roman" w:hAnsi="Times New Roman"/>
                <w:i/>
                <w:color w:val="auto"/>
                <w:lang w:val="vi-VN"/>
              </w:rPr>
              <w:t xml:space="preserve">, </w:t>
            </w:r>
            <w:r>
              <w:rPr>
                <w:rStyle w:val="1032"/>
                <w:rFonts w:ascii="Times New Roman" w:hAnsi="Times New Roman"/>
                <w:i/>
                <w:color w:val="000000" w:themeColor="text1"/>
                <w:lang w:val="vi-VN"/>
              </w:rPr>
              <w:t xml:space="preserve">ngày 5 tháng 2 năm 2026</w:t>
            </w:r>
            <w:r>
              <w:rPr>
                <w:color w:val="000000" w:themeColor="text1"/>
                <w:sz w:val="24"/>
                <w:szCs w:val="24"/>
                <w:lang w:val="vi-VN"/>
              </w:rPr>
            </w:r>
            <w:r>
              <w:rPr>
                <w:color w:val="000000" w:themeColor="text1"/>
                <w:sz w:val="24"/>
                <w:szCs w:val="24"/>
                <w:lang w:val="vi-VN"/>
              </w:rPr>
            </w:r>
          </w:p>
        </w:tc>
      </w:tr>
    </w:tbl>
    <w:p>
      <w:pPr>
        <w:pStyle w:val="1033"/>
        <w:pBdr/>
        <w:spacing w:after="120" w:before="200" w:line="288" w:lineRule="auto"/>
        <w:ind/>
        <w:jc w:val="center"/>
        <w:rPr>
          <w:rStyle w:val="1032"/>
          <w:rFonts w:ascii="Times New Roman" w:hAnsi="Times New Roman"/>
          <w:b/>
          <w:bCs/>
          <w:color w:val="auto"/>
          <w:sz w:val="30"/>
          <w:szCs w:val="30"/>
          <w:lang w:val="vi-VN"/>
        </w:rPr>
      </w:pPr>
      <w:r>
        <w:rPr>
          <w:rStyle w:val="1032"/>
          <w:rFonts w:ascii="Times New Roman" w:hAnsi="Times New Roman"/>
          <w:b/>
          <w:bCs/>
          <w:color w:val="auto"/>
          <w:sz w:val="30"/>
          <w:szCs w:val="30"/>
          <w:lang w:val="vi-VN"/>
        </w:rPr>
        <w:t xml:space="preserve">CHỨNG THƯ THẨM ĐỊNH GIÁ</w:t>
      </w:r>
      <w:r>
        <w:rPr>
          <w:rStyle w:val="1032"/>
          <w:rFonts w:ascii="Times New Roman" w:hAnsi="Times New Roman"/>
          <w:b/>
          <w:bCs/>
          <w:color w:val="auto"/>
          <w:sz w:val="30"/>
          <w:szCs w:val="30"/>
          <w:lang w:val="vi-VN"/>
        </w:rPr>
      </w:r>
      <w:r>
        <w:rPr>
          <w:rStyle w:val="103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NGÂN HÀNG NÔNG NGHIỆP VÀ PHÁT TRIỂN NÔNG THÔN VIỆT NAM - CHI NHÁNH TỈNH HƯNG YÊN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275/2026/0275/VFI-HĐTĐ.17.A</w:t>
      </w:r>
      <w:r>
        <w:rPr>
          <w:spacing w:val="-4"/>
          <w:lang w:val="vi-VN"/>
        </w:rPr>
        <w:t xml:space="preserve"> ký ngày </w:t>
      </w:r>
      <w:r>
        <w:rPr>
          <w:color w:val="000000" w:themeColor="text1"/>
          <w:spacing w:val="-4"/>
        </w:rPr>
        <w:t xml:space="preserve">30 tháng 1 năm 2026</w:t>
      </w:r>
      <w:r>
        <w:rPr>
          <w:spacing w:val="-4"/>
          <w:lang w:val="vi-VN"/>
        </w:rPr>
        <w:t xml:space="preserve"> </w:t>
      </w:r>
      <w:r>
        <w:rPr>
          <w:spacing w:val="-4"/>
          <w:lang w:val="vi-VN"/>
        </w:rPr>
        <w:t xml:space="preserve">giữa </w:t>
      </w:r>
      <w:r>
        <w:rPr>
          <w:color w:val="000000" w:themeColor="text1"/>
          <w:spacing w:val="-4"/>
        </w:rPr>
        <w:t xml:space="preserve">Ngân hàng Nông nghiệp và Phát triển Nông thôn Việt Nam - Chi nhánh tỉnh Hưng Yên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275/2026/0275/VFI-BC.17.A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5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Ind w:w="-143" w:type="dxa"/>
        <w:tblW w:w="5111" w:type="pct"/>
        <w:tblBorders/>
        <w:tblLayout w:type="fixed"/>
        <w:tblLook w:val="04A0" w:firstRow="1" w:lastRow="0" w:firstColumn="1" w:lastColumn="0" w:noHBand="0" w:noVBand="1"/>
      </w:tblPr>
      <w:tblGrid>
        <w:gridCol w:w="1872"/>
        <w:gridCol w:w="487"/>
        <w:gridCol w:w="7668"/>
      </w:tblGrid>
      <w:tr>
        <w:trPr>
          <w:trHeight w:val="20"/>
        </w:trPr>
        <w:tc>
          <w:tcPr>
            <w:shd w:val="clear" w:color="auto" w:fill="auto"/>
            <w:tcBorders/>
            <w:tcW w:w="18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668" w:type="dxa"/>
            <w:vAlign w:val="center"/>
            <w:textDirection w:val="lrTb"/>
            <w:noWrap w:val="false"/>
          </w:tcPr>
          <w:p>
            <w:pPr>
              <w:pBdr/>
              <w:spacing/>
              <w:ind/>
              <w:jc w:val="both"/>
              <w:rPr/>
            </w:pPr>
            <w:r>
              <w:rPr>
                <w:b/>
                <w:bCs/>
              </w:rPr>
            </w:r>
            <w:r>
              <w:rPr>
                <w:rFonts w:ascii="Times New Roman Bold" w:hAnsi="Times New Roman Bold"/>
                <w:b/>
                <w:color w:val="000000" w:themeColor="text1"/>
                <w:lang w:val="pt-BR"/>
              </w:rPr>
              <w:t xml:space="preserve">NGÂN HÀNG NÔNG NGHIỆP VÀ PHÁT TRIỂN NÔNG THÔN VIỆT NAM - CHI NHÁNH TỈNH HƯNG YÊN</w:t>
            </w:r>
            <w:r>
              <w:rPr>
                <w:b/>
                <w:bCs/>
              </w:rPr>
            </w:r>
            <w:r/>
          </w:p>
        </w:tc>
      </w:tr>
      <w:tr>
        <w:trPr>
          <w:trHeight w:val="20"/>
        </w:trPr>
        <w:tc>
          <w:tcPr>
            <w:shd w:val="clear" w:color="ffffff" w:fill="ffffff"/>
            <w:tcBorders/>
            <w:tcW w:w="1818" w:type="dxa"/>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ffffff" w:fill="ffffff"/>
            <w:tcBorders/>
            <w:tcW w:w="472" w:type="dxa"/>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7668" w:type="dxa"/>
            <w:vAlign w:val="center"/>
            <w:vMerge w:val="restart"/>
            <w:textDirection w:val="lrTb"/>
            <w:noWrap w:val="false"/>
          </w:tcPr>
          <w:p>
            <w:pPr>
              <w:pBdr/>
              <w:spacing w:after="40" w:before="40" w:line="276" w:lineRule="auto"/>
              <w:ind/>
              <w:jc w:val="both"/>
              <w:rPr>
                <w:b/>
                <w:bCs/>
                <w:color w:val="000000" w:themeColor="text1"/>
              </w:rPr>
            </w:pPr>
            <w:r>
              <w:rPr>
                <w:b/>
                <w:bCs/>
                <w:color w:val="000000" w:themeColor="text1"/>
                <w:lang w:val="vi-VN"/>
              </w:rPr>
              <w:t xml:space="preserve">Ông Đoàn Ninh Thanh</w:t>
            </w:r>
            <w:r>
              <w:rPr>
                <w:b/>
                <w:bCs/>
                <w:color w:val="000000" w:themeColor="text1"/>
                <w:lang w:val="vi-VN"/>
              </w:rPr>
            </w:r>
            <w:r>
              <w:rPr>
                <w:b/>
                <w:bCs/>
                <w:color w:val="000000" w:themeColor="text1"/>
              </w:rPr>
            </w:r>
          </w:p>
        </w:tc>
      </w:tr>
      <w:tr>
        <w:trPr>
          <w:trHeight w:val="20"/>
        </w:trPr>
        <w:tc>
          <w:tcPr>
            <w:shd w:val="clear" w:color="auto" w:fill="auto"/>
            <w:tcBorders/>
            <w:tcW w:w="18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668" w:type="dxa"/>
            <w:vAlign w:val="center"/>
            <w:textDirection w:val="lrTb"/>
            <w:noWrap w:val="false"/>
          </w:tcPr>
          <w:p>
            <w:pPr>
              <w:pBdr/>
              <w:spacing w:after="40" w:before="40" w:line="276" w:lineRule="auto"/>
              <w:ind/>
              <w:jc w:val="both"/>
              <w:rPr>
                <w:b/>
                <w:bCs/>
                <w:color w:val="ff0000"/>
              </w:rPr>
            </w:pPr>
            <w:r>
              <w:rPr>
                <w:b/>
                <w:bCs/>
                <w:color w:val="000000" w:themeColor="text1"/>
                <w:lang w:val="vi-VN"/>
              </w:rPr>
              <w:t xml:space="preserve">Phó Giám đốc</w:t>
            </w:r>
            <w:r>
              <w:rPr>
                <w:b/>
                <w:bCs/>
                <w:color w:val="ff0000"/>
                <w:lang w:val="pt-BR"/>
              </w:rPr>
            </w:r>
            <w:r>
              <w:rPr>
                <w:b/>
                <w:bCs/>
                <w:color w:val="ff0000"/>
              </w:rPr>
            </w:r>
          </w:p>
        </w:tc>
      </w:tr>
      <w:tr>
        <w:trPr>
          <w:trHeight w:val="20"/>
        </w:trPr>
        <w:tc>
          <w:tcPr>
            <w:shd w:val="clear" w:color="auto" w:fill="auto"/>
            <w:tcBorders/>
            <w:tcW w:w="18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668"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0100686174 - 175</w:t>
            </w:r>
            <w:r>
              <w:rPr>
                <w:color w:val="ff0000"/>
                <w:lang w:val="pt-BR"/>
              </w:rPr>
            </w:r>
            <w:r>
              <w:rPr>
                <w:color w:val="ff0000"/>
                <w:lang w:val="pt-BR"/>
              </w:rPr>
            </w:r>
          </w:p>
        </w:tc>
      </w:tr>
      <w:tr>
        <w:trPr>
          <w:trHeight w:val="20"/>
        </w:trPr>
        <w:tc>
          <w:tcPr>
            <w:shd w:val="clear" w:color="auto" w:fill="auto"/>
            <w:tcBorders/>
            <w:tcW w:w="18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668" w:type="dxa"/>
            <w:vAlign w:val="center"/>
            <w:textDirection w:val="lrTb"/>
            <w:noWrap w:val="false"/>
          </w:tcPr>
          <w:p>
            <w:pPr>
              <w:pBdr/>
              <w:spacing w:after="40" w:before="40" w:line="276" w:lineRule="auto"/>
              <w:ind/>
              <w:jc w:val="both"/>
              <w:rPr>
                <w:rFonts w:ascii="Times New Roman" w:hAnsi="Times New Roman" w:cs="Times New Roman"/>
                <w:color w:val="ff0000"/>
                <w:sz w:val="24"/>
                <w:szCs w:val="24"/>
              </w:rPr>
            </w:pPr>
            <w:r>
              <w:rPr>
                <w:color w:val="000000" w:themeColor="text1"/>
                <w:lang w:val="vi-VN"/>
              </w:rPr>
            </w:r>
            <w:r>
              <w:rPr>
                <w:rFonts w:ascii="Times New Roman" w:hAnsi="Times New Roman" w:eastAsia="Times New Roman" w:cs="Times New Roman"/>
                <w:color w:val="333e48"/>
                <w:spacing w:val="-2"/>
                <w:sz w:val="24"/>
                <w:szCs w:val="24"/>
                <w:highlight w:val="white"/>
              </w:rPr>
              <w:t xml:space="preserve">Số 793 đường Nguyễn Văn Linh, Phường Phố Hiến, Tỉnh Hưng Yên, Việt Nam</w:t>
            </w:r>
            <w:r>
              <w:rPr>
                <w:rFonts w:ascii="Times New Roman" w:hAnsi="Times New Roman" w:eastAsia="Times New Roman" w:cs="Times New Roman"/>
                <w:color w:val="ff0000"/>
                <w:sz w:val="24"/>
                <w:szCs w:val="24"/>
                <w:lang w:val="pt-BR"/>
              </w:rPr>
            </w:r>
            <w:r>
              <w:rPr>
                <w:rFonts w:ascii="Times New Roman" w:hAnsi="Times New Roman" w:cs="Times New Roman"/>
                <w:color w:val="ff0000"/>
                <w:sz w:val="24"/>
                <w:szCs w:val="24"/>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956" w:type="dxa"/>
        <w:tblBorders/>
        <w:tblLayout w:type="fixed"/>
        <w:tblLook w:val="04A0" w:firstRow="1" w:lastRow="0" w:firstColumn="1" w:lastColumn="0" w:noHBand="0" w:noVBand="1"/>
      </w:tblPr>
      <w:tblGrid>
        <w:gridCol w:w="2269"/>
        <w:gridCol w:w="289"/>
        <w:gridCol w:w="7398"/>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98"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98"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398"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98"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98"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98"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398"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398"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91, tờ bản đồ số: 24 có địa chỉ: Xã Thủ Sỹ, huyện </w:t>
      </w:r>
      <w:r>
        <w:rPr>
          <w:color w:val="000000" w:themeColor="text1"/>
        </w:rPr>
        <w:t xml:space="preserve">Tiên Lữ, tỉnh Hưng Yên (nay là xã Tân Hưng, Tỉnh Hưng Yên)  theo Giấy chứng nhận quyền sử dụng đất quyền sở hữu nhà ở và tài sản khác gắn liền với đất số: BK 841870, số vào sổ cấp GCN: CH 00511 do UBND huyện Tiên Lữ cấp ngày 10/03/2014 cho Ông Đào Văn Kiều</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thẩm định làm cơ sở tham khảo xử lý tài sản đảm bảo theo đúng quy định của pháp luật hiện hành.</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4923"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58"/>
        <w:gridCol w:w="2358"/>
        <w:gridCol w:w="1856"/>
        <w:gridCol w:w="2659"/>
        <w:gridCol w:w="2229"/>
      </w:tblGrid>
      <w:tr>
        <w:trPr>
          <w:trHeight w:val="20"/>
        </w:trPr>
        <w:tc>
          <w:tcPr>
            <w:shd w:val="clear" w:color="000000" w:fill="ffffff"/>
            <w:tcBorders/>
            <w:tcW w:w="558"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58"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56"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659"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58"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873"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91, tờ bản đồ số: 24 có địa chỉ: Xã Thủ Sỹ, huyện </w:t>
            </w:r>
            <w:r>
              <w:rPr>
                <w:color w:val="000000"/>
              </w:rPr>
              <w:t xml:space="preserve">Tiên Lữ, tỉnh Hưng Yên (nay là xã Tân Hưng, Tỉnh Hưng Yên)  theo Giấy chứng nhận quyền sử dụng đất quyền sở hữu nhà ở và tài sản khác gắn liền với đất số: BK 841870, số vào sổ cấp GCN: CH 00511 do UBND huyện Tiên Lữ cấp ngày 10/03/2014 cho Ông Đào Văn Kiều</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58"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358"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56" w:type="dxa"/>
            <w:vAlign w:val="center"/>
            <w:textDirection w:val="lrTb"/>
            <w:noWrap/>
          </w:tcPr>
          <w:p>
            <w:pPr>
              <w:pBdr/>
              <w:spacing w:after="40" w:before="40" w:line="288" w:lineRule="auto"/>
              <w:ind/>
              <w:jc w:val="center"/>
              <w:rPr>
                <w:color w:val="000000"/>
              </w:rPr>
            </w:pPr>
            <w:r>
              <w:rPr>
                <w:color w:val="000000" w:themeColor="text1"/>
              </w:rPr>
              <w:t xml:space="preserve">164,4</w:t>
            </w:r>
            <w:r>
              <w:rPr>
                <w:color w:val="000000"/>
              </w:rPr>
            </w:r>
            <w:r>
              <w:rPr>
                <w:color w:val="000000"/>
              </w:rPr>
            </w:r>
          </w:p>
        </w:tc>
        <w:tc>
          <w:tcPr>
            <w:shd w:val="clear" w:color="000000" w:fill="ffffff"/>
            <w:tcBorders/>
            <w:tcW w:w="2659" w:type="dxa"/>
            <w:vAlign w:val="center"/>
            <w:textDirection w:val="lrTb"/>
            <w:noWrap w:val="false"/>
          </w:tcPr>
          <w:p>
            <w:pPr>
              <w:pBdr/>
              <w:spacing w:after="40" w:before="40" w:line="288" w:lineRule="auto"/>
              <w:ind/>
              <w:jc w:val="center"/>
              <w:rPr/>
            </w:pPr>
            <w:r>
              <w:rPr>
                <w:color w:val="000000" w:themeColor="text1"/>
              </w:rPr>
              <w:t xml:space="preserve">54.900.000</w:t>
            </w:r>
            <w:r/>
          </w:p>
        </w:tc>
        <w:tc>
          <w:tcPr>
            <w:shd w:val="clear" w:color="000000" w:fill="ffffff"/>
            <w:tcBorders/>
            <w:tcW w:w="2229" w:type="dxa"/>
            <w:vAlign w:val="center"/>
            <w:textDirection w:val="lrTb"/>
            <w:noWrap w:val="false"/>
          </w:tcPr>
          <w:p>
            <w:pPr>
              <w:pBdr/>
              <w:spacing w:after="40" w:before="40" w:line="288" w:lineRule="auto"/>
              <w:ind/>
              <w:jc w:val="right"/>
              <w:rPr/>
            </w:pPr>
            <w:r>
              <w:rPr>
                <w:color w:val="000000" w:themeColor="text1"/>
              </w:rPr>
              <w:t xml:space="preserve">9.025.560.000</w:t>
            </w:r>
            <w:r/>
          </w:p>
        </w:tc>
      </w:tr>
      <w:tr>
        <w:trPr>
          <w:trHeight w:val="20"/>
        </w:trPr>
        <w:tc>
          <w:tcPr>
            <w:gridSpan w:val="4"/>
            <w:tcBorders/>
            <w:tcW w:w="743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right"/>
              <w:rPr>
                <w:b/>
                <w:bCs/>
                <w:color w:val="000000"/>
              </w:rPr>
            </w:pPr>
            <w:r>
              <w:rPr>
                <w:b/>
                <w:bCs/>
              </w:rPr>
              <w:t xml:space="preserve">9.025.560.000</w:t>
            </w:r>
            <w:r>
              <w:rPr>
                <w:b/>
                <w:bCs/>
                <w:color w:val="000000"/>
              </w:rPr>
            </w:r>
            <w:r>
              <w:rPr>
                <w:b/>
                <w:bCs/>
                <w:color w:val="000000"/>
              </w:rPr>
            </w:r>
          </w:p>
        </w:tc>
      </w:tr>
      <w:tr>
        <w:trPr>
          <w:trHeight w:val="20"/>
        </w:trPr>
        <w:tc>
          <w:tcPr>
            <w:gridSpan w:val="4"/>
            <w:tcBorders/>
            <w:tcW w:w="743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29" w:type="dxa"/>
            <w:vAlign w:val="center"/>
            <w:textDirection w:val="lrTb"/>
            <w:noWrap/>
          </w:tcPr>
          <w:p>
            <w:pPr>
              <w:pBdr/>
              <w:spacing w:after="40" w:before="40" w:line="288" w:lineRule="auto"/>
              <w:ind/>
              <w:jc w:val="right"/>
              <w:rPr>
                <w:b/>
                <w:bCs/>
                <w:color w:val="000000"/>
              </w:rPr>
            </w:pPr>
            <w:r>
              <w:rPr>
                <w:b/>
                <w:bCs/>
                <w:color w:val="000000"/>
              </w:rPr>
              <w:t xml:space="preserve">9.026.000.000</w:t>
            </w:r>
            <w:r>
              <w:rPr>
                <w:b/>
                <w:bCs/>
                <w:color w:val="000000"/>
              </w:rPr>
            </w:r>
            <w:r>
              <w:rPr>
                <w:b/>
                <w:bCs/>
                <w:color w:val="000000"/>
              </w:rPr>
            </w:r>
          </w:p>
        </w:tc>
      </w:tr>
      <w:tr>
        <w:trPr>
          <w:trHeight w:val="20"/>
        </w:trPr>
        <w:tc>
          <w:tcPr>
            <w:gridSpan w:val="5"/>
            <w:tcBorders/>
            <w:tcW w:w="9659"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Chín tỷ, không trăm hai mươi sáu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09" w:type="pct"/>
        <w:tblBorders/>
        <w:tblLayout w:type="fixed"/>
        <w:tblLook w:val="01E0" w:firstRow="1" w:lastRow="1" w:firstColumn="1" w:lastColumn="1" w:noHBand="0" w:noVBand="0"/>
      </w:tblPr>
      <w:tblGrid>
        <w:gridCol w:w="4518"/>
        <w:gridCol w:w="5310"/>
      </w:tblGrid>
      <w:tr>
        <w:trPr>
          <w:trHeight w:val="20"/>
        </w:trPr>
        <w:tc>
          <w:tcPr>
            <w:tcBorders/>
            <w:tcW w:w="4518"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310"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518" w:type="dxa"/>
            <w:vAlign w:val="center"/>
            <w:textDirection w:val="lrTb"/>
            <w:noWrap w:val="false"/>
          </w:tcPr>
          <w:p>
            <w:pPr>
              <w:pBdr/>
              <w:spacing w:line="276" w:lineRule="auto"/>
              <w:ind/>
              <w:rPr>
                <w:rFonts w:eastAsia="Calibri"/>
                <w:b/>
                <w:bCs/>
                <w:lang w:val="vi-VN"/>
              </w:rPr>
            </w:pPr>
            <w:r>
              <w:rPr>
                <w:rFonts w:eastAsia="Calibri"/>
                <w:b/>
                <w:lang w:val="vi-VN"/>
              </w:rPr>
            </w:r>
            <w:r>
              <w:rPr>
                <w:rFonts w:eastAsia="Calibri"/>
                <w:b/>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lang w:val="vi-VN"/>
              </w:rPr>
            </w:r>
            <w:r>
              <w:rPr>
                <w:rFonts w:eastAsia="Calibri"/>
                <w:b/>
                <w:lang w:val="vi-VN"/>
              </w:rPr>
            </w:r>
            <w:r>
              <w:rPr>
                <w:rFonts w:eastAsia="Calibri"/>
                <w:b/>
                <w:bCs/>
                <w:lang w:val="vi-VN"/>
              </w:rPr>
            </w:r>
          </w:p>
        </w:tc>
        <w:tc>
          <w:tcPr>
            <w:tcBorders/>
            <w:tcW w:w="531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518"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5310"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114" w:type="dxa"/>
        <w:tblBorders/>
        <w:tblLayout w:type="fixed"/>
        <w:tblLook w:val="04A0" w:firstRow="1" w:lastRow="0" w:firstColumn="1" w:lastColumn="0" w:noHBand="0" w:noVBand="1"/>
      </w:tblPr>
      <w:tblGrid>
        <w:gridCol/>
        <w:gridCol w:w="1638"/>
        <w:gridCol w:w="2903"/>
        <w:gridCol w:w="5328"/>
        <w:gridCol w:w="245"/>
      </w:tblGrid>
      <w:tr>
        <w:trPr>
          <w:trHeight w:val="1152"/>
        </w:trPr>
        <w:tc>
          <w:tcPr>
            <w:gridSpan w:val="2"/>
            <w:tcBorders/>
            <w:tcW w:w="163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47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4541" w:type="dxa"/>
            <w:textDirection w:val="lrTb"/>
            <w:noWrap w:val="false"/>
          </w:tcPr>
          <w:p>
            <w:pPr>
              <w:pStyle w:val="1033"/>
              <w:pBdr/>
              <w:spacing w:after="60"/>
              <w:ind/>
              <w:rPr>
                <w:color w:val="000000" w:themeColor="text1"/>
                <w:sz w:val="24"/>
                <w:szCs w:val="24"/>
              </w:rPr>
            </w:pPr>
            <w:r>
              <w:rPr>
                <w:rStyle w:val="1032"/>
                <w:rFonts w:ascii="Times New Roman" w:hAnsi="Times New Roman"/>
                <w:color w:val="000000" w:themeColor="text1"/>
                <w:lang w:val="pt-BR"/>
              </w:rPr>
              <w:t xml:space="preserve">Số</w:t>
            </w:r>
            <w:r>
              <w:rPr>
                <w:rStyle w:val="1032"/>
                <w:rFonts w:ascii="Times New Roman" w:hAnsi="Times New Roman"/>
                <w:color w:val="000000" w:themeColor="text1"/>
                <w:lang w:val="pt-BR"/>
              </w:rPr>
              <w:t xml:space="preserve">: </w:t>
            </w:r>
            <w:r>
              <w:rPr>
                <w:rStyle w:val="1032"/>
                <w:rFonts w:ascii="Times New Roman" w:hAnsi="Times New Roman"/>
                <w:color w:val="000000" w:themeColor="text1"/>
                <w:lang w:val="pt-BR"/>
              </w:rPr>
              <w:t xml:space="preserve">275/2026/0275/VFI-CT.17.A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328" w:type="dxa"/>
            <w:textDirection w:val="lrTb"/>
            <w:noWrap w:val="false"/>
          </w:tcPr>
          <w:p>
            <w:pPr>
              <w:pStyle w:val="1033"/>
              <w:pBdr/>
              <w:spacing w:after="60"/>
              <w:ind w:right="-56"/>
              <w:jc w:val="right"/>
              <w:rPr>
                <w:color w:val="000000" w:themeColor="text1"/>
                <w:sz w:val="24"/>
                <w:szCs w:val="24"/>
                <w:lang w:val="vi-VN"/>
              </w:rPr>
            </w:pPr>
            <w:r>
              <w:rPr>
                <w:rStyle w:val="1032"/>
                <w:rFonts w:ascii="Times New Roman" w:hAnsi="Times New Roman"/>
                <w:i/>
                <w:color w:val="auto"/>
              </w:rPr>
              <w:t xml:space="preserve">TP. </w:t>
            </w:r>
            <w:r>
              <w:rPr>
                <w:rStyle w:val="1032"/>
                <w:rFonts w:ascii="Times New Roman" w:hAnsi="Times New Roman"/>
                <w:i/>
                <w:color w:val="auto"/>
              </w:rPr>
              <w:t xml:space="preserve">Hà</w:t>
            </w:r>
            <w:r>
              <w:rPr>
                <w:rStyle w:val="1032"/>
                <w:rFonts w:ascii="Times New Roman" w:hAnsi="Times New Roman"/>
                <w:i/>
                <w:color w:val="auto"/>
              </w:rPr>
              <w:t xml:space="preserve"> </w:t>
            </w:r>
            <w:r>
              <w:rPr>
                <w:rStyle w:val="1032"/>
                <w:rFonts w:ascii="Times New Roman" w:hAnsi="Times New Roman"/>
                <w:i/>
                <w:color w:val="auto"/>
              </w:rPr>
              <w:t xml:space="preserve">Nội</w:t>
            </w:r>
            <w:r>
              <w:rPr>
                <w:rStyle w:val="1032"/>
                <w:rFonts w:ascii="Times New Roman" w:hAnsi="Times New Roman"/>
                <w:i/>
                <w:color w:val="auto"/>
                <w:lang w:val="vi-VN"/>
              </w:rPr>
              <w:t xml:space="preserve">, </w:t>
            </w:r>
            <w:r>
              <w:rPr>
                <w:rStyle w:val="1032"/>
                <w:rFonts w:ascii="Times New Roman" w:hAnsi="Times New Roman"/>
                <w:i/>
                <w:color w:val="000000" w:themeColor="text1"/>
                <w:lang w:val="vi-VN"/>
              </w:rPr>
              <w:t xml:space="preserve">ngày 5 tháng 2 năm 2026</w:t>
            </w:r>
            <w:r>
              <w:rPr>
                <w:color w:val="000000" w:themeColor="text1"/>
                <w:sz w:val="24"/>
                <w:szCs w:val="24"/>
                <w:lang w:val="vi-VN"/>
              </w:rPr>
            </w:r>
            <w:r>
              <w:rPr>
                <w:color w:val="000000" w:themeColor="text1"/>
                <w:sz w:val="24"/>
                <w:szCs w:val="24"/>
                <w:lang w:val="vi-VN"/>
              </w:rPr>
            </w:r>
          </w:p>
        </w:tc>
      </w:tr>
    </w:tbl>
    <w:p>
      <w:pPr>
        <w:pStyle w:val="103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275/2026/0275/VFI-CT.17.A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5 tháng 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918" w:type="dxa"/>
        <w:tblBorders/>
        <w:tblLayout w:type="fixed"/>
        <w:tblLook w:val="04A0" w:firstRow="1" w:lastRow="0" w:firstColumn="1" w:lastColumn="0" w:noHBand="0" w:noVBand="1"/>
      </w:tblPr>
      <w:tblGrid>
        <w:gridCol w:w="1998"/>
        <w:gridCol w:w="289"/>
        <w:gridCol w:w="7631"/>
      </w:tblGrid>
      <w:tr>
        <w:trPr>
          <w:trHeight w:val="20"/>
        </w:trPr>
        <w:tc>
          <w:tcPr>
            <w:tcBorders/>
            <w:tcW w:w="1998"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1998"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98"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631"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1998"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1998"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1998"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631"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98"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631"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840" w:type="dxa"/>
        <w:tblBorders/>
        <w:tblLayout w:type="fixed"/>
        <w:tblLook w:val="04A0" w:firstRow="1" w:lastRow="0" w:firstColumn="1" w:lastColumn="0" w:noHBand="0" w:noVBand="1"/>
      </w:tblPr>
      <w:tblGrid>
        <w:gridCol w:w="2518"/>
        <w:gridCol w:w="284"/>
        <w:gridCol w:w="7038"/>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038" w:type="dxa"/>
            <w:vAlign w:val="center"/>
            <w:textDirection w:val="lrTb"/>
            <w:noWrap w:val="false"/>
          </w:tcPr>
          <w:p>
            <w:pPr>
              <w:pBdr/>
              <w:spacing/>
              <w:ind/>
              <w:jc w:val="both"/>
              <w:rPr/>
            </w:pPr>
            <w:r>
              <w:rPr>
                <w:b/>
                <w:bCs/>
              </w:rPr>
            </w:r>
            <w:r>
              <w:rPr>
                <w:rFonts w:ascii="Times New Roman Bold" w:hAnsi="Times New Roman Bold"/>
                <w:b/>
                <w:color w:val="000000" w:themeColor="text1"/>
                <w:lang w:val="pt-BR"/>
              </w:rPr>
              <w:t xml:space="preserve">NGÂN HÀNG NÔNG NGHIỆP VÀ PHÁT TRIỂN NÔNG THÔN VIỆT NAM - CHI NHÁNH TỈNH HƯNG YÊN</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7038" w:type="dxa"/>
            <w:vAlign w:val="center"/>
            <w:textDirection w:val="lrTb"/>
            <w:noWrap w:val="false"/>
          </w:tcPr>
          <w:p>
            <w:pPr>
              <w:pBdr/>
              <w:spacing w:after="40" w:before="40" w:line="276" w:lineRule="auto"/>
              <w:ind/>
              <w:jc w:val="both"/>
              <w:rPr>
                <w:b/>
                <w:bCs/>
                <w:color w:val="000000" w:themeColor="text1"/>
              </w:rPr>
            </w:pPr>
            <w:r>
              <w:rPr>
                <w:b/>
                <w:bCs/>
                <w:color w:val="000000" w:themeColor="text1"/>
                <w:lang w:val="vi-VN"/>
              </w:rPr>
              <w:t xml:space="preserve">Ông Đoàn Ninh Thanh</w:t>
            </w:r>
            <w:r>
              <w:rPr>
                <w:b/>
                <w:bCs/>
                <w:color w:val="000000" w:themeColor="text1"/>
              </w:rPr>
            </w:r>
            <w:r>
              <w:rPr>
                <w:b/>
                <w:bCs/>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038" w:type="dxa"/>
            <w:vAlign w:val="center"/>
            <w:textDirection w:val="lrTb"/>
            <w:noWrap w:val="false"/>
          </w:tcPr>
          <w:p>
            <w:pPr>
              <w:pBdr/>
              <w:spacing w:after="40" w:before="40" w:line="276" w:lineRule="auto"/>
              <w:ind/>
              <w:jc w:val="both"/>
              <w:rPr>
                <w:b/>
                <w:bCs/>
                <w:color w:val="ff0000"/>
              </w:rPr>
            </w:pPr>
            <w:r>
              <w:rPr>
                <w:b/>
                <w:bCs/>
                <w:color w:val="000000" w:themeColor="text1"/>
                <w:lang w:val="vi-VN"/>
              </w:rPr>
              <w:t xml:space="preserve">Phó Giám đốc</w:t>
            </w:r>
            <w:r>
              <w:rPr>
                <w:b/>
                <w:bCs/>
                <w:color w:val="ff0000"/>
              </w:rPr>
            </w:r>
            <w:r>
              <w:rPr>
                <w:b/>
                <w:bCs/>
                <w:color w:val="ff0000"/>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038"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0100686174 - 175</w:t>
            </w:r>
            <w:r>
              <w:rPr>
                <w:color w:val="ff0000"/>
                <w:lang w:val="pt-BR"/>
              </w:rPr>
            </w:r>
            <w:r>
              <w:rPr>
                <w:color w:val="ff0000"/>
                <w:lang w:val="pt-BR"/>
              </w:rPr>
            </w:r>
          </w:p>
        </w:tc>
      </w:tr>
      <w:tr>
        <w:trPr>
          <w:trHeight w:val="20"/>
        </w:trPr>
        <w:tc>
          <w:tcPr>
            <w:tcBorders/>
            <w:tcW w:w="2518" w:type="dxa"/>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vMerge w:val="restart"/>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038" w:type="dxa"/>
            <w:vAlign w:val="center"/>
            <w:vMerge w:val="restart"/>
            <w:textDirection w:val="lrTb"/>
            <w:noWrap w:val="false"/>
          </w:tcPr>
          <w:p>
            <w:pPr>
              <w:pBdr/>
              <w:spacing w:after="40" w:before="40" w:line="276" w:lineRule="auto"/>
              <w:ind/>
              <w:jc w:val="both"/>
              <w:rPr>
                <w:rFonts w:ascii="Times New Roman" w:hAnsi="Times New Roman" w:cs="Times New Roman"/>
                <w:color w:val="ff0000"/>
                <w:sz w:val="24"/>
                <w:szCs w:val="24"/>
              </w:rPr>
            </w:pPr>
            <w:r>
              <w:rPr>
                <w:color w:val="000000" w:themeColor="text1"/>
                <w:lang w:val="vi-VN"/>
              </w:rPr>
            </w:r>
            <w:r>
              <w:rPr>
                <w:rFonts w:ascii="Times New Roman" w:hAnsi="Times New Roman" w:eastAsia="Times New Roman" w:cs="Times New Roman"/>
                <w:color w:val="333e48"/>
                <w:spacing w:val="-2"/>
                <w:sz w:val="24"/>
                <w:szCs w:val="24"/>
                <w:highlight w:val="white"/>
              </w:rPr>
              <w:t xml:space="preserve">Số 793 đường Nguyễn Văn Linh, Phường Phố Hiến, Tỉnh Hưng Yên, Việt Nam</w:t>
            </w:r>
            <w:r>
              <w:rPr>
                <w:rFonts w:ascii="Times New Roman" w:hAnsi="Times New Roman" w:cs="Times New Roman"/>
                <w:color w:val="ff0000"/>
                <w:sz w:val="24"/>
                <w:szCs w:val="24"/>
              </w:rPr>
            </w:r>
            <w:r>
              <w:rPr>
                <w:rFonts w:ascii="Times New Roman" w:hAnsi="Times New Roman" w:cs="Times New Roman"/>
                <w:color w:val="ff0000"/>
                <w:sz w:val="24"/>
                <w:szCs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7038"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91, tờ bản đồ số: 24 có địa chỉ: Xã Thủ Sỹ, huyện </w:t>
            </w:r>
            <w:r>
              <w:rPr>
                <w:bCs/>
                <w:color w:val="000000" w:themeColor="text1"/>
                <w:lang w:val="pt-BR"/>
              </w:rPr>
              <w:t xml:space="preserve">Tiên Lữ, tỉnh Hưng Yên (nay là xã Tân Hưng, Tỉnh Hưng Yên)  theo Giấy chứng nhận quyền sử dụng đất quyền sở hữu nhà ở và tài sản khác gắn liền với đất số: BK 841870, số vào sổ cấp GCN: CH 00511 do UBND huyện Tiên Lữ cấp ngày 10/03/2014 cho Ông Đào Văn Kiều</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7038" w:type="dxa"/>
            <w:vAlign w:val="center"/>
            <w:textDirection w:val="lrTb"/>
            <w:noWrap w:val="false"/>
          </w:tcPr>
          <w:p>
            <w:pPr>
              <w:pBdr/>
              <w:spacing/>
              <w:ind/>
              <w:rPr/>
            </w:pPr>
            <w:r/>
            <w:r>
              <w:rPr>
                <w:bCs/>
                <w:color w:val="000000" w:themeColor="text1"/>
                <w:spacing w:val="-4"/>
              </w:rPr>
              <w:t xml:space="preserve">Kết quả thẩm định giá để khách hàng tham khảo giá trị tài sản thẩm định làm cơ sở tham khảo xử lý tài sản đảm bảo theo đúng quy định của pháp luật hiện hành</w:t>
            </w:r>
            <w:r>
              <w:rPr>
                <w:bCs/>
              </w:rPr>
            </w: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7038"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7038"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7038"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w:t>
            </w:r>
            <w:r>
              <w:rPr>
                <w:bCs/>
                <w:color w:val="000000" w:themeColor="text1"/>
                <w:lang w:val="pt-BR"/>
              </w:rPr>
              <w:t xml:space="preserve">ã Tân Hưng, Tỉnh Hưng Yên</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7038" w:type="dxa"/>
            <w:vAlign w:val="center"/>
            <w:textDirection w:val="lrTb"/>
            <w:noWrap w:val="false"/>
          </w:tcPr>
          <w:p>
            <w:pPr>
              <w:pStyle w:val="101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20.645055555556, 106.10013888889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7038"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4"/>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4"/>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4"/>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4"/>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4"/>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4"/>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4"/>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4"/>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4"/>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BK 841870, số vào sổ cấp GCN: CH 00511 do UBND huyện Tiên Lữ cấp ngày 10/03/2014 cho Ông Đào Văn Kiều.</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4"/>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275/2026/0275/VFI-HĐTĐ.17.A</w:t>
      </w:r>
      <w:r>
        <w:rPr>
          <w:spacing w:val="-4"/>
          <w:lang w:val="vi-VN"/>
        </w:rPr>
        <w:t xml:space="preserve"> ký ngày </w:t>
      </w:r>
      <w:r>
        <w:rPr>
          <w:color w:val="000000" w:themeColor="text1"/>
          <w:spacing w:val="-4"/>
        </w:rPr>
        <w:t xml:space="preserve">30 tháng 1 năm 2026</w:t>
      </w:r>
      <w:r>
        <w:rPr>
          <w:spacing w:val="-4"/>
          <w:lang w:val="vi-VN"/>
        </w:rPr>
        <w:t xml:space="preserve"> </w:t>
      </w:r>
      <w:r>
        <w:rPr>
          <w:spacing w:val="-4"/>
          <w:lang w:val="vi-VN"/>
        </w:rPr>
        <w:t xml:space="preserve">giữa </w:t>
      </w:r>
      <w:r>
        <w:rPr>
          <w:color w:val="000000" w:themeColor="text1"/>
          <w:spacing w:val="-4"/>
        </w:rPr>
        <w:t xml:space="preserve">Ngân hàng Nông nghiệp và Phát triển Nông thôn Việt Nam - Chi nhánh tỉnh Hưng Yên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pPr>
        <w:pStyle w:val="1034"/>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Giá đất nền tại Hưng Yên</w:t>
      </w:r>
      <w:r>
        <w:rPr>
          <w:shd w:val="clear" w:color="auto" w:fill="ffffff"/>
        </w:rPr>
        <w:t xml:space="preserve"> tiếp tục có xu hướng tăng giá trong hai tháng gần đây.</w:t>
      </w:r>
      <w:r>
        <w:rPr>
          <w:i/>
          <w:iCs/>
          <w:lang w:val="pt-BR"/>
        </w:rPr>
      </w:r>
      <w:r>
        <w:rPr>
          <w:iCs/>
        </w:rPr>
      </w:r>
    </w:p>
    <w:p>
      <w:pPr>
        <w:pBdr/>
        <w:tabs>
          <w:tab w:val="left" w:leader="none" w:pos="426"/>
        </w:tabs>
        <w:spacing w:after="120" w:before="120" w:line="276" w:lineRule="auto"/>
        <w:ind/>
        <w:jc w:val="both"/>
        <w:rPr/>
      </w:pPr>
      <w:r>
        <w:rPr>
          <w:shd w:val="clear" w:color="auto" w:fill="ffffff"/>
        </w:rPr>
        <w:t xml:space="preserve">Dữ liệu thị trường bất động sản quý II/2025 tiếp tục ghi nhận Hưng Yên là thị trường đất nền sáng giá ở khu vực phía Bắc với mức tăng trưởng về giá đạt 75% so với quý I/2025.</w:t>
      </w:r>
      <w:r>
        <w:rPr>
          <w:bCs/>
          <w:i/>
          <w:lang w:val="pt-BR"/>
        </w:rPr>
      </w:r>
      <w:r/>
    </w:p>
    <w:p>
      <w:pPr>
        <w:pBdr/>
        <w:tabs>
          <w:tab w:val="left" w:leader="none" w:pos="426"/>
        </w:tabs>
        <w:spacing w:after="120" w:before="120" w:line="276" w:lineRule="auto"/>
        <w:ind/>
        <w:jc w:val="both"/>
        <w:rPr/>
      </w:pPr>
      <w:r>
        <w:rPr>
          <w:shd w:val="clear" w:color="auto" w:fill="ffffff"/>
        </w:rPr>
        <w:t xml:space="preserve">Trước đó, trong quý I/202</w:t>
      </w:r>
      <w:r>
        <w:rPr>
          <w:shd w:val="clear" w:color="auto" w:fill="ffffff"/>
        </w:rPr>
        <w:t xml:space="preserve">5, Hưng Yên nằm trong top đầu những tỉnh có lượng người tìm kiếm nhiều nhất. So với đầu năm 2025, thị trường đất nền Hưng Yên tiếp tục có sự đi lên về giá bán.</w:t>
        <w:br/>
        <w:t xml:space="preserve">Tại xã Văn Giang (được sáp nhập từ thị trấn Văn Giang, xã Liên Nghĩa và xã Tân Tiến), những lô đ</w:t>
      </w:r>
      <w:r>
        <w:rPr>
          <w:shd w:val="clear" w:color="auto" w:fill="ffffff"/>
        </w:rPr>
        <w:t xml:space="preserve">ất thuộc khu vực vòng xuyến (bùng binh) Văn Giang đã tăng giá từ 125 - 150 triệu đồng/m2 lên mức 135 - 160 triệu đồng/m2.</w:t>
      </w:r>
      <w:r>
        <w:rPr>
          <w:bCs/>
          <w:i/>
          <w:lang w:val="pt-BR"/>
        </w:rPr>
      </w:r>
      <w:r/>
    </w:p>
    <w:p>
      <w:pPr>
        <w:pBdr/>
        <w:tabs>
          <w:tab w:val="left" w:leader="none" w:pos="426"/>
        </w:tabs>
        <w:spacing w:after="120" w:before="120" w:line="276" w:lineRule="auto"/>
        <w:ind/>
        <w:jc w:val="both"/>
        <w:rPr/>
      </w:pPr>
      <w:r>
        <w:rPr>
          <w:shd w:val="clear" w:color="auto" w:fill="ffffff"/>
        </w:rPr>
        <w:t xml:space="preserve">Với những vị trí kém đẹp hơn, các lô đất mặt tiền thuộc trục đường chính có thể kinh doanh tại xã Văn Giang cũng đã thiết lập mặt bằng</w:t>
      </w:r>
      <w:r>
        <w:rPr>
          <w:shd w:val="clear" w:color="auto" w:fill="ffffff"/>
        </w:rPr>
        <w:t xml:space="preserve"> giá mới, đạt 65 - 78 triệu đồng/m2, thay cho mức giá 50 - 60 triệu đồng/m2 hồi đầu năm.</w:t>
      </w:r>
      <w:r>
        <w:rPr>
          <w:bCs/>
          <w:i/>
          <w:lang w:val="pt-BR"/>
        </w:rPr>
      </w:r>
      <w:r/>
    </w:p>
    <w:p>
      <w:pPr>
        <w:pBdr/>
        <w:tabs>
          <w:tab w:val="left" w:leader="none" w:pos="426"/>
        </w:tabs>
        <w:spacing w:after="120" w:before="120" w:line="276" w:lineRule="auto"/>
        <w:ind/>
        <w:jc w:val="both"/>
        <w:rPr/>
      </w:pPr>
      <w:r>
        <w:rPr>
          <w:shd w:val="clear" w:color="auto" w:fill="ffffff"/>
        </w:rPr>
        <w:t xml:space="preserve">Đất nền tại các khu vực Phụng Công, Xuân Cao và Cửu Cao (cũ) cũng ghi nhận mức tăng, từ 40 - 55 triệu đồng/m2 lên 44 - 58 triệu đồng/m2. Đất dịch vụ tại xã Văn Giang k</w:t>
      </w:r>
      <w:r>
        <w:rPr>
          <w:shd w:val="clear" w:color="auto" w:fill="ffffff"/>
        </w:rPr>
        <w:t xml:space="preserve">hông kém cạnh đất thổ cư khi giá rao bán đã tăng từ 78 - 120 triệu đồng/m2 lên mức 84 - 126 triệu đồng/m2. Đối với những lô đất dịch vụ có vị trí không sầm uất, mặt bằng giá mới cũng đã hình thành, tăng trung bình từ 3 - 5 giá so với cuối năm ngoái, dao độ</w:t>
      </w:r>
      <w:r>
        <w:rPr>
          <w:shd w:val="clear" w:color="auto" w:fill="ffffff"/>
        </w:rPr>
        <w:t xml:space="preserve">ng từ 40 - 55 triệu đồng/m2.</w:t>
      </w:r>
      <w:r>
        <w:rPr>
          <w:bCs/>
          <w:i/>
          <w:lang w:val="pt-BR"/>
        </w:rPr>
      </w:r>
      <w:r/>
    </w:p>
    <w:p>
      <w:pPr>
        <w:pBdr/>
        <w:tabs>
          <w:tab w:val="left" w:leader="none" w:pos="426"/>
        </w:tabs>
        <w:spacing w:after="120" w:before="120" w:line="276" w:lineRule="auto"/>
        <w:ind/>
        <w:jc w:val="both"/>
        <w:rPr/>
      </w:pPr>
      <w:r>
        <w:rPr>
          <w:shd w:val="clear" w:color="auto" w:fill="ffffff"/>
        </w:rPr>
        <w:t xml:space="preserve">Không chỉ Văn Giang, đất nền tại thành phố Hưng Yên cũng tăng giá đáng chú ý. Đơn cử, đất kinh doanh trên các tuyến đường Lương Định Của, Tạ Quang Bửu, Tôn Thất Tùng thuộc phường Phố Hiến (thành phố Hưng Yên) đã tăng giá từ 30 </w:t>
      </w:r>
      <w:r>
        <w:rPr>
          <w:shd w:val="clear" w:color="auto" w:fill="ffffff"/>
        </w:rPr>
        <w:t xml:space="preserve">- 35 triệu đồng/m2 lên 33 - 38 triệu đồng/m2. Tại các tuyến đường An Vũ, Nguyễn Biểu, Nguyễn Văn Linh thuộc phường Phố Hiến (phường Hiến Nam cũ), giá bán cũng tăng từ 26 - 32 triệu đồng/m2 lên 28 - 35 triệu đồng/m2.</w:t>
      </w:r>
      <w:r>
        <w:rPr>
          <w:bCs/>
          <w:i/>
          <w:lang w:val="pt-BR"/>
        </w:rPr>
      </w:r>
      <w:r/>
    </w:p>
    <w:p>
      <w:pPr>
        <w:pBdr/>
        <w:tabs>
          <w:tab w:val="left" w:leader="none" w:pos="426"/>
        </w:tabs>
        <w:spacing w:after="120" w:before="120" w:line="276" w:lineRule="auto"/>
        <w:ind/>
        <w:jc w:val="both"/>
        <w:rPr/>
      </w:pPr>
      <w:r>
        <w:rPr>
          <w:shd w:val="clear" w:color="auto" w:fill="ffffff"/>
        </w:rPr>
        <w:t xml:space="preserve">Đất mặt đường Huỳnh Thúc Kháng (phường S</w:t>
      </w:r>
      <w:r>
        <w:rPr>
          <w:shd w:val="clear" w:color="auto" w:fill="ffffff"/>
        </w:rPr>
        <w:t xml:space="preserve">ơn Nam) được chào bán từ 33 - 36 triệu đồng/m2, tăng khoảng 10% so với 3 tháng trước. Riêng những lô đất đẹp ở khu vực này hiện đang được rao bán với mức giá dao động từ 44 - 47 triệu đồng/m2.</w:t>
      </w:r>
      <w:r>
        <w:rPr>
          <w:bCs/>
          <w:i/>
          <w:lang w:val="pt-BR"/>
        </w:rPr>
      </w:r>
      <w:r/>
    </w:p>
    <w:p>
      <w:pPr>
        <w:pBdr/>
        <w:tabs>
          <w:tab w:val="left" w:leader="none" w:pos="426"/>
        </w:tabs>
        <w:spacing w:after="120" w:before="120" w:line="276" w:lineRule="auto"/>
        <w:ind/>
        <w:jc w:val="both"/>
        <w:rPr/>
      </w:pPr>
      <w:r>
        <w:rPr>
          <w:shd w:val="clear" w:color="auto" w:fill="ffffff"/>
        </w:rPr>
        <w:t xml:space="preserve">Nhận định thị trường đất nền từ nay đến cuối năm 2025, ông Lê Đ</w:t>
      </w:r>
      <w:r>
        <w:rPr>
          <w:shd w:val="clear" w:color="auto" w:fill="ffffff"/>
        </w:rPr>
        <w:t xml:space="preserve">ình Chung - Thành viên Tổ công tác nghiên cứu thị trường VARS, Tổng Giám đốc SGO Homes - cho rằng, về mặt tâm lý, các nhà đầu tư Việt Nam nói chung vẫn dành nhiều sự quan tâm cho phân khúc đất nền.</w:t>
      </w:r>
      <w:r/>
    </w:p>
    <w:p>
      <w:pPr>
        <w:pBdr/>
        <w:tabs>
          <w:tab w:val="left" w:leader="none" w:pos="426"/>
        </w:tabs>
        <w:spacing w:after="120" w:before="120" w:line="276" w:lineRule="auto"/>
        <w:ind/>
        <w:jc w:val="both"/>
        <w:rPr/>
      </w:pPr>
      <w:r>
        <w:rPr>
          <w:shd w:val="clear" w:color="auto" w:fill="ffffff"/>
        </w:rPr>
        <w:t xml:space="preserve">"Do tổng giá trị của một lô đất thường vừa phải, không đòi</w:t>
      </w:r>
      <w:r>
        <w:rPr>
          <w:shd w:val="clear" w:color="auto" w:fill="ffffff"/>
        </w:rPr>
        <w:t xml:space="preserve"> hỏi phải xây dựng ngay. Bên cạnh đó, nhiều người mua đất để dành, với mong muốn sau 3 - 5 năm mới xây dựng, nên đây là lựa chọn phù hợp cả với nhu cầu an cư lẫn đầu tư" - ông Chung nói.</w:t>
      </w:r>
      <w:r>
        <w:rPr>
          <w:bCs/>
          <w:i/>
          <w:lang w:val="pt-BR"/>
        </w:rPr>
      </w:r>
      <w:r/>
    </w:p>
    <w:p>
      <w:pPr>
        <w:pBdr/>
        <w:tabs>
          <w:tab w:val="left" w:leader="none" w:pos="426"/>
        </w:tabs>
        <w:spacing w:after="120" w:before="120" w:line="276" w:lineRule="auto"/>
        <w:ind/>
        <w:jc w:val="both"/>
        <w:rPr/>
      </w:pPr>
      <w:r>
        <w:rPr>
          <w:shd w:val="clear" w:color="auto" w:fill="ffffff"/>
        </w:rPr>
        <w:t xml:space="preserve">Yếu tố quan trọng khác là hạ tầng. Khi hạ tầng giao thông được đầu tư</w:t>
      </w:r>
      <w:r>
        <w:rPr>
          <w:shd w:val="clear" w:color="auto" w:fill="ffffff"/>
        </w:rPr>
        <w:t xml:space="preserve">, mở rộng, việc kết nối trở nên thuận lợi, người dân sẵn sàng dịch chuyển ra xa trung tâm để sở hữu bất động sản với mức giá hợp lý hơn. Đồng thời, doanh nghiệp, cơ sở sản xuất cũng có xu hướng dịch chuyển theo hạ tầng, tạo động lực cho phát triển kinh tế </w:t>
      </w:r>
      <w:r>
        <w:rPr>
          <w:shd w:val="clear" w:color="auto" w:fill="ffffff"/>
        </w:rPr>
        <w:t xml:space="preserve">- xã hội tại những khu vực này.</w:t>
      </w:r>
      <w:r>
        <w:rPr>
          <w:bCs/>
          <w:i/>
          <w:lang w:val="pt-BR"/>
        </w:rPr>
      </w:r>
      <w:r/>
    </w:p>
    <w:p>
      <w:pPr>
        <w:pBdr/>
        <w:tabs>
          <w:tab w:val="left" w:leader="none" w:pos="426"/>
        </w:tabs>
        <w:spacing w:after="120" w:before="120" w:line="276" w:lineRule="auto"/>
        <w:ind/>
        <w:jc w:val="both"/>
        <w:rPr/>
      </w:pPr>
      <w:r>
        <w:rPr>
          <w:shd w:val="clear" w:color="auto" w:fill="ffffff"/>
        </w:rPr>
        <w:t xml:space="preserve">Đánh giá về các thị trường cụ thể, ông Chung cho biết, Bắc Ninh và Hưng Yên đang là những địa phương nổi bật, nhận được sự quan tâm rất lớn từ nhà đầu tư. Đặc biệt, Hưng Yên thời gian qua liên tục xuất hiện nhiều dự án quy m</w:t>
      </w:r>
      <w:r>
        <w:rPr>
          <w:shd w:val="clear" w:color="auto" w:fill="ffffff"/>
        </w:rPr>
        <w:t xml:space="preserve">ô lớn của các tập đoàn bất động sản hàng đầu, khiến khu vực này trở thành tâm điểm của giới đầu tư.</w:t>
      </w:r>
      <w:r>
        <w:rPr>
          <w:bCs/>
          <w:i/>
          <w:lang w:val="pt-BR"/>
        </w:rPr>
      </w:r>
      <w:r/>
    </w:p>
    <w:p>
      <w:pPr>
        <w:pBdr/>
        <w:tabs>
          <w:tab w:val="left" w:leader="none" w:pos="426"/>
        </w:tabs>
        <w:spacing w:after="120" w:before="120" w:line="276" w:lineRule="auto"/>
        <w:ind/>
        <w:jc w:val="both"/>
        <w:rPr/>
      </w:pPr>
      <w:r>
        <w:rPr>
          <w:shd w:val="clear" w:color="auto" w:fill="ffffff"/>
        </w:rPr>
        <w:t xml:space="preserve">Để đảm bảo hiệu quả và hạn chế rủi ro khi đầu tư đất nền, ông Chung khuyến cáo các nhà đầu tư cần tránh chạy theo tâm lý đám đông.</w:t>
      </w:r>
      <w:r>
        <w:rPr>
          <w:bCs/>
          <w:i/>
          <w:lang w:val="pt-BR"/>
        </w:rPr>
      </w:r>
      <w:r/>
    </w:p>
    <w:p>
      <w:pPr>
        <w:pBdr/>
        <w:tabs>
          <w:tab w:val="left" w:leader="none" w:pos="426"/>
        </w:tabs>
        <w:spacing w:after="120" w:before="120" w:line="276" w:lineRule="auto"/>
        <w:ind/>
        <w:jc w:val="both"/>
        <w:rPr/>
      </w:pPr>
      <w:r>
        <w:rPr>
          <w:shd w:val="clear" w:color="auto" w:fill="ffffff"/>
        </w:rPr>
        <w:t xml:space="preserve">Bên cạnh đó, việc đầu tư </w:t>
      </w:r>
      <w:r>
        <w:rPr>
          <w:shd w:val="clear" w:color="auto" w:fill="ffffff"/>
        </w:rPr>
        <w:t xml:space="preserve">đất nền cần có tầm nhìn trung hạn, với thời gian thu hồi vốn ít nhất từ 1 đến 3 năm, thay vì kỳ vọng "lướt sóng" nhanh chóng.</w:t>
      </w:r>
      <w:r>
        <w:rPr>
          <w:bCs/>
          <w:i/>
          <w:lang w:val="pt-BR"/>
        </w:rPr>
      </w:r>
      <w:r/>
    </w:p>
    <w:p>
      <w:pPr>
        <w:pBdr/>
        <w:tabs>
          <w:tab w:val="left" w:leader="none" w:pos="426"/>
        </w:tabs>
        <w:spacing w:after="120" w:before="120" w:line="276" w:lineRule="auto"/>
        <w:ind/>
        <w:jc w:val="center"/>
        <w:rPr>
          <w:bCs/>
          <w:i/>
          <w:lang w:val="pt-BR"/>
        </w:rPr>
      </w:pPr>
      <w:r>
        <w:rPr>
          <w:shd w:val="clear" w:color="auto" w:fill="ffffff"/>
        </w:rPr>
        <w:t xml:space="preserve">(Nguồn tham khảo: https://laodong.vn/bat-dong-san/dat-nen-hung-yen-tiep-tuc-tang-gia-co-noi-cham-muc-160-trieu-dongm2-1569008.ldo)</w:t>
      </w:r>
      <w:r>
        <w:rPr>
          <w:bCs/>
          <w:i/>
          <w:lang w:val="pt-BR"/>
        </w:rPr>
      </w:r>
    </w:p>
    <w:p>
      <w:pPr>
        <w:pStyle w:val="103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Ind w:w="-238"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604"/>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9378" w:type="dxa"/>
            <w:vAlign w:val="center"/>
            <w:textDirection w:val="lrTb"/>
            <w:noWrap w:val="false"/>
          </w:tcPr>
          <w:p>
            <w:pPr>
              <w:pBdr/>
              <w:spacing/>
              <w:ind/>
              <w:jc w:val="both"/>
              <w:rPr>
                <w:b/>
                <w:bCs/>
                <w:color w:val="000000"/>
              </w:rPr>
            </w:pPr>
            <w:r>
              <w:rPr>
                <w:b/>
                <w:bCs/>
                <w:color w:val="000000"/>
              </w:rPr>
              <w:t xml:space="preserve">Quyền sử dụng đất tại thửa đất số: 91, tờ bản đồ số: 24 có địa chỉ: Xã Thủ Sỹ, huyện </w:t>
            </w:r>
            <w:r>
              <w:rPr>
                <w:b/>
                <w:bCs/>
                <w:color w:val="000000"/>
              </w:rPr>
              <w:t xml:space="preserve">Tiên Lữ, tỉnh Hưng Yên (nay là xã Tân Hưng, Tỉnh Hưng Yên) theo Giấy chứng nhận quyền sử dụng đất quyền sở hữu nhà ở và tài sản khác gắn liền với đất số: BK 841870, số vào sổ cấp GCN: CH 00511 do UBND huyện Tiên Lữ cấp ngày 10/03/2014 cho Ông Đào Văn Kiều</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9378"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604" w:type="dxa"/>
            <w:vAlign w:val="center"/>
            <w:textDirection w:val="lrTb"/>
            <w:noWrap w:val="false"/>
          </w:tcPr>
          <w:p>
            <w:pPr>
              <w:pBdr/>
              <w:spacing/>
              <w:ind/>
              <w:jc w:val="center"/>
              <w:rPr>
                <w:color w:val="ee0000"/>
              </w:rPr>
            </w:pPr>
            <w:r>
              <w:rPr>
                <w:color w:val="000000" w:themeColor="text1"/>
              </w:rPr>
              <w:t xml:space="preserve">24</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856" w:type="dxa"/>
            <w:vAlign w:val="center"/>
            <w:textDirection w:val="lrTb"/>
            <w:noWrap w:val="false"/>
          </w:tcPr>
          <w:p>
            <w:pPr>
              <w:pBdr/>
              <w:spacing/>
              <w:ind/>
              <w:jc w:val="both"/>
              <w:rPr>
                <w:b w:val="0"/>
                <w:bCs w:val="0"/>
                <w:color w:val="000000"/>
              </w:rPr>
            </w:pPr>
            <w:r>
              <w:rPr>
                <w:b w:val="0"/>
                <w:bCs w:val="0"/>
                <w:color w:val="000000"/>
              </w:rPr>
            </w:r>
            <w:r>
              <w:rPr>
                <w:b w:val="0"/>
                <w:bCs w:val="0"/>
                <w:color w:val="000000"/>
              </w:rPr>
              <w:t xml:space="preserve">Xã Thủ Sỹ, huyện </w:t>
            </w:r>
            <w:r>
              <w:rPr>
                <w:b w:val="0"/>
                <w:bCs w:val="0"/>
                <w:color w:val="000000"/>
              </w:rPr>
              <w:t xml:space="preserve">Tiên Lữ, tỉnh Hưng Yên (nay là xã Tân Hưng, Tỉnh Hưng Yên)</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164,4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604" w:type="dxa"/>
            <w:vAlign w:val="center"/>
            <w:textDirection w:val="lrTb"/>
            <w:noWrap w:val="false"/>
          </w:tcPr>
          <w:p>
            <w:pPr>
              <w:pBdr/>
              <w:spacing/>
              <w:ind/>
              <w:jc w:val="center"/>
              <w:rPr>
                <w:color w:val="000000"/>
              </w:rPr>
            </w:pPr>
            <w:r>
              <w:rPr>
                <w:color w:val="000000"/>
              </w:rPr>
              <w:t xml:space="preserve">Sử dụng riêng: 164,4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604"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856" w:type="dxa"/>
            <w:vAlign w:val="center"/>
            <w:textDirection w:val="lrTb"/>
            <w:noWrap w:val="false"/>
          </w:tcPr>
          <w:p>
            <w:pPr>
              <w:pBdr/>
              <w:spacing/>
              <w:ind/>
              <w:jc w:val="both"/>
              <w:rPr>
                <w:color w:val="000000"/>
              </w:rPr>
            </w:pPr>
            <w:r>
              <w:rPr>
                <w:color w:val="000000"/>
              </w:rPr>
              <w:t xml:space="preserve">Công nhận QSDĐ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8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b w:val="0"/>
                <w:bCs w:val="0"/>
              </w:rPr>
            </w:pPr>
            <w:r>
              <w:rPr>
                <w:rFonts w:ascii="Times New Roman" w:hAnsi="Times New Roman" w:eastAsia="Times New Roman" w:cs="Times New Roman"/>
                <w:b w:val="0"/>
                <w:bCs w:val="0"/>
                <w:color w:val="000000"/>
                <w:sz w:val="24"/>
              </w:rPr>
              <w:t xml:space="preserve">Căn cứ </w:t>
            </w:r>
            <w:r>
              <w:rPr>
                <w:b w:val="0"/>
                <w:bCs w:val="0"/>
                <w:color w:val="000000"/>
              </w:rPr>
              <w:t xml:space="preserve">Giấy chứng nhận quyền sử dụng đất quyền sở hữu nhà ở và tài sản khác gắn liền với đất số: BK 841870</w:t>
            </w:r>
            <w:r>
              <w:rPr>
                <w:rFonts w:ascii="Times New Roman" w:hAnsi="Times New Roman" w:eastAsia="Times New Roman" w:cs="Times New Roman"/>
                <w:b w:val="0"/>
                <w:bCs w:val="0"/>
                <w:color w:val="000000"/>
                <w:sz w:val="24"/>
              </w:rPr>
              <w:t xml:space="preserve">, thửa đất có khoảng 54m² đất ở tại nông thôn thuộc hành lang bảo vệ an toàn giao thông đường QL 39A.</w:t>
            </w:r>
            <w:r>
              <w:rPr>
                <w:b w:val="0"/>
                <w:bCs w:val="0"/>
              </w:rPr>
            </w:r>
            <w:r>
              <w:rPr>
                <w:b w:val="0"/>
                <w:bCs w:val="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9378"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9378"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themeColor="text1"/>
              </w:rPr>
              <w:t xml:space="preserve">Mặt tiền đường QL39A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604"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r>
            <w:r>
              <w:rPr>
                <w:color w:val="000000" w:themeColor="text1"/>
              </w:rPr>
              <w:t xml:space="preserve"> </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604" w:type="dxa"/>
            <w:vAlign w:val="center"/>
            <w:textDirection w:val="lrTb"/>
            <w:noWrap w:val="false"/>
          </w:tcPr>
          <w:p>
            <w:pPr>
              <w:pBdr/>
              <w:spacing/>
              <w:ind/>
              <w:jc w:val="center"/>
              <w:rPr>
                <w:color w:val="000000"/>
              </w:rPr>
            </w:pPr>
            <w:r>
              <w:rPr>
                <w:color w:val="000000" w:themeColor="text1"/>
              </w:rPr>
              <w:t xml:space="preserve">10m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856" w:type="dxa"/>
            <w:vAlign w:val="center"/>
            <w:textDirection w:val="lrTb"/>
            <w:noWrap w:val="false"/>
          </w:tcPr>
          <w:p>
            <w:pPr>
              <w:pBdr/>
              <w:spacing/>
              <w:ind/>
              <w:jc w:val="both"/>
              <w:rPr>
                <w:color w:val="000000"/>
              </w:rPr>
            </w:pPr>
            <w:r>
              <w:rPr>
                <w:color w:val="000000" w:themeColor="text1"/>
              </w:rPr>
            </w:r>
            <w:r>
              <w:rPr>
                <w:color w:val="000000"/>
              </w:rPr>
              <w:t xml:space="preserve">Tài sản nằm tiếp giáp mặt tiền đường QL39A thuộc xã Thủ Sỹ, huyện Tiên Lữ, tỉnh Hưng Yên (nay là xã Tân Hưng, tỉnh Hưng Yên)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856" w:type="dxa"/>
            <w:vAlign w:val="center"/>
            <w:textDirection w:val="lrTb"/>
            <w:noWrap w:val="false"/>
          </w:tcPr>
          <w:p>
            <w:pPr>
              <w:pStyle w:val="1034"/>
              <w:numPr>
                <w:ilvl w:val="0"/>
                <w:numId w:val="39"/>
              </w:numPr>
              <w:pBdr/>
              <w:spacing/>
              <w:ind w:right="0" w:hanging="360" w:left="360"/>
              <w:rPr>
                <w:color w:val="000000" w:themeColor="text1"/>
              </w:rPr>
            </w:pPr>
            <w:r/>
            <w:bookmarkStart w:id="3" w:name="OLE_LINK1"/>
            <w:r>
              <w:rPr>
                <w:color w:val="000000" w:themeColor="text1"/>
              </w:rPr>
              <w:t xml:space="preserve">Hướng Tây Bắc: Tiếp giáp đường QL 39A</w:t>
            </w:r>
            <w:r>
              <w:rPr>
                <w:color w:val="000000" w:themeColor="text1"/>
              </w:rPr>
            </w:r>
            <w:r>
              <w:rPr>
                <w:color w:val="000000" w:themeColor="text1"/>
              </w:rPr>
            </w:r>
          </w:p>
          <w:p>
            <w:pPr>
              <w:pStyle w:val="1034"/>
              <w:numPr>
                <w:ilvl w:val="0"/>
                <w:numId w:val="39"/>
              </w:numPr>
              <w:pBdr/>
              <w:spacing/>
              <w:ind w:right="0" w:hanging="360" w:left="360"/>
              <w:rPr>
                <w:color w:val="000000" w:themeColor="text1"/>
              </w:rPr>
            </w:pPr>
            <w:r>
              <w:rPr>
                <w:color w:val="000000" w:themeColor="text1"/>
              </w:rPr>
              <w:t xml:space="preserve">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9378"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20.645055555556</w:t>
            </w:r>
            <w:r>
              <w:rPr>
                <w:color w:val="000000"/>
              </w:rPr>
              <w:t xml:space="preserve">, </w:t>
            </w:r>
            <w:r>
              <w:rPr>
                <w:color w:val="000000"/>
              </w:rPr>
              <w:t xml:space="preserve">106.10013888889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9378"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296240" cy="2878168"/>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296239" cy="287816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7.03pt;height:226.63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9378"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164,4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604"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604" w:type="dxa"/>
            <w:vAlign w:val="center"/>
            <w:textDirection w:val="lrTb"/>
            <w:noWrap w:val="false"/>
          </w:tcPr>
          <w:p>
            <w:pPr>
              <w:pBdr/>
              <w:spacing/>
              <w:ind/>
              <w:jc w:val="center"/>
              <w:rPr>
                <w:color w:val="000000" w:themeColor="text1"/>
              </w:rPr>
            </w:pPr>
            <w:r>
              <w:rPr>
                <w:color w:val="000000" w:themeColor="text1"/>
              </w:rPr>
              <w:t xml:space="preserve">46.21</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Thóp hậu 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604"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9378"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856"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856" w:type="dxa"/>
            <w:vAlign w:val="center"/>
            <w:textDirection w:val="lrTb"/>
            <w:noWrap w:val="false"/>
          </w:tcPr>
          <w:p>
            <w:pPr>
              <w:pBdr/>
              <w:spacing/>
              <w:ind/>
              <w:rPr>
                <w:color w:val="000000"/>
              </w:rPr>
            </w:pPr>
            <w:r>
              <w:rPr>
                <w:color w:val="000000"/>
              </w:rPr>
              <w:t xml:space="preserve">Đầy đủ, đồng bộ</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604"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604"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9378"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9378" w:type="dxa"/>
            <w:textDirection w:val="lrTb"/>
            <w:noWrap w:val="false"/>
          </w:tcPr>
          <w:p>
            <w:pPr>
              <w:numPr>
                <w:ilvl w:val="0"/>
                <w:numId w:val="40"/>
              </w:numPr>
              <w:pBdr>
                <w:top w:val="none" w:color="000000" w:sz="4" w:space="0"/>
                <w:left w:val="none" w:color="000000" w:sz="4" w:space="0"/>
                <w:bottom w:val="none" w:color="000000" w:sz="4" w:space="0"/>
                <w:right w:val="none" w:color="000000" w:sz="4" w:space="0"/>
              </w:pBdr>
              <w:spacing w:after="20" w:before="20"/>
              <w:ind w:right="0" w:hanging="360" w:left="360"/>
              <w:jc w:val="both"/>
              <w:rPr>
                <w:b w:val="0"/>
                <w:bCs w:val="0"/>
              </w:rPr>
            </w:pPr>
            <w:r>
              <w:rPr>
                <w:rFonts w:ascii="Times New Roman" w:hAnsi="Times New Roman" w:eastAsia="Times New Roman" w:cs="Times New Roman"/>
                <w:b w:val="0"/>
                <w:bCs w:val="0"/>
                <w:color w:val="000000"/>
                <w:sz w:val="24"/>
              </w:rPr>
              <w:t xml:space="preserve">Trên thửa đất có 01 nhà cấp 4 có diện tích sử dụng khoảng 120m², kết cấu xây tường gạch chịu lực, mái lợp tôn. Ngoại quan trung bình. Hiện trạng nhà cũ, kết cấu ổn định, bền vững. </w:t>
            </w:r>
            <w:r>
              <w:rPr>
                <w:b w:val="0"/>
                <w:bCs w:val="0"/>
              </w:rPr>
            </w:r>
            <w:r>
              <w:rPr>
                <w:b w:val="0"/>
                <w:bCs w:val="0"/>
              </w:rPr>
            </w:r>
          </w:p>
          <w:p>
            <w:pPr>
              <w:numPr>
                <w:ilvl w:val="0"/>
                <w:numId w:val="40"/>
              </w:numPr>
              <w:pBdr>
                <w:top w:val="none" w:color="000000" w:sz="4" w:space="0"/>
                <w:left w:val="none" w:color="000000" w:sz="4" w:space="0"/>
                <w:bottom w:val="none" w:color="000000" w:sz="4" w:space="0"/>
                <w:right w:val="none" w:color="000000" w:sz="4" w:space="0"/>
              </w:pBdr>
              <w:spacing w:after="20" w:before="20"/>
              <w:ind w:right="0" w:hanging="360" w:left="360"/>
              <w:jc w:val="both"/>
              <w:rPr>
                <w:b w:val="0"/>
                <w:bCs w:val="0"/>
              </w:rPr>
            </w:pPr>
            <w:r>
              <w:rPr>
                <w:rFonts w:ascii="Times New Roman" w:hAnsi="Times New Roman" w:eastAsia="Times New Roman" w:cs="Times New Roman"/>
                <w:b w:val="0"/>
                <w:bCs w:val="0"/>
                <w:color w:val="000000"/>
                <w:sz w:val="24"/>
                <w:szCs w:val="24"/>
              </w:rPr>
            </w:r>
            <w:r>
              <w:rPr>
                <w:rFonts w:ascii="Times New Roman" w:hAnsi="Times New Roman" w:eastAsia="Times New Roman" w:cs="Times New Roman"/>
                <w:b w:val="0"/>
                <w:bCs w:val="0"/>
                <w:color w:val="000000"/>
                <w:sz w:val="24"/>
              </w:rPr>
              <w:t xml:space="preserve">Công trình chưa được chứng nhận trên </w:t>
            </w:r>
            <w:r>
              <w:rPr>
                <w:b w:val="0"/>
                <w:bCs w:val="0"/>
                <w:color w:val="000000"/>
              </w:rPr>
              <w:t xml:space="preserve">Giấy chứng nhận quyền sử dụng đất quyền sở hữu nhà ở và tài sản khác gắn liền với đất số: BK 841870</w:t>
            </w:r>
            <w:r>
              <w:rPr>
                <w:rFonts w:ascii="Times New Roman" w:hAnsi="Times New Roman" w:eastAsia="Times New Roman" w:cs="Times New Roman"/>
                <w:b w:val="0"/>
                <w:bCs w:val="0"/>
                <w:color w:val="000000"/>
                <w:sz w:val="24"/>
              </w:rPr>
              <w:t xml:space="preserve">.</w:t>
            </w:r>
            <w:r>
              <w:rPr>
                <w:b w:val="0"/>
                <w:bCs w:val="0"/>
              </w:rPr>
            </w:r>
            <w:r>
              <w:rPr>
                <w:b w:val="0"/>
                <w:bCs w:val="0"/>
              </w:rPr>
            </w:r>
          </w:p>
        </w:tc>
      </w:tr>
    </w:tbl>
    <w:p>
      <w:pPr>
        <w:pBdr/>
        <w:spacing/>
        <w:ind/>
        <w:rPr>
          <w:b/>
          <w:bCs/>
        </w:rPr>
      </w:pPr>
      <w:r>
        <w:rPr>
          <w:b/>
          <w:bCs/>
          <w:highlight w:val="none"/>
          <w:shd w:val="clear" w:color="auto" w:fill="ffffff"/>
        </w:rPr>
      </w:r>
      <w:r>
        <w:rPr>
          <w:b/>
          <w:bCs/>
          <w:highlight w:val="none"/>
          <w:shd w:val="clear" w:color="auto" w:fill="ffffff"/>
        </w:rPr>
      </w:r>
      <w:r>
        <w:rPr>
          <w:b/>
          <w:bCs/>
          <w:highlight w:val="none"/>
          <w:shd w:val="clear" w:color="auto" w:fill="ffffff"/>
        </w:rPr>
      </w:r>
    </w:p>
    <w:p>
      <w:pPr>
        <w:pBdr/>
        <w:spacing/>
        <w:ind/>
        <w:rPr>
          <w:b/>
          <w:bCs/>
          <w:highlight w:val="none"/>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8"/>
        <w:jc w:val="center"/>
        <w:tblW w:w="0" w:type="auto"/>
        <w:tblBorders/>
        <w:tblLayout w:type="fixed"/>
        <w:tblLook w:val="04A0" w:firstRow="1" w:lastRow="0" w:firstColumn="1" w:lastColumn="0" w:noHBand="0" w:noVBand="1"/>
      </w:tblPr>
      <w:tblGrid>
        <w:gridCol w:w="648"/>
        <w:gridCol w:w="1663"/>
        <w:gridCol w:w="1937"/>
        <w:gridCol w:w="2430"/>
        <w:gridCol w:w="1371"/>
        <w:gridCol w:w="1631"/>
      </w:tblGrid>
      <w:tr>
        <w:trPr>
          <w:jc w:val="center"/>
        </w:trPr>
        <w:tc>
          <w:tcPr>
            <w:tcBorders/>
            <w:tcW w:w="648" w:type="dxa"/>
            <w:vAlign w:val="center"/>
            <w:textDirection w:val="lrTb"/>
            <w:noWrap w:val="false"/>
          </w:tcPr>
          <w:p>
            <w:pPr>
              <w:pBdr/>
              <w:spacing/>
              <w:ind/>
              <w:jc w:val="center"/>
              <w:rPr>
                <w:b/>
                <w:bCs/>
              </w:rPr>
            </w:pPr>
            <w:r>
              <w:rPr>
                <w:b/>
                <w:bCs/>
              </w:rPr>
              <w:t xml:space="preserve">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937"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2430"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1631"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648"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937" w:type="dxa"/>
            <w:vAlign w:val="center"/>
            <w:textDirection w:val="lrTb"/>
            <w:noWrap w:val="false"/>
          </w:tcPr>
          <w:p>
            <w:pPr>
              <w:pBdr/>
              <w:spacing/>
              <w:ind/>
              <w:jc w:val="center"/>
              <w:rPr/>
            </w:pPr>
            <w:r>
              <w:t xml:space="preserve">Xã Thủ Sỹ, Huyện Tiên Lữ, Tỉnh Hưng Yên</w:t>
            </w:r>
            <w:r/>
          </w:p>
        </w:tc>
        <w:tc>
          <w:tcPr>
            <w:tcBorders/>
            <w:tcW w:w="2430" w:type="dxa"/>
            <w:vAlign w:val="center"/>
            <w:textDirection w:val="lrTb"/>
            <w:noWrap w:val="false"/>
          </w:tcPr>
          <w:p>
            <w:pPr>
              <w:pBdr/>
              <w:spacing/>
              <w:ind/>
              <w:jc w:val="center"/>
              <w:rPr/>
            </w:pPr>
            <w:r>
              <w:t xml:space="preserve">Xã Thủ Sỹ, Huyện Tiên Lữ, Tỉnh Hưng Yên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937" w:type="dxa"/>
            <w:vAlign w:val="center"/>
            <w:textDirection w:val="lrTb"/>
            <w:noWrap w:val="false"/>
          </w:tcPr>
          <w:p>
            <w:pPr>
              <w:pBdr/>
              <w:spacing/>
              <w:ind/>
              <w:jc w:val="center"/>
              <w:rPr/>
            </w:pPr>
            <w:r>
              <w:t xml:space="preserve">Xã Thủ Sỹ, Huyện Tiên Lữ, Tỉnh Hưng Yên</w:t>
            </w:r>
            <w:r/>
          </w:p>
        </w:tc>
        <w:tc>
          <w:tcPr>
            <w:tcBorders/>
            <w:tcW w:w="2430" w:type="dxa"/>
            <w:vAlign w:val="center"/>
            <w:textDirection w:val="lrTb"/>
            <w:noWrap w:val="false"/>
          </w:tcPr>
          <w:p>
            <w:pPr>
              <w:pBdr/>
              <w:spacing/>
              <w:ind/>
              <w:jc w:val="center"/>
              <w:rPr/>
            </w:pPr>
            <w:r>
              <w:t xml:space="preserve">Xã Thủ Sỹ, Huyện Tiên Lữ, Tỉnh Hưng Yên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937"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2430"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937" w:type="dxa"/>
            <w:vAlign w:val="center"/>
            <w:textDirection w:val="lrTb"/>
            <w:noWrap w:val="false"/>
          </w:tcPr>
          <w:p>
            <w:pPr>
              <w:pBdr/>
              <w:spacing/>
              <w:ind/>
              <w:jc w:val="center"/>
              <w:rPr/>
            </w:pPr>
            <w:r>
              <w:t xml:space="preserve">Đất ở nông thôn</w:t>
            </w:r>
            <w:r/>
          </w:p>
        </w:tc>
        <w:tc>
          <w:tcPr>
            <w:tcBorders/>
            <w:tcW w:w="2430" w:type="dxa"/>
            <w:vAlign w:val="center"/>
            <w:textDirection w:val="lrTb"/>
            <w:noWrap w:val="false"/>
          </w:tcPr>
          <w:p>
            <w:pPr>
              <w:pBdr/>
              <w:spacing/>
              <w:ind/>
              <w:jc w:val="center"/>
              <w:rPr/>
            </w:pPr>
            <w:r>
              <w:t xml:space="preserve">Đất ở nông thôn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937" w:type="dxa"/>
            <w:vAlign w:val="center"/>
            <w:textDirection w:val="lrTb"/>
            <w:noWrap w:val="false"/>
          </w:tcPr>
          <w:p>
            <w:pPr>
              <w:pBdr/>
              <w:spacing/>
              <w:ind/>
              <w:jc w:val="center"/>
              <w:rPr/>
            </w:pPr>
            <w:r>
              <w:t xml:space="preserve">Lâu dài</w:t>
            </w:r>
            <w:r/>
          </w:p>
        </w:tc>
        <w:tc>
          <w:tcPr>
            <w:tcBorders/>
            <w:tcW w:w="2430"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937" w:type="dxa"/>
            <w:vAlign w:val="center"/>
            <w:textDirection w:val="lrTb"/>
            <w:noWrap w:val="false"/>
          </w:tcPr>
          <w:p>
            <w:pPr>
              <w:pBdr/>
              <w:spacing/>
              <w:ind/>
              <w:jc w:val="center"/>
              <w:rPr/>
            </w:pPr>
            <w:r>
              <w:t xml:space="preserve">VT1</w:t>
            </w:r>
            <w:r/>
          </w:p>
        </w:tc>
        <w:tc>
          <w:tcPr>
            <w:tcBorders/>
            <w:tcW w:w="2430"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937" w:type="dxa"/>
            <w:vAlign w:val="center"/>
            <w:textDirection w:val="lrTb"/>
            <w:noWrap w:val="false"/>
          </w:tcPr>
          <w:p>
            <w:pPr>
              <w:pBdr/>
              <w:spacing/>
              <w:ind/>
              <w:jc w:val="center"/>
              <w:rPr/>
            </w:pPr>
            <w:r>
              <w:t xml:space="preserve">Đường nhựa có vỉa hè</w:t>
            </w:r>
            <w:r/>
          </w:p>
        </w:tc>
        <w:tc>
          <w:tcPr>
            <w:tcBorders/>
            <w:tcW w:w="2430"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937" w:type="dxa"/>
            <w:vAlign w:val="center"/>
            <w:textDirection w:val="lrTb"/>
            <w:noWrap w:val="false"/>
          </w:tcPr>
          <w:p>
            <w:pPr>
              <w:pBdr/>
              <w:spacing/>
              <w:ind/>
              <w:jc w:val="center"/>
              <w:rPr/>
            </w:pPr>
            <w:r>
              <w:t xml:space="preserve">10 </w:t>
            </w:r>
            <w:r/>
          </w:p>
        </w:tc>
        <w:tc>
          <w:tcPr>
            <w:tcBorders/>
            <w:tcW w:w="2430" w:type="dxa"/>
            <w:vAlign w:val="center"/>
            <w:textDirection w:val="lrTb"/>
            <w:noWrap w:val="false"/>
          </w:tcPr>
          <w:p>
            <w:pPr>
              <w:pBdr/>
              <w:spacing/>
              <w:ind/>
              <w:jc w:val="center"/>
              <w:rPr/>
            </w:pPr>
            <w:r>
              <w:t xml:space="preserve">10 ✔</w:t>
            </w:r>
            <w:r/>
          </w:p>
        </w:tc>
        <w:tc>
          <w:tcPr>
            <w:tcBorders/>
            <w:tcW w:w="1371" w:type="dxa"/>
            <w:vAlign w:val="center"/>
            <w:textDirection w:val="lrTb"/>
            <w:noWrap w:val="false"/>
          </w:tcPr>
          <w:p>
            <w:pPr>
              <w:pBdr/>
              <w:spacing/>
              <w:ind/>
              <w:jc w:val="center"/>
              <w:rPr/>
            </w:pPr>
            <w:r>
              <w:t xml:space="preserve">0</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937" w:type="dxa"/>
            <w:vAlign w:val="center"/>
            <w:textDirection w:val="lrTb"/>
            <w:noWrap w:val="false"/>
          </w:tcPr>
          <w:p>
            <w:pPr>
              <w:pBdr/>
              <w:spacing/>
              <w:ind/>
              <w:jc w:val="center"/>
              <w:rPr/>
            </w:pPr>
            <w:r>
              <w:t xml:space="preserve">Hạ tầng khu dân cư thông thường</w:t>
            </w:r>
            <w:r/>
          </w:p>
        </w:tc>
        <w:tc>
          <w:tcPr>
            <w:tcBorders/>
            <w:tcW w:w="2430"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937" w:type="dxa"/>
            <w:vAlign w:val="center"/>
            <w:textDirection w:val="lrTb"/>
            <w:noWrap w:val="false"/>
          </w:tcPr>
          <w:p>
            <w:pPr>
              <w:pBdr/>
              <w:spacing/>
              <w:ind/>
              <w:jc w:val="center"/>
              <w:rPr/>
            </w:pPr>
            <w:r>
              <w:t xml:space="preserve">Tốt</w:t>
            </w:r>
            <w:r/>
          </w:p>
        </w:tc>
        <w:tc>
          <w:tcPr>
            <w:tcBorders/>
            <w:tcW w:w="2430"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937" w:type="dxa"/>
            <w:vAlign w:val="center"/>
            <w:textDirection w:val="lrTb"/>
            <w:noWrap w:val="false"/>
          </w:tcPr>
          <w:p>
            <w:pPr>
              <w:pBdr/>
              <w:spacing/>
              <w:ind/>
              <w:jc w:val="center"/>
              <w:rPr/>
            </w:pPr>
            <w:r>
              <w:t xml:space="preserve">164,4</w:t>
            </w:r>
            <w:r/>
          </w:p>
        </w:tc>
        <w:tc>
          <w:tcPr>
            <w:tcBorders/>
            <w:tcW w:w="2430" w:type="dxa"/>
            <w:vAlign w:val="center"/>
            <w:textDirection w:val="lrTb"/>
            <w:noWrap w:val="false"/>
          </w:tcPr>
          <w:p>
            <w:pPr>
              <w:pBdr/>
              <w:spacing/>
              <w:ind/>
              <w:jc w:val="center"/>
              <w:rPr/>
            </w:pPr>
            <w:r>
              <w:t xml:space="preserve">164,4 ✔</w:t>
            </w:r>
            <w:r/>
          </w:p>
        </w:tc>
        <w:tc>
          <w:tcPr>
            <w:tcBorders/>
            <w:tcW w:w="1371" w:type="dxa"/>
            <w:vAlign w:val="center"/>
            <w:textDirection w:val="lrTb"/>
            <w:noWrap w:val="false"/>
          </w:tcPr>
          <w:p>
            <w:pPr>
              <w:pBdr/>
              <w:spacing/>
              <w:ind/>
              <w:jc w:val="center"/>
              <w:rPr/>
            </w:pPr>
            <w:r>
              <w:t xml:space="preserve">0</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937" w:type="dxa"/>
            <w:vAlign w:val="center"/>
            <w:textDirection w:val="lrTb"/>
            <w:noWrap w:val="false"/>
          </w:tcPr>
          <w:p>
            <w:pPr>
              <w:pBdr/>
              <w:spacing/>
              <w:ind/>
              <w:jc w:val="center"/>
              <w:rPr/>
            </w:pPr>
            <w:r>
              <w:t xml:space="preserve">4</w:t>
            </w:r>
            <w:r/>
          </w:p>
        </w:tc>
        <w:tc>
          <w:tcPr>
            <w:tcBorders/>
            <w:tcW w:w="2430" w:type="dxa"/>
            <w:vAlign w:val="center"/>
            <w:textDirection w:val="lrTb"/>
            <w:noWrap w:val="false"/>
          </w:tcPr>
          <w:p>
            <w:pPr>
              <w:pBdr/>
              <w:spacing/>
              <w:ind/>
              <w:jc w:val="center"/>
              <w:rPr/>
            </w:pPr>
            <w:r>
              <w:t xml:space="preserve">4 ✔</w:t>
            </w:r>
            <w:r/>
          </w:p>
        </w:tc>
        <w:tc>
          <w:tcPr>
            <w:tcBorders/>
            <w:tcW w:w="1371" w:type="dxa"/>
            <w:vAlign w:val="center"/>
            <w:textDirection w:val="lrTb"/>
            <w:noWrap w:val="false"/>
          </w:tcPr>
          <w:p>
            <w:pPr>
              <w:pBdr/>
              <w:spacing/>
              <w:ind/>
              <w:jc w:val="center"/>
              <w:rPr/>
            </w:pPr>
            <w:r>
              <w:t xml:space="preserve">0</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937" w:type="dxa"/>
            <w:vAlign w:val="center"/>
            <w:textDirection w:val="lrTb"/>
            <w:noWrap w:val="false"/>
          </w:tcPr>
          <w:p>
            <w:pPr>
              <w:pBdr/>
              <w:spacing/>
              <w:ind/>
              <w:jc w:val="center"/>
              <w:rPr/>
            </w:pPr>
            <w:r>
              <w:t xml:space="preserve">46,21</w:t>
            </w:r>
            <w:r/>
          </w:p>
        </w:tc>
        <w:tc>
          <w:tcPr>
            <w:tcBorders/>
            <w:tcW w:w="2430" w:type="dxa"/>
            <w:vAlign w:val="center"/>
            <w:textDirection w:val="lrTb"/>
            <w:noWrap w:val="false"/>
          </w:tcPr>
          <w:p>
            <w:pPr>
              <w:pBdr/>
              <w:spacing/>
              <w:ind/>
              <w:jc w:val="center"/>
              <w:rPr/>
            </w:pPr>
            <w:r>
              <w:t xml:space="preserve">46,21 ✔</w:t>
            </w:r>
            <w:r/>
          </w:p>
        </w:tc>
        <w:tc>
          <w:tcPr>
            <w:tcBorders/>
            <w:tcW w:w="1371" w:type="dxa"/>
            <w:vAlign w:val="center"/>
            <w:textDirection w:val="lrTb"/>
            <w:noWrap w:val="false"/>
          </w:tcPr>
          <w:p>
            <w:pPr>
              <w:pBdr/>
              <w:spacing/>
              <w:ind/>
              <w:jc w:val="center"/>
              <w:rPr/>
            </w:pPr>
            <w:r>
              <w:t xml:space="preserve">0</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937" w:type="dxa"/>
            <w:vAlign w:val="center"/>
            <w:textDirection w:val="lrTb"/>
            <w:noWrap w:val="false"/>
          </w:tcPr>
          <w:p>
            <w:pPr>
              <w:pBdr/>
              <w:spacing/>
              <w:ind/>
              <w:jc w:val="center"/>
              <w:rPr/>
            </w:pPr>
            <w:r>
              <w:t xml:space="preserve">Tiếp giáp 1 mặt tiền</w:t>
            </w:r>
            <w:r/>
          </w:p>
        </w:tc>
        <w:tc>
          <w:tcPr>
            <w:tcBorders/>
            <w:tcW w:w="2430"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937" w:type="dxa"/>
            <w:vAlign w:val="center"/>
            <w:textDirection w:val="lrTb"/>
            <w:noWrap w:val="false"/>
          </w:tcPr>
          <w:p>
            <w:pPr>
              <w:pBdr/>
              <w:spacing/>
              <w:ind/>
              <w:jc w:val="center"/>
              <w:rPr/>
            </w:pPr>
            <w:r>
              <w:t xml:space="preserve">Thóp hậu</w:t>
            </w:r>
            <w:r/>
          </w:p>
        </w:tc>
        <w:tc>
          <w:tcPr>
            <w:tcBorders/>
            <w:tcW w:w="2430" w:type="dxa"/>
            <w:vAlign w:val="center"/>
            <w:textDirection w:val="lrTb"/>
            <w:noWrap w:val="false"/>
          </w:tcPr>
          <w:p>
            <w:pPr>
              <w:pBdr/>
              <w:spacing/>
              <w:ind/>
              <w:jc w:val="center"/>
              <w:rPr/>
            </w:pPr>
            <w:r>
              <w:t xml:space="preserve">Thóp hậu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937" w:type="dxa"/>
            <w:vAlign w:val="center"/>
            <w:textDirection w:val="lrTb"/>
            <w:noWrap w:val="false"/>
          </w:tcPr>
          <w:p>
            <w:pPr>
              <w:pBdr/>
              <w:spacing/>
              <w:ind/>
              <w:jc w:val="center"/>
              <w:rPr/>
            </w:pPr>
            <w:r>
              <w:t xml:space="preserve">Tốt</w:t>
            </w:r>
            <w:r/>
          </w:p>
        </w:tc>
        <w:tc>
          <w:tcPr>
            <w:tcBorders/>
            <w:tcW w:w="2430"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21</w:t>
            </w:r>
            <w:r/>
          </w:p>
        </w:tc>
        <w:tc>
          <w:tcPr>
            <w:tcBorders/>
            <w:tcW w:w="1663" w:type="dxa"/>
            <w:vAlign w:val="center"/>
            <w:textDirection w:val="lrTb"/>
            <w:noWrap w:val="false"/>
          </w:tcPr>
          <w:p>
            <w:pPr>
              <w:pBdr/>
              <w:spacing/>
              <w:ind/>
              <w:jc w:val="center"/>
              <w:rPr/>
            </w:pPr>
            <w:r>
              <w:t xml:space="preserve">Khả năng chuyển nhượng</w:t>
            </w:r>
            <w:r/>
          </w:p>
        </w:tc>
        <w:tc>
          <w:tcPr>
            <w:tcBorders/>
            <w:tcW w:w="1937" w:type="dxa"/>
            <w:vAlign w:val="center"/>
            <w:textDirection w:val="lrTb"/>
            <w:noWrap w:val="false"/>
          </w:tcPr>
          <w:p>
            <w:pPr>
              <w:pBdr/>
              <w:spacing/>
              <w:ind/>
              <w:jc w:val="center"/>
              <w:rPr/>
            </w:pPr>
            <w:r>
              <w:t xml:space="preserve">Tốt</w:t>
            </w:r>
            <w:r/>
          </w:p>
        </w:tc>
        <w:tc>
          <w:tcPr>
            <w:tcBorders/>
            <w:tcW w:w="2430"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4985"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83"/>
        <w:gridCol w:w="6795"/>
        <w:gridCol w:w="1233"/>
        <w:gridCol w:w="1170"/>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233"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170"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123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123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123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123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123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23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123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123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123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4987"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83"/>
        <w:gridCol w:w="6932"/>
        <w:gridCol w:w="1010"/>
        <w:gridCol w:w="1260"/>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01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260"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pPr>
            <w:r>
              <w:t xml:space="preserve">Không</w:t>
            </w: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4"/>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numPr>
          <w:ilvl w:val="0"/>
          <w:numId w:val="42"/>
        </w:numPr>
        <w:pBdr>
          <w:top w:val="none" w:color="000000" w:sz="4" w:space="0"/>
          <w:left w:val="none" w:color="000000" w:sz="4" w:space="0"/>
          <w:bottom w:val="none" w:color="000000" w:sz="4" w:space="0"/>
          <w:right w:val="none" w:color="000000" w:sz="4" w:space="0"/>
        </w:pBdr>
        <w:spacing w:after="20" w:before="20"/>
        <w:ind w:right="0" w:hanging="360" w:left="360"/>
        <w:jc w:val="both"/>
        <w:rPr>
          <w:rFonts w:ascii="Times New Roman" w:hAnsi="Times New Roman" w:eastAsia="Times New Roman" w:cs="Times New Roman"/>
          <w:b w:val="0"/>
          <w:bCs w:val="0"/>
          <w:sz w:val="24"/>
        </w:rPr>
      </w:pPr>
      <w:r>
        <w:rPr>
          <w:rFonts w:ascii="Times New Roman" w:hAnsi="Times New Roman" w:eastAsia="Times New Roman" w:cs="Times New Roman"/>
          <w:b w:val="0"/>
          <w:bCs w:val="0"/>
          <w:color w:val="000000"/>
          <w:sz w:val="24"/>
        </w:rPr>
        <w:t xml:space="preserve">Trên thửa đất có 01 nhà cấp 4 có diện tích sử dụng khoảng 120m², kết cấu xây tường gạch chịu lực, mái lợp tôn. Ngoại quan trung bình. Hiện trạng nhà cũ, kết cấu ổn định, bền vững. </w:t>
      </w:r>
      <w:r>
        <w:rPr>
          <w:rFonts w:ascii="Times New Roman" w:hAnsi="Times New Roman" w:eastAsia="Times New Roman" w:cs="Times New Roman"/>
          <w:b w:val="0"/>
          <w:bCs w:val="0"/>
          <w:color w:val="000000"/>
          <w:sz w:val="24"/>
        </w:rPr>
        <w:t xml:space="preserve">Công trình chưa được chứng nhận trên </w:t>
      </w:r>
      <w:r>
        <w:rPr>
          <w:b w:val="0"/>
          <w:bCs w:val="0"/>
          <w:color w:val="000000"/>
        </w:rPr>
        <w:t xml:space="preserve">Giấy chứng nhận quyền sử dụng đất quyền sở hữu nhà ở và tài sản khác gắn liền với đất số: BK 841870</w:t>
      </w:r>
      <w:r>
        <w:rPr>
          <w:rFonts w:ascii="Times New Roman" w:hAnsi="Times New Roman" w:eastAsia="Times New Roman" w:cs="Times New Roman"/>
          <w:color w:val="000000"/>
          <w:sz w:val="24"/>
        </w:rPr>
        <w:t xml:space="preserve">. Ngoài ra, tổ thẩm định không nhận được bất cứ hồ sơ pháp lý nào liên quan đến công trình xây dựng này. Theo yêu cầu từ phía khách hàn</w:t>
      </w:r>
      <w:r>
        <w:rPr>
          <w:rFonts w:ascii="Times New Roman" w:hAnsi="Times New Roman" w:eastAsia="Times New Roman" w:cs="Times New Roman"/>
          <w:color w:val="000000"/>
          <w:sz w:val="24"/>
        </w:rPr>
        <w:t xml:space="preserve">g/ ngân hàng, tổ thẩm định chỉ xác định giá trị quyền sử dụng đất, không xác định giá trị của công trình xây dựng vào tổng giá trị nhưng vẫn coi công trình xây dựng là phần không thể tách rời của tài sản thẩm định. Kính đề nghị đơn vị sử dụng kết quả lưu ý</w:t>
      </w:r>
      <w:r>
        <w:rPr>
          <w:rFonts w:ascii="Times New Roman" w:hAnsi="Times New Roman" w:eastAsia="Times New Roman" w:cs="Times New Roman"/>
          <w:color w:val="000000"/>
          <w:sz w:val="24"/>
        </w:rPr>
        <w:t xml:space="preserve">.</w:t>
      </w:r>
      <w:r>
        <w:rPr>
          <w:rFonts w:ascii="Times New Roman" w:hAnsi="Times New Roman" w:eastAsia="Times New Roman" w:cs="Times New Roman"/>
          <w:b w:val="0"/>
          <w:bCs w:val="0"/>
          <w:sz w:val="24"/>
        </w:rPr>
      </w:r>
      <w:r>
        <w:rPr>
          <w:rFonts w:ascii="Times New Roman" w:hAnsi="Times New Roman" w:eastAsia="Times New Roman" w:cs="Times New Roman"/>
          <w:b w:val="0"/>
          <w:bCs w:val="0"/>
          <w:sz w:val="24"/>
        </w:rPr>
      </w:r>
    </w:p>
    <w:p>
      <w:pPr>
        <w:pStyle w:val="1034"/>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4"/>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4"/>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4"/>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4"/>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Bdr/>
        <w:tabs>
          <w:tab w:val="left" w:leader="none" w:pos="993"/>
        </w:tabs>
        <w:spacing w:after="120" w:before="120" w:line="276" w:lineRule="auto"/>
        <w:ind w:firstLine="0" w:left="357"/>
        <w:jc w:val="both"/>
        <w:rPr>
          <w:lang w:val="pt-BR"/>
        </w:rPr>
      </w:pPr>
      <w:r>
        <w:rPr>
          <w:bCs/>
          <w:highlight w:val="none"/>
          <w:lang w:val="pt-BR" w:bidi="pt-BR"/>
        </w:rPr>
      </w:r>
      <w:r>
        <w:rPr>
          <w:bCs/>
          <w:highlight w:val="none"/>
          <w:lang w:val="pt-BR"/>
        </w:rPr>
      </w:r>
      <w:r>
        <w:rPr>
          <w:lang w:val="pt-BR"/>
        </w:rPr>
      </w:r>
    </w:p>
    <w:p>
      <w:pPr>
        <w:pStyle w:val="1034"/>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4"/>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4"/>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4"/>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4"/>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Ind w:w="-250" w:type="dxa"/>
        <w:tblW w:w="0" w:type="auto"/>
        <w:tblBorders/>
        <w:tblLayout w:type="fixed"/>
        <w:tblLook w:val="04A0" w:firstRow="1" w:lastRow="0" w:firstColumn="1" w:lastColumn="0" w:noHBand="0" w:noVBand="1"/>
      </w:tblPr>
      <w:tblGrid>
        <w:gridCol w:w="632"/>
        <w:gridCol w:w="2178"/>
        <w:gridCol w:w="1800"/>
        <w:gridCol w:w="1800"/>
        <w:gridCol w:w="1800"/>
        <w:gridCol w:w="1800"/>
      </w:tblGrid>
      <w:tr>
        <w:trPr>
          <w:trHeight w:val="0"/>
          <w:tblHeader/>
        </w:trPr>
        <w:tc>
          <w:tcPr>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178" w:type="dxa"/>
            <w:textDirection w:val="lrTb"/>
            <w:noWrap w:val="false"/>
          </w:tcPr>
          <w:p>
            <w:pPr>
              <w:pBdr/>
              <w:spacing/>
              <w:ind/>
              <w:jc w:val="both"/>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00"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00"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sz w:val="22"/>
                <w:szCs w:val="22"/>
              </w:rPr>
            </w:pPr>
            <w:r>
              <w:rPr>
                <w:color w:val="000000" w:themeColor="text1"/>
                <w:sz w:val="22"/>
                <w:szCs w:val="22"/>
              </w:rPr>
              <w:t xml:space="preserve">Xã Thủ Sỹ, Huyện Tiên Lữ, Tỉnh Hưng Yên </w:t>
            </w:r>
            <w:r>
              <w:rPr>
                <w:rFonts w:ascii="Times New Roman" w:hAnsi="Times New Roman" w:eastAsia="Times New Roman" w:cs="Times New Roman"/>
                <w:color w:val="000000"/>
                <w:sz w:val="22"/>
              </w:rPr>
              <w:t xml:space="preserve">(nay là xã Tân Hưng, tỉnh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sz w:val="22"/>
                <w:szCs w:val="22"/>
              </w:rPr>
            </w:pPr>
            <w:r>
              <w:rPr>
                <w:color w:val="000000" w:themeColor="text1"/>
                <w:sz w:val="22"/>
                <w:szCs w:val="22"/>
              </w:rPr>
              <w:t xml:space="preserve">Xã  Liên Phương, Thành phố Hưng Yên, Tỉnh Hưng Yên </w:t>
            </w:r>
            <w:r>
              <w:rPr>
                <w:rFonts w:ascii="Times New Roman" w:hAnsi="Times New Roman" w:eastAsia="Times New Roman" w:cs="Times New Roman"/>
                <w:color w:val="000000"/>
                <w:sz w:val="22"/>
              </w:rPr>
              <w:t xml:space="preserve">(nay là xã Tân Hưng, tỉnh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sz w:val="22"/>
                <w:szCs w:val="22"/>
              </w:rPr>
            </w:pPr>
            <w:r>
              <w:rPr>
                <w:color w:val="000000" w:themeColor="text1"/>
                <w:sz w:val="22"/>
                <w:szCs w:val="22"/>
              </w:rPr>
              <w:t xml:space="preserve">Xã  Liên Phương, Thành phố Hưng Yên, Tỉnh Hưng Yên </w:t>
            </w:r>
            <w:r>
              <w:rPr>
                <w:rFonts w:ascii="Times New Roman" w:hAnsi="Times New Roman" w:eastAsia="Times New Roman" w:cs="Times New Roman"/>
                <w:color w:val="000000"/>
                <w:sz w:val="22"/>
              </w:rPr>
              <w:t xml:space="preserve">(nay là xã Tân Hưng, tỉnh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sz w:val="22"/>
                <w:szCs w:val="22"/>
              </w:rPr>
            </w:pPr>
            <w:r>
              <w:rPr>
                <w:color w:val="000000" w:themeColor="text1"/>
                <w:sz w:val="22"/>
                <w:szCs w:val="22"/>
              </w:rPr>
              <w:t xml:space="preserve">Xã  Liên Phương, Thành phố Hưng Yên, Tỉnh Hưng Yên </w:t>
            </w:r>
            <w:r>
              <w:rPr>
                <w:rFonts w:ascii="Times New Roman" w:hAnsi="Times New Roman" w:eastAsia="Times New Roman" w:cs="Times New Roman"/>
                <w:color w:val="000000"/>
                <w:sz w:val="22"/>
              </w:rPr>
              <w:t xml:space="preserve">(nay là xã Tân Hưng, tỉnh Hưng Yên)</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sz w:val="22"/>
                <w:szCs w:val="22"/>
              </w:rPr>
            </w:pPr>
            <w:r>
              <w:rPr>
                <w:color w:val="000000" w:themeColor="text1"/>
                <w:sz w:val="22"/>
                <w:szCs w:val="22"/>
              </w:rPr>
              <w:t xml:space="preserve">0989569770</w:t>
            </w:r>
            <w:r>
              <w:rPr>
                <w:sz w:val="22"/>
                <w:szCs w:val="22"/>
              </w:rPr>
              <w:t xml:space="preserve"> </w:t>
            </w:r>
            <w:r>
              <w:rPr>
                <w:sz w:val="22"/>
                <w:szCs w:val="22"/>
              </w:rPr>
              <w:br/>
              <w:t xml:space="preserve">(</w:t>
            </w:r>
            <w:r>
              <w:rPr>
                <w:sz w:val="22"/>
                <w:szCs w:val="22"/>
              </w:rPr>
              <w:t xml:space="preserve">Điệp</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sz w:val="22"/>
                <w:szCs w:val="22"/>
              </w:rPr>
            </w:pPr>
            <w:r>
              <w:rPr>
                <w:color w:val="000000" w:themeColor="text1"/>
                <w:sz w:val="22"/>
                <w:szCs w:val="22"/>
              </w:rPr>
              <w:t xml:space="preserve">0398859698</w:t>
            </w:r>
            <w:r>
              <w:rPr>
                <w:sz w:val="22"/>
                <w:szCs w:val="22"/>
              </w:rPr>
              <w:br/>
            </w:r>
            <w:r>
              <w:rPr>
                <w:sz w:val="22"/>
                <w:szCs w:val="22"/>
              </w:rPr>
              <w:t xml:space="preserve">(</w:t>
            </w:r>
            <w:r>
              <w:rPr>
                <w:sz w:val="22"/>
                <w:szCs w:val="22"/>
              </w:rPr>
              <w:t xml:space="preserve">Trang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sz w:val="22"/>
                <w:szCs w:val="22"/>
              </w:rPr>
            </w:pPr>
            <w:r>
              <w:rPr>
                <w:color w:val="000000" w:themeColor="text1"/>
                <w:sz w:val="22"/>
                <w:szCs w:val="22"/>
              </w:rPr>
              <w:t xml:space="preserve">0989569770</w:t>
            </w:r>
            <w:r>
              <w:rPr>
                <w:sz w:val="22"/>
                <w:szCs w:val="22"/>
              </w:rPr>
              <w:br/>
            </w:r>
            <w:r>
              <w:rPr>
                <w:sz w:val="22"/>
                <w:szCs w:val="22"/>
              </w:rPr>
              <w:t xml:space="preserve">(</w:t>
            </w:r>
            <w:r>
              <w:rPr>
                <w:sz w:val="22"/>
                <w:szCs w:val="22"/>
              </w:rPr>
              <w:t xml:space="preserve">Điệp</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QSDĐ</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Mục đích </w:t>
            </w:r>
            <w:commentRangeStart w:id="0"/>
            <w:r>
              <w:rPr>
                <w:color w:val="000000" w:themeColor="text1"/>
                <w:sz w:val="22"/>
                <w:szCs w:val="22"/>
              </w:rPr>
              <w:t xml:space="preserve">sử dụng</w:t>
            </w:r>
            <w:r>
              <w:rPr>
                <w:color w:val="000000"/>
                <w:sz w:val="22"/>
                <w:szCs w:val="22"/>
              </w:rPr>
            </w:r>
            <w:r>
              <w:rPr>
                <w:color w:val="000000"/>
                <w:sz w:val="22"/>
                <w:szCs w:val="22"/>
              </w:rPr>
            </w:r>
            <w:commentRangeEnd w:id="0"/>
            <w:r>
              <w:commentReference w:id="0"/>
            </w: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tiếp giáp mặt tiền đường QL39A thuộc xã Thủ Sỹ, huyện Tiên Lữ, tỉnh Hưng Yên (nay là xã Tân Hưng, tỉnh Hưng Yên)</w:t>
            </w: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tiếp giáp mặt tiền đường QL39A thuộc xã Liên Phương, thành phố Hưng Yên, tỉnh Hưng Yên (nay là xã Tân Hưng, tỉnh Hưng Yên)</w:t>
            </w: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tiếp giáp mặt tiền đường QL39A thuộc xã Liên Phương, thành phố Hưng Yên, tỉnh Hưng Yên (nay là xã Tân Hưng, tỉnh Hưng Yên)</w:t>
            </w: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tiếp giáp mặt tiền đường QL39A thuộc xã Liên Phương, thành phố Hưng Yên, tỉnh Hưng Yên (nay là xã Tân Hưng, tỉnh Hưng Yên)</w:t>
            </w: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164,4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204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108,5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149,2</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7,7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5,01</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Thóp hậu 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Thóp hậu 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Rất tốt (Nằm trong khu vực chợ Ba Hàng kinh doanh sầm uất)</w:t>
            </w: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Khá (Nằm trong khu dân cư thông thường kinh doanh tương đối thuận lợi)</w:t>
            </w: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Khá (Nằm trong khu dân cư thông thường kinh doanh tương đối thuận lợi)</w:t>
            </w: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Khá (Nằm trong khu dân cư thông thường kinh doanh tương đối thuận lợi)</w:t>
            </w: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11.500.000.000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6.000.000.000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7.500.000.000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10.925.000.000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5.700.000.000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7.125.000.000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11.500.000.000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6.000.000.000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7.500.000.000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10.925.000.000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5.700.000.000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7.125.000.000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b/>
                <w:bCs/>
                <w:color w:val="000000"/>
                <w:sz w:val="22"/>
                <w:szCs w:val="22"/>
              </w:rPr>
            </w:pPr>
            <w:r>
              <w:rPr>
                <w:b/>
                <w:bCs/>
                <w:color w:val="000000"/>
                <w:sz w:val="22"/>
                <w:szCs w:val="22"/>
              </w:rPr>
              <w:t xml:space="preserve">22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tcPr>
          <w:p>
            <w:pPr>
              <w:pBdr/>
              <w:spacing/>
              <w:ind/>
              <w:jc w:val="center"/>
              <w:rPr>
                <w:b/>
                <w:bCs/>
                <w:color w:val="000000"/>
                <w:sz w:val="22"/>
                <w:szCs w:val="22"/>
              </w:rPr>
            </w:pPr>
            <w:r>
              <w:rPr>
                <w:b/>
                <w:bCs/>
                <w:color w:val="000000" w:themeColor="text1"/>
                <w:sz w:val="22"/>
                <w:szCs w:val="22"/>
              </w:rPr>
              <w:t xml:space="preserve">53.553.922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tcPr>
          <w:p>
            <w:pPr>
              <w:pBdr/>
              <w:spacing/>
              <w:ind/>
              <w:jc w:val="center"/>
              <w:rPr>
                <w:b/>
                <w:bCs/>
                <w:color w:val="000000"/>
                <w:sz w:val="22"/>
                <w:szCs w:val="22"/>
              </w:rPr>
            </w:pPr>
            <w:r>
              <w:rPr>
                <w:b/>
                <w:bCs/>
                <w:color w:val="000000" w:themeColor="text1"/>
                <w:sz w:val="22"/>
                <w:szCs w:val="22"/>
              </w:rPr>
              <w:t xml:space="preserve">52.534.562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tcPr>
          <w:p>
            <w:pPr>
              <w:pBdr/>
              <w:spacing/>
              <w:ind/>
              <w:jc w:val="center"/>
              <w:rPr>
                <w:b/>
                <w:bCs/>
                <w:color w:val="000000"/>
                <w:sz w:val="22"/>
                <w:szCs w:val="22"/>
              </w:rPr>
            </w:pPr>
            <w:r>
              <w:rPr>
                <w:b/>
                <w:bCs/>
                <w:color w:val="000000" w:themeColor="text1"/>
                <w:sz w:val="22"/>
                <w:szCs w:val="22"/>
              </w:rPr>
              <w:t xml:space="preserve">47.754.692</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pPr>
              <w:pBdr/>
              <w:spacing/>
              <w:ind/>
              <w:jc w:val="both"/>
              <w:rPr>
                <w:color w:val="000000"/>
                <w:sz w:val="22"/>
                <w:szCs w:val="22"/>
              </w:rPr>
            </w:pPr>
            <w:r>
              <w:rPr>
                <w:color w:val="000000" w:themeColor="text1"/>
                <w:sz w:val="22"/>
                <w:szCs w:val="22"/>
              </w:rPr>
            </w:r>
            <w:r>
              <w:rPr>
                <w:color w:val="000000" w:themeColor="text1"/>
                <w:sz w:val="22"/>
                <w:szCs w:val="22"/>
              </w:rPr>
              <w:t xml:space="preserve">Tỷ lệ đất ở nằm ngoài quy hoạch/ tổng diện tích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0"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4"/>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252"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908"/>
        <w:gridCol w:w="1030"/>
        <w:gridCol w:w="1656"/>
        <w:gridCol w:w="1656"/>
        <w:gridCol w:w="1656"/>
        <w:gridCol w:w="1656"/>
      </w:tblGrid>
      <w:tr>
        <w:trPr>
          <w:trHeight w:val="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10.925.000.000</w:t>
            </w:r>
            <w:r>
              <w:rPr>
                <w:b/>
                <w:bCs/>
                <w:color w:val="000000"/>
                <w:sz w:val="20"/>
                <w:szCs w:val="20"/>
              </w:rPr>
            </w:r>
            <w:r>
              <w:rPr>
                <w:b/>
                <w:bCs/>
                <w:color w:val="000000"/>
                <w:sz w:val="20"/>
                <w:szCs w:val="20"/>
              </w:rPr>
            </w:r>
          </w:p>
        </w:tc>
        <w:tc>
          <w:tcPr>
            <w:shd w:val="clear" w:color="000000" w:fill="ffffff"/>
            <w:tcBorders/>
            <w:tcW w:w="1656"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5.700.000.000</w:t>
            </w:r>
            <w:r>
              <w:rPr>
                <w:b/>
                <w:bCs/>
                <w:color w:val="000000"/>
                <w:sz w:val="20"/>
                <w:szCs w:val="20"/>
              </w:rPr>
            </w:r>
            <w:r>
              <w:rPr>
                <w:b/>
                <w:bCs/>
                <w:color w:val="000000"/>
                <w:sz w:val="20"/>
                <w:szCs w:val="20"/>
              </w:rPr>
            </w:r>
          </w:p>
        </w:tc>
        <w:tc>
          <w:tcPr>
            <w:shd w:val="clear" w:color="000000" w:fill="ffffff"/>
            <w:tcBorders/>
            <w:tcW w:w="1656"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7.125.000.000</w:t>
            </w:r>
            <w:r>
              <w:rPr>
                <w:b/>
                <w:bCs/>
                <w:color w:val="000000"/>
                <w:sz w:val="20"/>
                <w:szCs w:val="20"/>
              </w:rPr>
            </w:r>
            <w:r>
              <w:rPr>
                <w:b/>
                <w:bCs/>
                <w:color w:val="000000"/>
                <w:sz w:val="20"/>
                <w:szCs w:val="20"/>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53.553.922</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52.534.562</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47.754.692</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53.553.922</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52.534.562</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47.754.692</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w:t>
            </w:r>
            <w:r>
              <w:rPr>
                <w:color w:val="000000" w:themeColor="text1"/>
                <w:sz w:val="22"/>
                <w:szCs w:val="22"/>
              </w:rPr>
              <w:t xml:space="preserve"> Xã Thủ Sỹ, Huyện Tiên Lữ, Tỉnh Hưng Yên, đường Tài sản nằm tiếp giáp mặt tiền đường QL39A thuộc xã Thủ Sỹ, huyện Tiên Lữ, tỉnh Hưng Yên (nay là xã Tân Hưng, tỉnh Hưng Yên), độ rộng đường trước mặt tài sản 10m, mặt tiền 4m, 20.645055555556, 106.10013888889</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Liên Phương, Thành phố </w:t>
            </w:r>
            <w:r>
              <w:rPr>
                <w:color w:val="000000" w:themeColor="text1"/>
                <w:sz w:val="22"/>
                <w:szCs w:val="22"/>
              </w:rPr>
              <w:t xml:space="preserve">Hưng Yên, Tỉnh Hưng Yên, đường Tài sản nằm tiếp giáp mặt tiền đường QL39A thuộc xã Liên Phương, thành phố Hưng Yên, tỉnh Hưng Yên (nay là xã Tân Hưng, tỉnh Hưng Yên), độ rộng đường trước mặt tài sản 10m, mặt tiền 7.7m, 20.64523426786074, 106.08726835733579</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Liên Phương, Thành phố </w:t>
            </w:r>
            <w:r>
              <w:rPr>
                <w:color w:val="000000" w:themeColor="text1"/>
                <w:sz w:val="22"/>
                <w:szCs w:val="22"/>
              </w:rPr>
              <w:t xml:space="preserve">Hưng Yên, Tỉnh Hưng Yên, đường Tài sản nằm tiếp giáp mặt tiền đường QL39A thuộc xã Liên Phương, thành phố Hưng Yên, tỉnh Hưng Yên (nay là xã Tân Hưng, tỉnh Hưng Yên), độ rộng đường trước mặt tài sản 10m, mặt tiền 4.8m, 20.64519210068563, 106.08624911791013</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Liên Phương, Thành phố H</w:t>
            </w:r>
            <w:r>
              <w:rPr>
                <w:color w:val="000000" w:themeColor="text1"/>
                <w:sz w:val="22"/>
                <w:szCs w:val="22"/>
              </w:rPr>
              <w:t xml:space="preserve">ưng Yên, Tỉnh Hưng Yên, đường Tài sản nằm tiếp giáp mặt tiền đường QL39A thuộc xã Liên Phương, thành phố Hưng Yên, tỉnh Hưng Yên (nay là xã Tân Hưng, tỉnh Hưng Yên), độ rộng đường trước mặt tài sản 10m, mặt tiền 5.01m, 20.64528045151288, 106.08723617082761</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2.677.696</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2.626.728</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2.387.735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56.231.618</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55.161.290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50.142.427</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56.231.618</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55.161.290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50.142.427</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164.4</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204</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108.5</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149.2</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2.677.696</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-3.152.074</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-1.432.641</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58.909.314</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52.009.216</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48.709.786</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7.7</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4.8</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5.01</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-5.355.392</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-1.576.037</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-1.432.641</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53.553.922</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50.433.179</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47.277.145</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53.553.922</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50.433.179</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47.277.145</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Thóp hậu</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Thóp hậu</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-1.071.078</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-955.094</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52.482.844</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50.433.179</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46.322.051</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2.677.696</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2.626.728</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2.387.735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55.160.540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53.059.907</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48.709.786</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r>
            <w:r>
              <w:rPr>
                <w:b/>
                <w:bCs/>
                <w:color w:val="000000" w:themeColor="text1"/>
                <w:sz w:val="22"/>
                <w:szCs w:val="22"/>
              </w:rPr>
              <w:t xml:space="preserve">Tỷ lệ đất ở nằm ngoài quy hoạch/ tổng diện tích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67%</w:t>
            </w:r>
            <w:r/>
          </w:p>
        </w:tc>
        <w:tc>
          <w:tcPr>
            <w:shd w:val="clear" w:color="000000" w:fill="ffffff"/>
            <w:tcBorders/>
            <w:tcW w:w="1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w:t>
            </w:r>
            <w:r/>
          </w:p>
        </w:tc>
        <w:tc>
          <w:tcPr>
            <w:shd w:val="clear" w:color="000000" w:fill="ffffff"/>
            <w:tcBorders/>
            <w:tcW w:w="1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37%</w:t>
            </w:r>
            <w:r/>
          </w:p>
        </w:tc>
        <w:tc>
          <w:tcPr>
            <w:shd w:val="clear" w:color="000000" w:fill="ffffff"/>
            <w:tcBorders/>
            <w:tcW w:w="1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54%</w:t>
            </w: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1.071.078</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5.253.456</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1.432.641</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56.231.618</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58.313.363</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50.142.427</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908" w:type="dxa"/>
            <w:vAlign w:val="center"/>
            <w:textDirection w:val="lrTb"/>
            <w:noWrap/>
          </w:tcPr>
          <w:p>
            <w:pPr>
              <w:pBdr/>
              <w:spacing/>
              <w:ind/>
              <w:jc w:val="both"/>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656"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56.231.618</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58.313.363</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50.142.427</w:t>
            </w:r>
            <w:r>
              <w:rPr>
                <w:b/>
                <w:bCs/>
                <w:color w:val="000000"/>
                <w:sz w:val="22"/>
                <w:szCs w:val="22"/>
              </w:rPr>
            </w:r>
            <w:r>
              <w:rPr>
                <w:b/>
                <w:bCs/>
                <w:color w:val="000000"/>
                <w:sz w:val="22"/>
                <w:szCs w:val="22"/>
              </w:rPr>
            </w:r>
          </w:p>
        </w:tc>
      </w:tr>
      <w:tr>
        <w:trPr>
          <w:gridAfter w:val="2"/>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54.895.803</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2.43%</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6.23%</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-8.66%</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9562" w:type="dxa"/>
            <w:vAlign w:val="center"/>
            <w:textDirection w:val="lrTb"/>
            <w:noWrap w:val="false"/>
          </w:tcPr>
          <w:p>
            <w:pPr>
              <w:pBdr/>
              <w:spacing/>
              <w:ind/>
              <w:jc w:val="both"/>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15.530.636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15.235.023</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10.028.487</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656"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656"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656"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656"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sz w:val="22"/>
                <w:szCs w:val="22"/>
              </w:rPr>
            </w:pPr>
            <w:r>
              <w:rPr>
                <w:color w:val="000000" w:themeColor="text1"/>
                <w:sz w:val="22"/>
                <w:szCs w:val="22"/>
              </w:rPr>
              <w:t xml:space="preserve">2.677.696</w:t>
            </w:r>
            <w:r>
              <w:rPr>
                <w:sz w:val="22"/>
                <w:szCs w:val="22"/>
              </w:rPr>
            </w:r>
            <w:r>
              <w:rPr>
                <w:sz w:val="22"/>
                <w:szCs w:val="22"/>
              </w:rPr>
            </w:r>
          </w:p>
        </w:tc>
        <w:tc>
          <w:tcPr>
            <w:shd w:val="clear" w:color="000000" w:fill="ffffff"/>
            <w:tcBorders/>
            <w:tcW w:w="1656" w:type="dxa"/>
            <w:vAlign w:val="center"/>
            <w:textDirection w:val="lrTb"/>
            <w:noWrap/>
          </w:tcPr>
          <w:p>
            <w:pPr>
              <w:pBdr/>
              <w:spacing/>
              <w:ind/>
              <w:jc w:val="center"/>
              <w:rPr>
                <w:sz w:val="22"/>
                <w:szCs w:val="22"/>
              </w:rPr>
            </w:pPr>
            <w:r>
              <w:rPr>
                <w:color w:val="000000" w:themeColor="text1"/>
                <w:sz w:val="22"/>
                <w:szCs w:val="22"/>
              </w:rPr>
              <w:t xml:space="preserve">5.778.801</w:t>
            </w:r>
            <w:r>
              <w:rPr>
                <w:sz w:val="22"/>
                <w:szCs w:val="22"/>
              </w:rPr>
            </w:r>
            <w:r>
              <w:rPr>
                <w:sz w:val="22"/>
                <w:szCs w:val="22"/>
              </w:rPr>
            </w:r>
          </w:p>
        </w:tc>
        <w:tc>
          <w:tcPr>
            <w:shd w:val="clear" w:color="000000" w:fill="ffffff"/>
            <w:tcBorders/>
            <w:tcW w:w="1656" w:type="dxa"/>
            <w:vAlign w:val="center"/>
            <w:textDirection w:val="lrTb"/>
            <w:noWrap/>
          </w:tcPr>
          <w:p>
            <w:pPr>
              <w:pBdr/>
              <w:spacing/>
              <w:ind/>
              <w:jc w:val="center"/>
              <w:rPr>
                <w:sz w:val="22"/>
                <w:szCs w:val="22"/>
              </w:rPr>
            </w:pPr>
            <w:r>
              <w:rPr>
                <w:color w:val="000000" w:themeColor="text1"/>
                <w:sz w:val="22"/>
                <w:szCs w:val="22"/>
              </w:rPr>
              <w:t xml:space="preserve">2.387.735</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-8.66</w:t>
      </w:r>
      <w:r>
        <w:t xml:space="preserve">% </w:t>
      </w:r>
      <w:r>
        <w:t xml:space="preserve">đến</w:t>
      </w:r>
      <w:r>
        <w:t xml:space="preserve"> </w:t>
      </w:r>
      <w:r>
        <w:t xml:space="preserve"> </w:t>
      </w:r>
      <w:r>
        <w:t xml:space="preserve">6.23</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56.231.618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18.556.434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58.313.363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19.826.543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50.142.427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16.547.001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54.929.978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54.900.000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54.900.000</w:t>
      </w:r>
      <w:r>
        <w:rPr>
          <w:b/>
          <w:bCs/>
          <w:color w:val="000000" w:themeColor="text1"/>
        </w:rPr>
        <w:t xml:space="preserve"> </w:t>
      </w:r>
      <w:r>
        <w:rPr>
          <w:b/>
          <w:bCs/>
        </w:rPr>
        <w:t xml:space="preserve">đồng</w:t>
      </w:r>
      <w:r>
        <w:rPr>
          <w:b/>
          <w:bCs/>
        </w:rPr>
        <w:t xml:space="preserve">/m².</w:t>
      </w:r>
      <w:r>
        <w:rPr>
          <w:b/>
          <w:bCs/>
        </w:rPr>
      </w:r>
      <w:r>
        <w:rPr>
          <w:b/>
          <w:bCs/>
        </w:rPr>
      </w:r>
    </w:p>
    <w:p>
      <w:pPr>
        <w:pStyle w:val="1034"/>
        <w:pBdr/>
        <w:spacing w:after="120" w:before="120" w:line="276" w:lineRule="auto"/>
        <w:ind w:left="357"/>
        <w:jc w:val="both"/>
        <w:rPr>
          <w:b/>
          <w:lang w:val="pt-BR"/>
        </w:rPr>
      </w:pPr>
      <w:r>
        <w:rPr>
          <w:b/>
          <w:lang w:val="pt-BR"/>
        </w:rPr>
      </w:r>
      <w:r>
        <w:rPr>
          <w:b/>
          <w:lang w:val="pt-BR"/>
        </w:rPr>
      </w:r>
      <w:r>
        <w:rPr>
          <w:b/>
          <w:lang w:val="pt-BR"/>
        </w:rPr>
      </w:r>
    </w:p>
    <w:p>
      <w:pPr>
        <w:pStyle w:val="1034"/>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4"/>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4923"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58"/>
        <w:gridCol w:w="2358"/>
        <w:gridCol w:w="1856"/>
        <w:gridCol w:w="2659"/>
        <w:gridCol w:w="2229"/>
      </w:tblGrid>
      <w:tr>
        <w:trPr>
          <w:trHeight w:val="20"/>
        </w:trPr>
        <w:tc>
          <w:tcPr>
            <w:shd w:val="clear" w:color="000000" w:fill="ffffff"/>
            <w:tcBorders/>
            <w:tcW w:w="558"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58"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56"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659"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58"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873"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91, tờ bản đồ số: 24 có địa chỉ: Xã Thủ Sỹ, huyện </w:t>
            </w:r>
            <w:r>
              <w:rPr>
                <w:color w:val="000000"/>
              </w:rPr>
              <w:t xml:space="preserve">Tiên Lữ, tỉnh Hưng Yên (nay là xã Tân Hưng, Tỉnh Hưng Yên)  theo Giấy chứng nhận quyền sử dụng đất quyền sở hữu nhà ở và tài sản khác gắn liền với đất số: BK 841870, số vào sổ cấp GCN: CH 00511 do UBND huyện Tiên Lữ cấp ngày 10/03/2014 cho Ông Đào Văn Kiều</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58"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358"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56" w:type="dxa"/>
            <w:vAlign w:val="center"/>
            <w:textDirection w:val="lrTb"/>
            <w:noWrap/>
          </w:tcPr>
          <w:p>
            <w:pPr>
              <w:pBdr/>
              <w:spacing w:after="40" w:before="40" w:line="288" w:lineRule="auto"/>
              <w:ind/>
              <w:jc w:val="center"/>
              <w:rPr>
                <w:color w:val="000000"/>
              </w:rPr>
            </w:pPr>
            <w:r>
              <w:rPr>
                <w:color w:val="000000" w:themeColor="text1"/>
              </w:rPr>
              <w:t xml:space="preserve">164,4</w:t>
            </w:r>
            <w:r>
              <w:rPr>
                <w:color w:val="000000"/>
              </w:rPr>
            </w:r>
            <w:r>
              <w:rPr>
                <w:color w:val="000000"/>
              </w:rPr>
            </w:r>
          </w:p>
        </w:tc>
        <w:tc>
          <w:tcPr>
            <w:shd w:val="clear" w:color="000000" w:fill="ffffff"/>
            <w:tcBorders/>
            <w:tcW w:w="2659" w:type="dxa"/>
            <w:vAlign w:val="center"/>
            <w:textDirection w:val="lrTb"/>
            <w:noWrap w:val="false"/>
          </w:tcPr>
          <w:p>
            <w:pPr>
              <w:pBdr/>
              <w:spacing w:after="40" w:before="40" w:line="288" w:lineRule="auto"/>
              <w:ind/>
              <w:jc w:val="center"/>
              <w:rPr/>
            </w:pPr>
            <w:r>
              <w:rPr>
                <w:color w:val="000000" w:themeColor="text1"/>
              </w:rPr>
              <w:t xml:space="preserve">54.900.000</w:t>
            </w:r>
            <w:r/>
          </w:p>
        </w:tc>
        <w:tc>
          <w:tcPr>
            <w:shd w:val="clear" w:color="000000" w:fill="ffffff"/>
            <w:tcBorders/>
            <w:tcW w:w="2229" w:type="dxa"/>
            <w:vAlign w:val="center"/>
            <w:textDirection w:val="lrTb"/>
            <w:noWrap w:val="false"/>
          </w:tcPr>
          <w:p>
            <w:pPr>
              <w:pBdr/>
              <w:spacing w:after="40" w:before="40" w:line="288" w:lineRule="auto"/>
              <w:ind/>
              <w:jc w:val="right"/>
              <w:rPr/>
            </w:pPr>
            <w:r>
              <w:rPr>
                <w:color w:val="000000" w:themeColor="text1"/>
              </w:rPr>
              <w:t xml:space="preserve">9.025.560.000</w:t>
            </w:r>
            <w:r/>
          </w:p>
        </w:tc>
      </w:tr>
      <w:tr>
        <w:trPr>
          <w:trHeight w:val="20"/>
        </w:trPr>
        <w:tc>
          <w:tcPr>
            <w:gridSpan w:val="4"/>
            <w:tcBorders/>
            <w:tcW w:w="743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right"/>
              <w:rPr>
                <w:b/>
                <w:bCs/>
                <w:color w:val="000000"/>
              </w:rPr>
            </w:pPr>
            <w:r>
              <w:rPr>
                <w:b/>
                <w:bCs/>
              </w:rPr>
              <w:t xml:space="preserve">9.025.560.000</w:t>
            </w:r>
            <w:r>
              <w:rPr>
                <w:b/>
                <w:bCs/>
                <w:color w:val="000000"/>
              </w:rPr>
            </w:r>
            <w:r>
              <w:rPr>
                <w:b/>
                <w:bCs/>
                <w:color w:val="000000"/>
              </w:rPr>
            </w:r>
          </w:p>
        </w:tc>
      </w:tr>
      <w:tr>
        <w:trPr>
          <w:trHeight w:val="20"/>
        </w:trPr>
        <w:tc>
          <w:tcPr>
            <w:gridSpan w:val="4"/>
            <w:tcBorders/>
            <w:tcW w:w="743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29" w:type="dxa"/>
            <w:vAlign w:val="center"/>
            <w:textDirection w:val="lrTb"/>
            <w:noWrap/>
          </w:tcPr>
          <w:p>
            <w:pPr>
              <w:pBdr/>
              <w:spacing w:after="40" w:before="40" w:line="288" w:lineRule="auto"/>
              <w:ind/>
              <w:jc w:val="right"/>
              <w:rPr>
                <w:b/>
                <w:bCs/>
                <w:color w:val="000000"/>
              </w:rPr>
            </w:pPr>
            <w:r>
              <w:rPr>
                <w:b/>
                <w:bCs/>
                <w:color w:val="000000"/>
              </w:rPr>
              <w:t xml:space="preserve">9.026.000.000</w:t>
            </w:r>
            <w:r>
              <w:rPr>
                <w:b/>
                <w:bCs/>
                <w:color w:val="000000"/>
              </w:rPr>
            </w:r>
            <w:r>
              <w:rPr>
                <w:b/>
                <w:bCs/>
                <w:color w:val="000000"/>
              </w:rPr>
            </w:r>
          </w:p>
        </w:tc>
      </w:tr>
      <w:tr>
        <w:trPr>
          <w:trHeight w:val="20"/>
        </w:trPr>
        <w:tc>
          <w:tcPr>
            <w:gridSpan w:val="5"/>
            <w:tcBorders/>
            <w:tcW w:w="9659"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Chín tỷ, không trăm hai mươi sáu triệu đồng chẵn</w:t>
            </w:r>
            <w:r>
              <w:rPr>
                <w:b/>
                <w:bCs/>
                <w:i/>
                <w:iCs/>
                <w:color w:val="000000"/>
              </w:rPr>
              <w:t xml:space="preserve">./.)</w:t>
            </w:r>
            <w:r>
              <w:rPr>
                <w:b/>
                <w:bCs/>
                <w:i/>
                <w:iCs/>
                <w:color w:val="000000"/>
              </w:rPr>
            </w:r>
            <w:r>
              <w:rPr>
                <w:b/>
                <w:bCs/>
                <w:i/>
                <w:iCs/>
                <w:color w:val="000000"/>
              </w:rPr>
            </w:r>
          </w:p>
        </w:tc>
      </w:tr>
    </w:tbl>
    <w:p>
      <w:pPr>
        <w:pStyle w:val="103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4"/>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4"/>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4"/>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4"/>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4"/>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4"/>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4"/>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4"/>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4"/>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4"/>
        <w:numPr>
          <w:ilvl w:val="0"/>
          <w:numId w:val="3"/>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rFonts w:ascii="Times New Roman" w:hAnsi="Times New Roman" w:eastAsia="Times New Roman" w:cs="Times New Roman"/>
          <w:b w:val="0"/>
          <w:bCs w:val="0"/>
          <w:sz w:val="24"/>
        </w:rPr>
      </w:pPr>
      <w:r>
        <w:rPr>
          <w:lang w:val="vi-VN" w:bidi="vi-VN"/>
        </w:rPr>
      </w:r>
      <w:r>
        <w:rPr>
          <w:rFonts w:ascii="Times New Roman" w:hAnsi="Times New Roman" w:eastAsia="Times New Roman" w:cs="Times New Roman"/>
          <w:b w:val="0"/>
          <w:bCs w:val="0"/>
          <w:color w:val="000000"/>
          <w:sz w:val="24"/>
        </w:rPr>
        <w:t xml:space="preserve">Trên thửa đất có 01 nhà cấp 4 có diện tích sử dụng khoảng 120m², kết cấu xây tường gạch chịu lực, mái lợp tôn. Ngoại quan trung bình. Hiện trạng nhà cũ, kết cấu ổn định, bền vững. </w:t>
      </w:r>
      <w:r>
        <w:rPr>
          <w:rFonts w:ascii="Times New Roman" w:hAnsi="Times New Roman" w:eastAsia="Times New Roman" w:cs="Times New Roman"/>
          <w:b w:val="0"/>
          <w:bCs w:val="0"/>
          <w:color w:val="000000"/>
          <w:sz w:val="24"/>
        </w:rPr>
        <w:t xml:space="preserve">Công trình chưa được chứng nhận trên </w:t>
      </w:r>
      <w:r>
        <w:rPr>
          <w:b w:val="0"/>
          <w:bCs w:val="0"/>
          <w:color w:val="000000"/>
        </w:rPr>
        <w:t xml:space="preserve">Giấy chứng nhận quyền sử dụng đất quyền sở hữu nhà ở và tài sản khác gắn liền với đất số: BK 841870</w:t>
      </w:r>
      <w:r>
        <w:rPr>
          <w:rFonts w:ascii="Times New Roman" w:hAnsi="Times New Roman" w:eastAsia="Times New Roman" w:cs="Times New Roman"/>
          <w:color w:val="000000"/>
          <w:sz w:val="24"/>
        </w:rPr>
        <w:t xml:space="preserve">. Ngoài ra, tổ thẩm định không nhận được bất cứ hồ sơ pháp lý nào liên quan đến công trình xây dựng này. Theo yêu cầu từ phía khách hàn</w:t>
      </w:r>
      <w:r>
        <w:rPr>
          <w:rFonts w:ascii="Times New Roman" w:hAnsi="Times New Roman" w:eastAsia="Times New Roman" w:cs="Times New Roman"/>
          <w:color w:val="000000"/>
          <w:sz w:val="24"/>
        </w:rPr>
        <w:t xml:space="preserve">g/ ngân hàng, tổ thẩm định chỉ xác định giá trị quyền sử dụng đất, không xác định giá trị của công trình xây dựng vào tổng giá trị nhưng vẫn coi công trình xây dựng là phần không thể tách rời của tài sản thẩm định. Kính đề nghị đơn vị sử dụng kết quả lưu ý</w:t>
      </w:r>
      <w:r>
        <w:rPr>
          <w:rFonts w:ascii="Times New Roman" w:hAnsi="Times New Roman" w:eastAsia="Times New Roman" w:cs="Times New Roman"/>
          <w:b w:val="0"/>
          <w:bCs w:val="0"/>
          <w:sz w:val="24"/>
        </w:rPr>
        <w:t xml:space="preserve">.</w:t>
      </w:r>
      <w:r>
        <w:rPr>
          <w:rFonts w:ascii="Times New Roman" w:hAnsi="Times New Roman" w:eastAsia="Times New Roman" w:cs="Times New Roman"/>
          <w:b w:val="0"/>
          <w:bCs w:val="0"/>
          <w:sz w:val="24"/>
        </w:rPr>
      </w:r>
      <w:r>
        <w:rPr>
          <w:rFonts w:ascii="Times New Roman" w:hAnsi="Times New Roman" w:eastAsia="Times New Roman" w:cs="Times New Roman"/>
          <w:b w:val="0"/>
          <w:bCs w:val="0"/>
          <w:sz w:val="24"/>
        </w:rPr>
      </w:r>
    </w:p>
    <w:p>
      <w:pPr>
        <w:pStyle w:val="103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4"/>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highlight w:val="none"/>
          <w:lang w:val="pt-BR"/>
        </w:rPr>
      </w:r>
      <w:r>
        <w:rPr>
          <w:b/>
          <w:bCs/>
          <w:highlight w:val="none"/>
          <w:lang w:val="pt-BR"/>
        </w:rPr>
      </w:r>
      <w:r>
        <w:rPr>
          <w:b/>
          <w:bCs/>
          <w:lang w:val="pt-BR"/>
        </w:rPr>
      </w:r>
    </w:p>
    <w:p>
      <w:pPr>
        <w:pBdr/>
        <w:spacing w:after="120" w:before="120" w:line="288" w:lineRule="auto"/>
        <w:ind/>
        <w:rPr>
          <w:b/>
          <w:bCs/>
          <w:highlight w:val="none"/>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highlight w:val="none"/>
          <w:lang w:val="pt-BR"/>
        </w:rPr>
      </w:r>
    </w:p>
    <w:p>
      <w:pPr>
        <w:pStyle w:val="103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4"/>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275/2026/0275/VFI-CT.17.A</w:t>
      </w:r>
      <w:r>
        <w:rPr>
          <w:color w:val="ff0000"/>
          <w:lang w:val="vi-VN"/>
        </w:rPr>
        <w:t xml:space="preserve"> </w:t>
      </w:r>
      <w:r>
        <w:rPr>
          <w:color w:val="000000" w:themeColor="text1"/>
        </w:rPr>
        <w:t xml:space="preserve">ngày 5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34"/>
        <w:pBdr/>
        <w:tabs>
          <w:tab w:val="left" w:leader="none" w:pos="993"/>
        </w:tabs>
        <w:spacing w:after="120" w:before="120" w:line="288" w:lineRule="auto"/>
        <w:ind w:left="0"/>
        <w:jc w:val="both"/>
        <w:rPr>
          <w:lang w:val="pt-BR"/>
        </w:rPr>
      </w:pPr>
      <w:r>
        <w:rPr>
          <w:lang w:val="pt-BR"/>
        </w:rPr>
      </w:r>
      <w:r>
        <w:rPr>
          <w:lang w:val="pt-BR"/>
        </w:rPr>
      </w:r>
      <w:r>
        <w:rPr>
          <w:lang w:val="pt-BR"/>
        </w:rPr>
      </w:r>
    </w:p>
    <w:tbl>
      <w:tblPr>
        <w:tblW w:w="5009" w:type="pct"/>
        <w:tblBorders/>
        <w:tblLayout w:type="fixed"/>
        <w:tblLook w:val="01E0" w:firstRow="1" w:lastRow="1" w:firstColumn="1" w:lastColumn="1" w:noHBand="0" w:noVBand="0"/>
      </w:tblPr>
      <w:tblGrid>
        <w:gridCol w:w="4608"/>
        <w:gridCol w:w="5220"/>
      </w:tblGrid>
      <w:tr>
        <w:trPr>
          <w:trHeight w:val="20"/>
        </w:trPr>
        <w:tc>
          <w:tcPr>
            <w:tcBorders/>
            <w:tcW w:w="4608"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220"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08"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22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08"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5220"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bCs/>
          <w:u w:val="single"/>
          <w:lang w:val="vi-VN"/>
        </w:rPr>
      </w:pPr>
      <w:r>
        <w:rPr>
          <w:b/>
          <w:u w:val="single"/>
          <w:lang w:val="vi-VN"/>
        </w:rPr>
      </w:r>
      <w:r>
        <w:rPr>
          <w:b/>
          <w:u w:val="single"/>
          <w:lang w:val="vi-VN"/>
        </w:rPr>
      </w:r>
      <w:r>
        <w:rPr>
          <w:b/>
          <w:bCs/>
          <w:u w:val="single"/>
          <w:lang w:val="vi-VN"/>
        </w:rPr>
      </w:r>
    </w:p>
    <w:p>
      <w:pPr>
        <w:pBdr/>
        <w:spacing w:after="200" w:line="276" w:lineRule="auto"/>
        <w:ind/>
        <w:jc w:val="center"/>
        <w:rPr>
          <w:b/>
          <w:bCs/>
          <w:u w:val="single"/>
          <w:lang w:val="vi-VN"/>
        </w:rPr>
      </w:pPr>
      <w:r>
        <w:rPr>
          <w:b/>
          <w:u w:val="single"/>
          <w:lang w:val="vi-VN"/>
        </w:rPr>
      </w:r>
      <w:r>
        <w:rPr>
          <w:b/>
          <w:u w:val="single"/>
          <w:lang w:val="vi-VN"/>
        </w:rPr>
      </w:r>
      <w:r>
        <w:rPr>
          <w:b/>
          <w:bCs/>
          <w:u w:val="single"/>
          <w:lang w:val="vi-VN"/>
        </w:rPr>
      </w:r>
    </w:p>
    <w:tbl>
      <w:tblPr>
        <w:tblW w:w="5009" w:type="pct"/>
        <w:tblBorders/>
        <w:tblLayout w:type="fixed"/>
        <w:tblLook w:val="01E0" w:firstRow="1" w:lastRow="1" w:firstColumn="1" w:lastColumn="1" w:noHBand="0" w:noVBand="0"/>
      </w:tblPr>
      <w:tblGrid>
        <w:gridCol w:w="9828"/>
      </w:tblGrid>
      <w:tr>
        <w:trPr>
          <w:trHeight w:val="20"/>
        </w:trPr>
        <w:tc>
          <w:tcPr>
            <w:tcBorders/>
            <w:tcW w:w="9828" w:type="dxa"/>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r>
      <w:tr>
        <w:trPr>
          <w:trHeight w:val="1430"/>
        </w:trPr>
        <w:tc>
          <w:tcPr>
            <w:tcBorders/>
            <w:tcW w:w="9828" w:type="dxa"/>
            <w:vAlign w:val="center"/>
            <w:textDirection w:val="lrTb"/>
            <w:noWrap w:val="false"/>
          </w:tcPr>
          <w:p>
            <w:pPr>
              <w:pBdr/>
              <w:spacing w:line="276" w:lineRule="auto"/>
              <w:ind/>
              <w:rPr>
                <w:rFonts w:eastAsia="Calibri"/>
                <w:b/>
                <w:bCs/>
                <w:lang w:val="vi-VN"/>
              </w:rPr>
            </w:pPr>
            <w:r>
              <w:rPr>
                <w:rFonts w:eastAsia="Calibri"/>
                <w:b/>
                <w:lang w:val="vi-VN"/>
              </w:rPr>
            </w:r>
            <w:r>
              <w:rPr>
                <w:rFonts w:eastAsia="Calibri"/>
                <w:b/>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lang w:val="vi-VN"/>
              </w:rPr>
            </w:r>
            <w:r>
              <w:rPr>
                <w:rFonts w:eastAsia="Calibri"/>
                <w:b/>
                <w:lang w:val="vi-VN"/>
              </w:rPr>
            </w:r>
            <w:r>
              <w:rPr>
                <w:rFonts w:eastAsia="Calibri"/>
                <w:b/>
                <w:bCs/>
                <w:lang w:val="vi-VN"/>
              </w:rPr>
            </w:r>
          </w:p>
        </w:tc>
      </w:tr>
      <w:tr>
        <w:trPr>
          <w:trHeight w:val="20"/>
        </w:trPr>
        <w:tc>
          <w:tcPr>
            <w:tcBorders/>
            <w:tcW w:w="9828"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Sơn Tùng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275/2026/0275/VFI-BC.17.A</w:t>
      </w:r>
      <w:r>
        <w:rPr>
          <w:i/>
          <w:lang w:val="pt-BR"/>
        </w:rPr>
        <w:t xml:space="preserve"> </w:t>
      </w:r>
      <w:r>
        <w:rPr>
          <w:i/>
          <w:lang w:val="pt-BR"/>
        </w:rPr>
        <w:t xml:space="preserve">5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68675" cy="199941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90305" name=""/>
                              <pic:cNvPicPr>
                                <a:picLocks noChangeAspect="1"/>
                              </pic:cNvPicPr>
                              <pic:nvPr/>
                            </pic:nvPicPr>
                            <pic:blipFill rotWithShape="1">
                              <a:blip r:embed="rId23"/>
                              <a:stretch/>
                            </pic:blipFill>
                            <pic:spPr bwMode="auto">
                              <a:xfrm flipH="0" flipV="0">
                                <a:off x="0" y="0"/>
                                <a:ext cx="2668674" cy="19994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0.13pt;height:157.43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highlight w:val="none"/>
        </w:rPr>
      </w:pPr>
      <w:r>
        <w:br w:type="page" w:clear="all"/>
      </w:r>
      <w:r>
        <w:rPr>
          <w:highlight w:val="none"/>
        </w:rPr>
      </w:r>
    </w:p>
    <w:p>
      <w:pPr>
        <w:pBdr/>
        <w:spacing w:after="200" w:line="276" w:lineRule="auto"/>
        <w:ind/>
        <w:jc w:val="center"/>
        <w:rPr/>
      </w:pPr>
      <w:r>
        <mc:AlternateContent>
          <mc:Choice Requires="wpg">
            <w:drawing>
              <wp:inline xmlns:wp="http://schemas.openxmlformats.org/drawingml/2006/wordprocessingDrawing" distT="0" distB="0" distL="0" distR="0">
                <wp:extent cx="6067765" cy="879103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455836" name=""/>
                        <pic:cNvPicPr>
                          <a:picLocks noChangeAspect="1"/>
                        </pic:cNvPicPr>
                        <pic:nvPr/>
                      </pic:nvPicPr>
                      <pic:blipFill rotWithShape="1">
                        <a:blip r:embed="rId24"/>
                        <a:stretch/>
                      </pic:blipFill>
                      <pic:spPr bwMode="auto">
                        <a:xfrm flipH="0" flipV="0">
                          <a:off x="0" y="0"/>
                          <a:ext cx="6067764" cy="87910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7.78pt;height:692.21pt;mso-wrap-distance-left:0.00pt;mso-wrap-distance-top:0.00pt;mso-wrap-distance-right:0.00pt;mso-wrap-distance-bottom:0.00pt;z-index:1;" stroked="false">
                <v:imagedata r:id="rId24" o:title=""/>
                <o:lock v:ext="edit" rotation="t"/>
              </v:shape>
            </w:pict>
          </mc:Fallback>
        </mc:AlternateContent>
      </w:r>
      <w:r/>
    </w:p>
    <w:p>
      <w:pPr>
        <w:pBdr/>
        <w:spacing w:after="200" w:line="276" w:lineRule="auto"/>
        <w:ind/>
        <w:jc w:val="center"/>
        <w:rPr>
          <w:bCs/>
          <w:i/>
          <w:lang w:val="pt-BR"/>
        </w:rPr>
      </w:pPr>
      <w:r>
        <w:rPr>
          <w:bCs/>
          <w:i/>
          <w:lang w:val="pt-BR"/>
        </w:rPr>
      </w:r>
      <w:r>
        <w:rPr>
          <w:bCs/>
          <w:i/>
          <w:lang w:val="pt-BR"/>
        </w:rPr>
      </w:r>
      <w:r>
        <w:rPr>
          <w:bCs/>
          <w:i/>
          <w:lang w:val="pt-BR"/>
        </w:rPr>
      </w:r>
    </w:p>
    <w:p>
      <w:pPr>
        <w:pBdr/>
        <w:spacing w:after="200" w:line="276" w:lineRule="auto"/>
        <w:ind/>
        <w:jc w:val="center"/>
        <w:rPr>
          <w:bCs/>
          <w:i/>
          <w:lang w:val="pt-BR"/>
        </w:rPr>
      </w:pPr>
      <w:r>
        <w:rPr>
          <w:b/>
          <w:highlight w:val="none"/>
        </w:rPr>
      </w:r>
      <w:r>
        <mc:AlternateContent>
          <mc:Choice Requires="wpg">
            <w:drawing>
              <wp:inline xmlns:wp="http://schemas.openxmlformats.org/drawingml/2006/wordprocessingDrawing" distT="0" distB="0" distL="0" distR="0">
                <wp:extent cx="6001090" cy="889581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760883" name=""/>
                        <pic:cNvPicPr>
                          <a:picLocks noChangeAspect="1"/>
                        </pic:cNvPicPr>
                        <pic:nvPr/>
                      </pic:nvPicPr>
                      <pic:blipFill rotWithShape="1">
                        <a:blip r:embed="rId25"/>
                        <a:stretch/>
                      </pic:blipFill>
                      <pic:spPr bwMode="auto">
                        <a:xfrm flipH="0" flipV="0">
                          <a:off x="0" y="0"/>
                          <a:ext cx="6001089" cy="88958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2.53pt;height:700.46pt;mso-wrap-distance-left:0.00pt;mso-wrap-distance-top:0.00pt;mso-wrap-distance-right:0.00pt;mso-wrap-distance-bottom:0.00pt;z-index:1;" stroked="false">
                <v:imagedata r:id="rId25" o:title=""/>
                <o:lock v:ext="edit" rotation="t"/>
              </v:shape>
            </w:pict>
          </mc:Fallback>
        </mc:AlternateContent>
      </w:r>
      <w:r>
        <w:rPr>
          <w:b/>
          <w:highlight w:val="none"/>
        </w:rPr>
      </w:r>
      <w:r>
        <w:rPr>
          <w:bCs/>
          <w:i/>
          <w:lang w:val="pt-BR"/>
        </w:rPr>
      </w:r>
    </w:p>
    <w:p>
      <w:pPr>
        <w:pBdr/>
        <w:spacing w:after="200" w:line="276" w:lineRule="auto"/>
        <w:ind/>
        <w:jc w:val="center"/>
        <w:rPr>
          <w:b/>
          <w:bCs/>
          <w:highlight w:val="none"/>
        </w:rPr>
      </w:pPr>
      <w:r>
        <w:rPr>
          <w:b/>
          <w:highlight w:val="none"/>
        </w:rPr>
      </w:r>
      <w:r>
        <w:rPr>
          <w:b/>
          <w:highlight w:val="none"/>
        </w:rPr>
      </w:r>
      <w:r>
        <w:rPr>
          <w:b/>
          <w:bCs/>
          <w:highlight w:val="none"/>
        </w:rPr>
      </w:r>
    </w:p>
    <w:p>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5953465" cy="914346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457327" name=""/>
                        <pic:cNvPicPr>
                          <a:picLocks noChangeAspect="1"/>
                        </pic:cNvPicPr>
                        <pic:nvPr/>
                      </pic:nvPicPr>
                      <pic:blipFill rotWithShape="1">
                        <a:blip r:embed="rId26"/>
                        <a:stretch/>
                      </pic:blipFill>
                      <pic:spPr bwMode="auto">
                        <a:xfrm flipH="0" flipV="0">
                          <a:off x="0" y="0"/>
                          <a:ext cx="5953464" cy="91434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68.78pt;height:719.96pt;mso-wrap-distance-left:0.00pt;mso-wrap-distance-top:0.00pt;mso-wrap-distance-right:0.00pt;mso-wrap-distance-bottom:0.00pt;z-index:1;" stroked="false">
                <v:imagedata r:id="rId26" o:title=""/>
                <o:lock v:ext="edit" rotation="t"/>
              </v:shape>
            </w:pict>
          </mc:Fallback>
        </mc:AlternateContent>
      </w:r>
      <w:r>
        <w:rPr>
          <w:b/>
          <w:highlight w:val="none"/>
        </w:rPr>
      </w:r>
      <w:r>
        <w:rPr>
          <w:b/>
          <w:bCs/>
          <w:highlight w:val="none"/>
        </w:rPr>
      </w:r>
    </w:p>
    <w:p>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5972515" cy="910536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469364" name=""/>
                        <pic:cNvPicPr>
                          <a:picLocks noChangeAspect="1"/>
                        </pic:cNvPicPr>
                        <pic:nvPr/>
                      </pic:nvPicPr>
                      <pic:blipFill rotWithShape="1">
                        <a:blip r:embed="rId27"/>
                        <a:stretch/>
                      </pic:blipFill>
                      <pic:spPr bwMode="auto">
                        <a:xfrm flipH="0" flipV="0">
                          <a:off x="0" y="0"/>
                          <a:ext cx="5972514" cy="91053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0.28pt;height:716.96pt;mso-wrap-distance-left:0.00pt;mso-wrap-distance-top:0.00pt;mso-wrap-distance-right:0.00pt;mso-wrap-distance-bottom:0.00pt;z-index:1;" stroked="false">
                <v:imagedata r:id="rId27" o:title=""/>
                <o:lock v:ext="edit" rotation="t"/>
              </v:shape>
            </w:pict>
          </mc:Fallback>
        </mc:AlternateContent>
      </w:r>
      <w:r>
        <w:rPr>
          <w:b/>
          <w:highlight w:val="none"/>
        </w:rPr>
      </w:r>
      <w:r>
        <w:rPr>
          <w:b/>
          <w:bCs/>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275/2026/0275/VFI-BC.17.A</w:t>
      </w:r>
      <w:r>
        <w:rPr>
          <w:i/>
          <w:lang w:val="pt-BR"/>
        </w:rPr>
        <w:t xml:space="preserve"> </w:t>
      </w:r>
      <w:r>
        <w:rPr>
          <w:i/>
          <w:lang w:val="pt-BR"/>
        </w:rPr>
        <w:t xml:space="preserve">5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828" w:type="dxa"/>
        <w:tblBorders/>
        <w:tblLayout w:type="fixed"/>
        <w:tblLook w:val="04A0" w:firstRow="1" w:lastRow="0" w:firstColumn="1" w:lastColumn="0" w:noHBand="0" w:noVBand="1"/>
      </w:tblPr>
      <w:tblGrid>
        <w:gridCol w:w="632"/>
        <w:gridCol w:w="3076"/>
        <w:gridCol w:w="6120"/>
      </w:tblGrid>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12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120"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0989569770</w:t>
            </w:r>
            <w:r>
              <w:rPr>
                <w:sz w:val="22"/>
                <w:szCs w:val="22"/>
              </w:rPr>
              <w:t xml:space="preserve"> </w:t>
            </w:r>
            <w:r>
              <w:rPr>
                <w:sz w:val="22"/>
                <w:szCs w:val="22"/>
              </w:rPr>
              <w:br/>
              <w:t xml:space="preserve">(Điệp</w:t>
            </w:r>
            <w:r>
              <w:rPr>
                <w:sz w:val="22"/>
                <w:szCs w:val="22"/>
              </w:rPr>
              <w:t xml:space="preserve">)</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11.500.000.000</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10.925.000.000</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(204 m²)</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120"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1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tiếp giáp mặt tiền đường QL39A thuộc xã Liên Phương, thành phố Hưng Yên, tỉnh Hưng Yên (nay là xã Tân Hưng, tỉnh Hưng Yên)</w:t>
            </w: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204</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7.7</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120"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120"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single" w:color="000000" w:sz="4" w:space="0"/>
              <w:left w:val="single" w:color="000000" w:sz="4" w:space="0"/>
              <w:bottom w:val="single" w:color="000000" w:sz="4" w:space="0"/>
              <w:right w:val="single" w:color="000000" w:sz="4" w:space="0"/>
            </w:tcBorders>
            <w:tcW w:w="9196"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070536" cy="3444556"/>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2070536" cy="344455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63.03pt;height:271.22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093724" cy="3444556"/>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2093723" cy="344455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64.86pt;height:271.22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7762"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2377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33.68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12146" cy="3586622"/>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2812145" cy="358662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21.43pt;height:282.41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tblInd w:w="108" w:type="dxa"/>
        <w:tblW w:w="9738" w:type="dxa"/>
        <w:tblBorders/>
        <w:tblLayout w:type="fixed"/>
        <w:tblLook w:val="04A0" w:firstRow="1" w:lastRow="0" w:firstColumn="1" w:lastColumn="0" w:noHBand="0" w:noVBand="1"/>
      </w:tblPr>
      <w:tblGrid>
        <w:gridCol w:w="9738"/>
      </w:tblGrid>
      <w:tr>
        <w:trPr>
          <w:trHeight w:val="298"/>
        </w:trPr>
        <w:tc>
          <w:tcPr>
            <w:tcBorders/>
            <w:tcW w:w="9738"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9738" w:type="dxa"/>
            <w:vAlign w:val="center"/>
            <w:textDirection w:val="lrTb"/>
            <w:noWrap/>
          </w:tcPr>
          <w:p>
            <w:pPr>
              <w:pBdr/>
              <w:spacing/>
              <w:ind/>
              <w:jc w:val="center"/>
              <w:rPr>
                <w:b/>
                <w:bCs/>
              </w:rPr>
            </w:pPr>
            <w:r>
              <w:rPr>
                <w:b/>
                <w:bCs/>
              </w:rPr>
              <w:t xml:space="preserve">Trần Sơn Tùng</w:t>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830" w:type="dxa"/>
        <w:tblBorders/>
        <w:tblLayout w:type="fixed"/>
        <w:tblLook w:val="04A0" w:firstRow="1" w:lastRow="0" w:firstColumn="1" w:lastColumn="0" w:noHBand="0" w:noVBand="1"/>
      </w:tblPr>
      <w:tblGrid>
        <w:gridCol w:w="632"/>
        <w:gridCol w:w="3168"/>
        <w:gridCol w:w="6030"/>
      </w:tblGrid>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0398859698</w:t>
            </w:r>
            <w:r>
              <w:rPr>
                <w:sz w:val="22"/>
                <w:szCs w:val="22"/>
              </w:rPr>
              <w:t xml:space="preserve"> </w:t>
            </w:r>
            <w:r>
              <w:rPr>
                <w:sz w:val="22"/>
                <w:szCs w:val="22"/>
              </w:rPr>
              <w:br/>
              <w:t xml:space="preserve">(Trang</w:t>
            </w:r>
            <w:r>
              <w:rPr>
                <w:sz w:val="22"/>
                <w:szCs w:val="22"/>
              </w:rPr>
              <w:t xml:space="preserve">)</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6.000.000.000</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5.700.000.000</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(108.5 m²)</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tiếp giáp mặt tiền đường QL39A thuộc xã Liên Phương, thành phố Hưng Yên, tỉnh Hưng Yên (nay là xã Tân Hưng, tỉnh Hưng Yên)</w:t>
            </w: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108.5</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4.8</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Thóp hậu</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single" w:color="000000" w:sz="4" w:space="0"/>
              <w:left w:val="single" w:color="000000" w:sz="4" w:space="0"/>
              <w:bottom w:val="single" w:color="000000" w:sz="4" w:space="0"/>
              <w:right w:val="single" w:color="000000" w:sz="4" w:space="0"/>
            </w:tcBorders>
            <w:tcW w:w="9198"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648208" cy="3864929"/>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1648207" cy="386492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29.78pt;height:304.33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97826" cy="3864929"/>
                      <wp:effectExtent l="0" t="0" r="0" b="0"/>
                      <wp:docPr id="21" name=""/>
                      <wp:cNvGraphicFramePr/>
                      <a:graphic xmlns:a="http://schemas.openxmlformats.org/drawingml/2006/main">
                        <a:graphicData uri="http://schemas.openxmlformats.org/drawingml/2006/picture">
                          <pic:pic xmlns:pic="http://schemas.openxmlformats.org/drawingml/2006/picture">
                            <pic:nvPicPr>
                              <pic:cNvPr id="575065010" name="" descr=""/>
                              <pic:cNvPicPr/>
                              <pic:nvPr/>
                            </pic:nvPicPr>
                            <pic:blipFill rotWithShape="1">
                              <a:blip r:embed="rId33"/>
                              <a:stretch/>
                            </pic:blipFill>
                            <pic:spPr bwMode="auto">
                              <a:xfrm flipH="0" flipV="0">
                                <a:off x="0" y="0"/>
                                <a:ext cx="1797825" cy="386492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41.56pt;height:304.33pt;mso-wrap-distance-left:0.00pt;mso-wrap-distance-top:0.00pt;mso-wrap-distance-right:0.00pt;mso-wrap-distance-bottom:0.00pt;z-index:1;" stroked="false">
                      <v:imagedata r:id="rId33"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1759436" cy="3864929"/>
                      <wp:effectExtent l="0" t="0" r="0" b="0"/>
                      <wp:docPr id="22" name=""/>
                      <wp:cNvGraphicFramePr/>
                      <a:graphic xmlns:a="http://schemas.openxmlformats.org/drawingml/2006/main">
                        <a:graphicData uri="http://schemas.openxmlformats.org/drawingml/2006/picture">
                          <pic:pic xmlns:pic="http://schemas.openxmlformats.org/drawingml/2006/picture">
                            <pic:nvPicPr>
                              <pic:cNvPr id="1769030493" name="" descr=""/>
                              <pic:cNvPicPr/>
                              <pic:nvPr/>
                            </pic:nvPicPr>
                            <pic:blipFill rotWithShape="1">
                              <a:blip r:embed="rId34"/>
                              <a:stretch/>
                            </pic:blipFill>
                            <pic:spPr bwMode="auto">
                              <a:xfrm flipH="0" flipV="0">
                                <a:off x="0" y="0"/>
                                <a:ext cx="1759436" cy="386492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38.54pt;height:304.33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b/>
                <w:bCs/>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4917735" cy="3688301"/>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067580" name=""/>
                              <pic:cNvPicPr>
                                <a:picLocks noChangeAspect="1"/>
                              </pic:cNvPicPr>
                              <pic:nvPr/>
                            </pic:nvPicPr>
                            <pic:blipFill rotWithShape="1">
                              <a:blip r:embed="rId35"/>
                              <a:stretch/>
                            </pic:blipFill>
                            <pic:spPr bwMode="auto">
                              <a:xfrm flipH="0" flipV="0">
                                <a:off x="0" y="0"/>
                                <a:ext cx="4917735" cy="36883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87.22pt;height:290.42pt;mso-wrap-distance-left:0.00pt;mso-wrap-distance-top:0.00pt;mso-wrap-distance-right:0.00pt;mso-wrap-distance-bottom:0.00pt;z-index:1;" stroked="false">
                      <v:imagedata r:id="rId35" o:title=""/>
                      <o:lock v:ext="edit" rotation="t"/>
                    </v:shape>
                  </w:pict>
                </mc:Fallback>
              </mc:AlternateConten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776"/>
      </w:tblGrid>
      <w:tr>
        <w:trPr>
          <w:trHeight w:val="312"/>
        </w:trPr>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776" w:type="dxa"/>
            <w:vAlign w:val="center"/>
            <w:textDirection w:val="lrTb"/>
            <w:noWrap/>
          </w:tcPr>
          <w:p>
            <w:pPr>
              <w:pBdr/>
              <w:spacing/>
              <w:ind/>
              <w:jc w:val="center"/>
              <w:rPr>
                <w:b/>
                <w:bCs/>
              </w:rPr>
            </w:pPr>
            <w:r>
              <w:rPr>
                <w:b/>
                <w:bCs/>
              </w:rPr>
              <w:t xml:space="preserve">Trần Sơn Tùng</w:t>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738" w:type="dxa"/>
        <w:tblBorders/>
        <w:tblLayout w:type="fixed"/>
        <w:tblLook w:val="04A0" w:firstRow="1" w:lastRow="0" w:firstColumn="1" w:lastColumn="0" w:noHBand="0" w:noVBand="1"/>
      </w:tblPr>
      <w:tblGrid>
        <w:gridCol w:w="632"/>
        <w:gridCol w:w="3076"/>
        <w:gridCol w:w="6030"/>
      </w:tblGrid>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0989569770</w:t>
            </w:r>
            <w:r>
              <w:rPr>
                <w:sz w:val="22"/>
                <w:szCs w:val="22"/>
              </w:rPr>
              <w:t xml:space="preserve"> </w:t>
            </w:r>
            <w:r>
              <w:rPr>
                <w:sz w:val="22"/>
                <w:szCs w:val="22"/>
              </w:rPr>
              <w:br/>
              <w:t xml:space="preserve">(Điệp</w:t>
            </w:r>
            <w:r>
              <w:rPr>
                <w:sz w:val="22"/>
                <w:szCs w:val="22"/>
              </w:rPr>
              <w:t xml:space="preserve">)</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7.500.000.000</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7.125.000.000</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(149.2 m²)</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tiếp giáp mặt tiền đường QL39A thuộc xã Liên Phương, thành phố Hưng Yên, tỉnh Hưng Yên (nay là xã Tân Hưng, tỉnh Hưng Yên)</w:t>
            </w: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149.2</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5.01</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030"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single" w:color="000000" w:sz="4" w:space="0"/>
              <w:left w:val="single" w:color="000000" w:sz="4" w:space="0"/>
              <w:bottom w:val="single" w:color="000000" w:sz="4" w:space="0"/>
              <w:right w:val="single" w:color="000000" w:sz="4" w:space="0"/>
            </w:tcBorders>
            <w:tcW w:w="9106"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46574" cy="3969704"/>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2446573" cy="396970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92.64pt;height:312.58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3290" cy="3969704"/>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flipH="0" flipV="0">
                                <a:off x="0" y="0"/>
                                <a:ext cx="2383290" cy="396970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87.66pt;height:312.58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96681" cy="359556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flipH="0" flipV="0">
                                <a:off x="0" y="0"/>
                                <a:ext cx="4596681" cy="35955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361.94pt;height:283.11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776"/>
      </w:tblGrid>
      <w:tr>
        <w:trPr>
          <w:trHeight w:val="312"/>
        </w:trPr>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776" w:type="dxa"/>
            <w:vAlign w:val="center"/>
            <w:textDirection w:val="lrTb"/>
            <w:noWrap/>
          </w:tcPr>
          <w:p>
            <w:pPr>
              <w:pBdr/>
              <w:spacing/>
              <w:ind/>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12"/>
        </w:trPr>
        <w:tc>
          <w:tcPr>
            <w:tcBorders/>
            <w:tcW w:w="4776" w:type="dxa"/>
            <w:vAlign w:val="center"/>
            <w:textDirection w:val="lrTb"/>
            <w:noWrap/>
          </w:tcPr>
          <w:p>
            <w:pPr>
              <w:pBdr/>
              <w:spacing/>
              <w:ind/>
              <w:jc w:val="center"/>
              <w:rPr>
                <w:b/>
                <w:bCs/>
              </w:rPr>
            </w:pPr>
            <w:r>
              <w:rPr>
                <w:b/>
                <w:bCs/>
              </w:rPr>
              <w:t xml:space="preserve">Trần Sơn Tùng</w:t>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566" w:bottom="675"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Đỗ Thanh Thảo" w:date="2026-02-05T10:37:24Z" w:initials="ĐTT">
    <w:p w14:paraId="00000001" w14:textId="00000001">
      <w:pPr>
        <w:spacing w:line="240" w:after="0" w:lineRule="auto" w:before="0"/>
        <w:ind w:firstLine="0" w:left="0" w:right="0"/>
        <w:jc w:val="left"/>
      </w:pPr>
      <w:r>
        <w:rPr>
          <w:rFonts w:eastAsia="Arial" w:ascii="Arial" w:hAnsi="Arial" w:cs="Arial"/>
          <w:sz w:val="22"/>
        </w:rPr>
        <w:t xml:space="preserve">ghi rõ bao nhiêu m2 nằm trong QH</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FC91EDF" w16cex:dateUtc="2026-02-05T03:37:24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3FC91ED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DC54922"/>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72947D86"/>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7EDA89D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72947D86"/>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nsid w:val="72947D86"/>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Đỗ Thanh Thảo">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6">
    <w:name w:val="Table Grid Light"/>
    <w:basedOn w:val="101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1"/>
    <w:basedOn w:val="101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2"/>
    <w:basedOn w:val="101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3"/>
    <w:basedOn w:val="10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4"/>
    <w:basedOn w:val="10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5"/>
    <w:basedOn w:val="10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w:basedOn w:val="101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1"/>
    <w:basedOn w:val="101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2"/>
    <w:basedOn w:val="101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3"/>
    <w:basedOn w:val="101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4"/>
    <w:basedOn w:val="101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5"/>
    <w:basedOn w:val="101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6"/>
    <w:basedOn w:val="101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w:basedOn w:val="101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1"/>
    <w:basedOn w:val="101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2"/>
    <w:basedOn w:val="101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3"/>
    <w:basedOn w:val="101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4"/>
    <w:basedOn w:val="101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5"/>
    <w:basedOn w:val="101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6"/>
    <w:basedOn w:val="101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w:basedOn w:val="101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1"/>
    <w:basedOn w:val="101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2"/>
    <w:basedOn w:val="101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3"/>
    <w:basedOn w:val="101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4"/>
    <w:basedOn w:val="101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5"/>
    <w:basedOn w:val="101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6"/>
    <w:basedOn w:val="101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w:basedOn w:val="101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1"/>
    <w:basedOn w:val="101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2"/>
    <w:basedOn w:val="101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3"/>
    <w:basedOn w:val="101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4"/>
    <w:basedOn w:val="101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5"/>
    <w:basedOn w:val="101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6"/>
    <w:basedOn w:val="101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1"/>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2"/>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3"/>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4"/>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5"/>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6"/>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6 Colorful"/>
    <w:basedOn w:val="101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8">
    <w:name w:val="Grid Table 6 Colorful - Accent 1"/>
    <w:basedOn w:val="101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9">
    <w:name w:val="Grid Table 6 Colorful - Accent 2"/>
    <w:basedOn w:val="101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0">
    <w:name w:val="Grid Table 6 Colorful - Accent 3"/>
    <w:basedOn w:val="101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1">
    <w:name w:val="Grid Table 6 Colorful - Accent 4"/>
    <w:basedOn w:val="101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2">
    <w:name w:val="Grid Table 6 Colorful - Accent 5"/>
    <w:basedOn w:val="101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6 Colorful - Accent 6"/>
    <w:basedOn w:val="101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7 Colorful"/>
    <w:basedOn w:val="101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1"/>
    <w:basedOn w:val="101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2"/>
    <w:basedOn w:val="101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3"/>
    <w:basedOn w:val="101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4"/>
    <w:basedOn w:val="101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5"/>
    <w:basedOn w:val="101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6"/>
    <w:basedOn w:val="101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1"/>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2"/>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3"/>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4"/>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5"/>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6"/>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w:basedOn w:val="101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1"/>
    <w:basedOn w:val="101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2"/>
    <w:basedOn w:val="101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3"/>
    <w:basedOn w:val="101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4"/>
    <w:basedOn w:val="101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5"/>
    <w:basedOn w:val="101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6"/>
    <w:basedOn w:val="101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w:basedOn w:val="101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1"/>
    <w:basedOn w:val="101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2"/>
    <w:basedOn w:val="101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3"/>
    <w:basedOn w:val="101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4"/>
    <w:basedOn w:val="101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5"/>
    <w:basedOn w:val="101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6"/>
    <w:basedOn w:val="101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w:basedOn w:val="101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1"/>
    <w:basedOn w:val="101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2"/>
    <w:basedOn w:val="101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3"/>
    <w:basedOn w:val="101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4"/>
    <w:basedOn w:val="101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5"/>
    <w:basedOn w:val="101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6"/>
    <w:basedOn w:val="101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5 Dark"/>
    <w:basedOn w:val="101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1"/>
    <w:basedOn w:val="101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2"/>
    <w:basedOn w:val="101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3"/>
    <w:basedOn w:val="101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4"/>
    <w:basedOn w:val="101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5"/>
    <w:basedOn w:val="101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6"/>
    <w:basedOn w:val="101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6 Colorful"/>
    <w:basedOn w:val="101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1"/>
    <w:basedOn w:val="101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2"/>
    <w:basedOn w:val="101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3"/>
    <w:basedOn w:val="101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4"/>
    <w:basedOn w:val="101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5"/>
    <w:basedOn w:val="101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6"/>
    <w:basedOn w:val="101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7 Colorful"/>
    <w:basedOn w:val="101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4">
    <w:name w:val="List Table 7 Colorful - Accent 1"/>
    <w:basedOn w:val="101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5">
    <w:name w:val="List Table 7 Colorful - Accent 2"/>
    <w:basedOn w:val="101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6">
    <w:name w:val="List Table 7 Colorful - Accent 3"/>
    <w:basedOn w:val="101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7">
    <w:name w:val="List Table 7 Colorful - Accent 4"/>
    <w:basedOn w:val="101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8">
    <w:name w:val="List Table 7 Colorful - Accent 5"/>
    <w:basedOn w:val="101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9">
    <w:name w:val="List Table 7 Colorful - Accent 6"/>
    <w:basedOn w:val="101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0">
    <w:name w:val="Lined - Accent"/>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1"/>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2"/>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3"/>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4"/>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5"/>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6"/>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w:basedOn w:val="101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1"/>
    <w:basedOn w:val="101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2"/>
    <w:basedOn w:val="101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3"/>
    <w:basedOn w:val="101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4"/>
    <w:basedOn w:val="101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5"/>
    <w:basedOn w:val="101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6"/>
    <w:basedOn w:val="101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w:basedOn w:val="101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1"/>
    <w:basedOn w:val="101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2"/>
    <w:basedOn w:val="101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3"/>
    <w:basedOn w:val="101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4"/>
    <w:basedOn w:val="101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5"/>
    <w:basedOn w:val="101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6"/>
    <w:basedOn w:val="101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1">
    <w:name w:val="Heading 5"/>
    <w:basedOn w:val="1012"/>
    <w:next w:val="1012"/>
    <w:link w:val="97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2">
    <w:name w:val="Heading 6"/>
    <w:basedOn w:val="1012"/>
    <w:next w:val="1012"/>
    <w:link w:val="97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3">
    <w:name w:val="Heading 7"/>
    <w:basedOn w:val="1012"/>
    <w:next w:val="1012"/>
    <w:link w:val="97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4">
    <w:name w:val="Heading 8"/>
    <w:basedOn w:val="1012"/>
    <w:next w:val="1012"/>
    <w:link w:val="97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5">
    <w:name w:val="Heading 9"/>
    <w:basedOn w:val="1012"/>
    <w:next w:val="1012"/>
    <w:link w:val="98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6">
    <w:name w:val="Heading 5 Char"/>
    <w:basedOn w:val="1017"/>
    <w:link w:val="971"/>
    <w:uiPriority w:val="9"/>
    <w:pPr>
      <w:pBdr/>
      <w:spacing/>
      <w:ind/>
    </w:pPr>
    <w:rPr>
      <w:rFonts w:ascii="Arial" w:hAnsi="Arial" w:eastAsia="Arial" w:cs="Arial"/>
      <w:color w:val="0f4761" w:themeColor="accent1" w:themeShade="BF"/>
    </w:rPr>
  </w:style>
  <w:style w:type="character" w:styleId="977">
    <w:name w:val="Heading 6 Char"/>
    <w:basedOn w:val="1017"/>
    <w:link w:val="972"/>
    <w:uiPriority w:val="9"/>
    <w:pPr>
      <w:pBdr/>
      <w:spacing/>
      <w:ind/>
    </w:pPr>
    <w:rPr>
      <w:rFonts w:ascii="Arial" w:hAnsi="Arial" w:eastAsia="Arial" w:cs="Arial"/>
      <w:i/>
      <w:iCs/>
      <w:color w:val="595959" w:themeColor="text1" w:themeTint="A6"/>
    </w:rPr>
  </w:style>
  <w:style w:type="character" w:styleId="978">
    <w:name w:val="Heading 7 Char"/>
    <w:basedOn w:val="1017"/>
    <w:link w:val="973"/>
    <w:uiPriority w:val="9"/>
    <w:pPr>
      <w:pBdr/>
      <w:spacing/>
      <w:ind/>
    </w:pPr>
    <w:rPr>
      <w:rFonts w:ascii="Arial" w:hAnsi="Arial" w:eastAsia="Arial" w:cs="Arial"/>
      <w:color w:val="595959" w:themeColor="text1" w:themeTint="A6"/>
    </w:rPr>
  </w:style>
  <w:style w:type="character" w:styleId="979">
    <w:name w:val="Heading 8 Char"/>
    <w:basedOn w:val="1017"/>
    <w:link w:val="974"/>
    <w:uiPriority w:val="9"/>
    <w:pPr>
      <w:pBdr/>
      <w:spacing/>
      <w:ind/>
    </w:pPr>
    <w:rPr>
      <w:rFonts w:ascii="Arial" w:hAnsi="Arial" w:eastAsia="Arial" w:cs="Arial"/>
      <w:i/>
      <w:iCs/>
      <w:color w:val="272727" w:themeColor="text1" w:themeTint="D8"/>
    </w:rPr>
  </w:style>
  <w:style w:type="character" w:styleId="980">
    <w:name w:val="Heading 9 Char"/>
    <w:basedOn w:val="1017"/>
    <w:link w:val="975"/>
    <w:uiPriority w:val="9"/>
    <w:pPr>
      <w:pBdr/>
      <w:spacing/>
      <w:ind/>
    </w:pPr>
    <w:rPr>
      <w:rFonts w:ascii="Arial" w:hAnsi="Arial" w:eastAsia="Arial" w:cs="Arial"/>
      <w:i/>
      <w:iCs/>
      <w:color w:val="272727" w:themeColor="text1" w:themeTint="D8"/>
    </w:rPr>
  </w:style>
  <w:style w:type="paragraph" w:styleId="981">
    <w:name w:val="Subtitle"/>
    <w:basedOn w:val="1012"/>
    <w:next w:val="1012"/>
    <w:link w:val="982"/>
    <w:uiPriority w:val="11"/>
    <w:qFormat/>
    <w:pPr>
      <w:numPr>
        <w:ilvl w:val="1"/>
      </w:numPr>
      <w:pBdr/>
      <w:spacing/>
      <w:ind/>
    </w:pPr>
    <w:rPr>
      <w:color w:val="595959" w:themeColor="text1" w:themeTint="A6"/>
      <w:spacing w:val="15"/>
      <w:sz w:val="28"/>
      <w:szCs w:val="28"/>
    </w:rPr>
  </w:style>
  <w:style w:type="character" w:styleId="982">
    <w:name w:val="Subtitle Char"/>
    <w:basedOn w:val="1017"/>
    <w:link w:val="981"/>
    <w:uiPriority w:val="11"/>
    <w:pPr>
      <w:pBdr/>
      <w:spacing/>
      <w:ind/>
    </w:pPr>
    <w:rPr>
      <w:color w:val="595959" w:themeColor="text1" w:themeTint="A6"/>
      <w:spacing w:val="15"/>
      <w:sz w:val="28"/>
      <w:szCs w:val="28"/>
    </w:rPr>
  </w:style>
  <w:style w:type="paragraph" w:styleId="983">
    <w:name w:val="Quote"/>
    <w:basedOn w:val="1012"/>
    <w:next w:val="1012"/>
    <w:link w:val="984"/>
    <w:uiPriority w:val="29"/>
    <w:qFormat/>
    <w:pPr>
      <w:pBdr/>
      <w:spacing w:before="160"/>
      <w:ind/>
      <w:jc w:val="center"/>
    </w:pPr>
    <w:rPr>
      <w:i/>
      <w:iCs/>
      <w:color w:val="404040" w:themeColor="text1" w:themeTint="BF"/>
    </w:rPr>
  </w:style>
  <w:style w:type="character" w:styleId="984">
    <w:name w:val="Quote Char"/>
    <w:basedOn w:val="1017"/>
    <w:link w:val="983"/>
    <w:uiPriority w:val="29"/>
    <w:pPr>
      <w:pBdr/>
      <w:spacing/>
      <w:ind/>
    </w:pPr>
    <w:rPr>
      <w:i/>
      <w:iCs/>
      <w:color w:val="404040" w:themeColor="text1" w:themeTint="BF"/>
    </w:rPr>
  </w:style>
  <w:style w:type="character" w:styleId="985">
    <w:name w:val="Intense Emphasis"/>
    <w:basedOn w:val="1017"/>
    <w:uiPriority w:val="21"/>
    <w:qFormat/>
    <w:pPr>
      <w:pBdr/>
      <w:spacing/>
      <w:ind/>
    </w:pPr>
    <w:rPr>
      <w:i/>
      <w:iCs/>
      <w:color w:val="0f4761" w:themeColor="accent1" w:themeShade="BF"/>
    </w:rPr>
  </w:style>
  <w:style w:type="paragraph" w:styleId="986">
    <w:name w:val="Intense Quote"/>
    <w:basedOn w:val="1012"/>
    <w:next w:val="1012"/>
    <w:link w:val="98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7">
    <w:name w:val="Intense Quote Char"/>
    <w:basedOn w:val="1017"/>
    <w:link w:val="986"/>
    <w:uiPriority w:val="30"/>
    <w:pPr>
      <w:pBdr/>
      <w:spacing/>
      <w:ind/>
    </w:pPr>
    <w:rPr>
      <w:i/>
      <w:iCs/>
      <w:color w:val="0f4761" w:themeColor="accent1" w:themeShade="BF"/>
    </w:rPr>
  </w:style>
  <w:style w:type="character" w:styleId="988">
    <w:name w:val="Intense Reference"/>
    <w:basedOn w:val="1017"/>
    <w:uiPriority w:val="32"/>
    <w:qFormat/>
    <w:pPr>
      <w:pBdr/>
      <w:spacing/>
      <w:ind/>
    </w:pPr>
    <w:rPr>
      <w:b/>
      <w:bCs/>
      <w:smallCaps/>
      <w:color w:val="0f4761" w:themeColor="accent1" w:themeShade="BF"/>
      <w:spacing w:val="5"/>
    </w:rPr>
  </w:style>
  <w:style w:type="paragraph" w:styleId="989">
    <w:name w:val="No Spacing"/>
    <w:basedOn w:val="1012"/>
    <w:uiPriority w:val="1"/>
    <w:qFormat/>
    <w:pPr>
      <w:pBdr/>
      <w:spacing w:after="0" w:line="240" w:lineRule="auto"/>
      <w:ind/>
    </w:pPr>
  </w:style>
  <w:style w:type="character" w:styleId="990">
    <w:name w:val="Subtle Emphasis"/>
    <w:basedOn w:val="1017"/>
    <w:uiPriority w:val="19"/>
    <w:qFormat/>
    <w:pPr>
      <w:pBdr/>
      <w:spacing/>
      <w:ind/>
    </w:pPr>
    <w:rPr>
      <w:i/>
      <w:iCs/>
      <w:color w:val="404040" w:themeColor="text1" w:themeTint="BF"/>
    </w:rPr>
  </w:style>
  <w:style w:type="character" w:styleId="991">
    <w:name w:val="Subtle Reference"/>
    <w:basedOn w:val="1017"/>
    <w:uiPriority w:val="31"/>
    <w:qFormat/>
    <w:pPr>
      <w:pBdr/>
      <w:spacing/>
      <w:ind/>
    </w:pPr>
    <w:rPr>
      <w:smallCaps/>
      <w:color w:val="5a5a5a" w:themeColor="text1" w:themeTint="A5"/>
    </w:rPr>
  </w:style>
  <w:style w:type="character" w:styleId="992">
    <w:name w:val="Book Title"/>
    <w:basedOn w:val="1017"/>
    <w:uiPriority w:val="33"/>
    <w:qFormat/>
    <w:pPr>
      <w:pBdr/>
      <w:spacing/>
      <w:ind/>
    </w:pPr>
    <w:rPr>
      <w:b/>
      <w:bCs/>
      <w:i/>
      <w:iCs/>
      <w:spacing w:val="5"/>
    </w:rPr>
  </w:style>
  <w:style w:type="paragraph" w:styleId="993">
    <w:name w:val="Caption"/>
    <w:basedOn w:val="1012"/>
    <w:next w:val="1012"/>
    <w:uiPriority w:val="35"/>
    <w:unhideWhenUsed/>
    <w:qFormat/>
    <w:pPr>
      <w:pBdr/>
      <w:spacing w:after="200" w:line="240" w:lineRule="auto"/>
      <w:ind/>
    </w:pPr>
    <w:rPr>
      <w:i/>
      <w:iCs/>
      <w:color w:val="0e2841" w:themeColor="text2"/>
      <w:sz w:val="18"/>
      <w:szCs w:val="18"/>
    </w:rPr>
  </w:style>
  <w:style w:type="paragraph" w:styleId="994">
    <w:name w:val="footnote text"/>
    <w:basedOn w:val="1012"/>
    <w:link w:val="995"/>
    <w:uiPriority w:val="99"/>
    <w:semiHidden/>
    <w:unhideWhenUsed/>
    <w:pPr>
      <w:pBdr/>
      <w:spacing w:after="0" w:line="240" w:lineRule="auto"/>
      <w:ind/>
    </w:pPr>
    <w:rPr>
      <w:sz w:val="20"/>
      <w:szCs w:val="20"/>
    </w:rPr>
  </w:style>
  <w:style w:type="character" w:styleId="995">
    <w:name w:val="Footnote Text Char"/>
    <w:basedOn w:val="1017"/>
    <w:link w:val="994"/>
    <w:uiPriority w:val="99"/>
    <w:semiHidden/>
    <w:pPr>
      <w:pBdr/>
      <w:spacing/>
      <w:ind/>
    </w:pPr>
    <w:rPr>
      <w:sz w:val="20"/>
      <w:szCs w:val="20"/>
    </w:rPr>
  </w:style>
  <w:style w:type="character" w:styleId="996">
    <w:name w:val="footnote reference"/>
    <w:basedOn w:val="1017"/>
    <w:uiPriority w:val="99"/>
    <w:semiHidden/>
    <w:unhideWhenUsed/>
    <w:pPr>
      <w:pBdr/>
      <w:spacing/>
      <w:ind/>
    </w:pPr>
    <w:rPr>
      <w:vertAlign w:val="superscript"/>
    </w:rPr>
  </w:style>
  <w:style w:type="paragraph" w:styleId="997">
    <w:name w:val="endnote text"/>
    <w:basedOn w:val="1012"/>
    <w:link w:val="998"/>
    <w:uiPriority w:val="99"/>
    <w:semiHidden/>
    <w:unhideWhenUsed/>
    <w:pPr>
      <w:pBdr/>
      <w:spacing w:after="0" w:line="240" w:lineRule="auto"/>
      <w:ind/>
    </w:pPr>
    <w:rPr>
      <w:sz w:val="20"/>
      <w:szCs w:val="20"/>
    </w:rPr>
  </w:style>
  <w:style w:type="character" w:styleId="998">
    <w:name w:val="Endnote Text Char"/>
    <w:basedOn w:val="1017"/>
    <w:link w:val="997"/>
    <w:uiPriority w:val="99"/>
    <w:semiHidden/>
    <w:pPr>
      <w:pBdr/>
      <w:spacing/>
      <w:ind/>
    </w:pPr>
    <w:rPr>
      <w:sz w:val="20"/>
      <w:szCs w:val="20"/>
    </w:rPr>
  </w:style>
  <w:style w:type="character" w:styleId="999">
    <w:name w:val="endnote reference"/>
    <w:basedOn w:val="1017"/>
    <w:uiPriority w:val="99"/>
    <w:semiHidden/>
    <w:unhideWhenUsed/>
    <w:pPr>
      <w:pBdr/>
      <w:spacing/>
      <w:ind/>
    </w:pPr>
    <w:rPr>
      <w:vertAlign w:val="superscript"/>
    </w:rPr>
  </w:style>
  <w:style w:type="paragraph" w:styleId="1000">
    <w:name w:val="toc 1"/>
    <w:basedOn w:val="1012"/>
    <w:next w:val="1012"/>
    <w:uiPriority w:val="39"/>
    <w:unhideWhenUsed/>
    <w:pPr>
      <w:pBdr/>
      <w:spacing w:after="100"/>
      <w:ind/>
    </w:pPr>
  </w:style>
  <w:style w:type="paragraph" w:styleId="1001">
    <w:name w:val="toc 2"/>
    <w:basedOn w:val="1012"/>
    <w:next w:val="1012"/>
    <w:uiPriority w:val="39"/>
    <w:unhideWhenUsed/>
    <w:pPr>
      <w:pBdr/>
      <w:spacing w:after="100"/>
      <w:ind w:left="220"/>
    </w:pPr>
  </w:style>
  <w:style w:type="paragraph" w:styleId="1002">
    <w:name w:val="toc 3"/>
    <w:basedOn w:val="1012"/>
    <w:next w:val="1012"/>
    <w:uiPriority w:val="39"/>
    <w:unhideWhenUsed/>
    <w:pPr>
      <w:pBdr/>
      <w:spacing w:after="100"/>
      <w:ind w:left="440"/>
    </w:pPr>
  </w:style>
  <w:style w:type="paragraph" w:styleId="1003">
    <w:name w:val="toc 4"/>
    <w:basedOn w:val="1012"/>
    <w:next w:val="1012"/>
    <w:uiPriority w:val="39"/>
    <w:unhideWhenUsed/>
    <w:pPr>
      <w:pBdr/>
      <w:spacing w:after="100"/>
      <w:ind w:left="660"/>
    </w:pPr>
  </w:style>
  <w:style w:type="paragraph" w:styleId="1004">
    <w:name w:val="toc 5"/>
    <w:basedOn w:val="1012"/>
    <w:next w:val="1012"/>
    <w:uiPriority w:val="39"/>
    <w:unhideWhenUsed/>
    <w:pPr>
      <w:pBdr/>
      <w:spacing w:after="100"/>
      <w:ind w:left="880"/>
    </w:pPr>
  </w:style>
  <w:style w:type="paragraph" w:styleId="1005">
    <w:name w:val="toc 6"/>
    <w:basedOn w:val="1012"/>
    <w:next w:val="1012"/>
    <w:uiPriority w:val="39"/>
    <w:unhideWhenUsed/>
    <w:pPr>
      <w:pBdr/>
      <w:spacing w:after="100"/>
      <w:ind w:left="1100"/>
    </w:pPr>
  </w:style>
  <w:style w:type="paragraph" w:styleId="1006">
    <w:name w:val="toc 7"/>
    <w:basedOn w:val="1012"/>
    <w:next w:val="1012"/>
    <w:uiPriority w:val="39"/>
    <w:unhideWhenUsed/>
    <w:pPr>
      <w:pBdr/>
      <w:spacing w:after="100"/>
      <w:ind w:left="1320"/>
    </w:pPr>
  </w:style>
  <w:style w:type="paragraph" w:styleId="1007">
    <w:name w:val="toc 8"/>
    <w:basedOn w:val="1012"/>
    <w:next w:val="1012"/>
    <w:uiPriority w:val="39"/>
    <w:unhideWhenUsed/>
    <w:pPr>
      <w:pBdr/>
      <w:spacing w:after="100"/>
      <w:ind w:left="1540"/>
    </w:pPr>
  </w:style>
  <w:style w:type="paragraph" w:styleId="1008">
    <w:name w:val="toc 9"/>
    <w:basedOn w:val="1012"/>
    <w:next w:val="1012"/>
    <w:uiPriority w:val="39"/>
    <w:unhideWhenUsed/>
    <w:pPr>
      <w:pBdr/>
      <w:spacing w:after="100"/>
      <w:ind w:left="1760"/>
    </w:pPr>
  </w:style>
  <w:style w:type="character" w:styleId="1009">
    <w:name w:val="Placeholder Text"/>
    <w:basedOn w:val="1017"/>
    <w:uiPriority w:val="99"/>
    <w:semiHidden/>
    <w:pPr>
      <w:pBdr/>
      <w:spacing/>
      <w:ind/>
    </w:pPr>
    <w:rPr>
      <w:color w:val="666666"/>
    </w:rPr>
  </w:style>
  <w:style w:type="paragraph" w:styleId="1010">
    <w:name w:val="TOC Heading"/>
    <w:uiPriority w:val="39"/>
    <w:unhideWhenUsed/>
    <w:pPr>
      <w:pBdr/>
      <w:spacing/>
      <w:ind/>
    </w:pPr>
  </w:style>
  <w:style w:type="paragraph" w:styleId="1011">
    <w:name w:val="table of figures"/>
    <w:basedOn w:val="1012"/>
    <w:next w:val="1012"/>
    <w:uiPriority w:val="99"/>
    <w:unhideWhenUsed/>
    <w:pPr>
      <w:pBdr/>
      <w:spacing w:after="0" w:afterAutospacing="0"/>
      <w:ind/>
    </w:pPr>
  </w:style>
  <w:style w:type="paragraph" w:styleId="1012" w:default="1">
    <w:name w:val="Normal"/>
    <w:qFormat/>
    <w:pPr>
      <w:pBdr/>
      <w:spacing w:after="0" w:line="240" w:lineRule="auto"/>
      <w:ind/>
    </w:pPr>
    <w:rPr>
      <w:rFonts w:ascii="Times New Roman" w:hAnsi="Times New Roman" w:eastAsia="Times New Roman" w:cs="Times New Roman"/>
      <w:sz w:val="24"/>
      <w:szCs w:val="24"/>
    </w:rPr>
  </w:style>
  <w:style w:type="paragraph" w:styleId="1013">
    <w:name w:val="Heading 1"/>
    <w:basedOn w:val="1012"/>
    <w:next w:val="1012"/>
    <w:link w:val="1020"/>
    <w:qFormat/>
    <w:pPr>
      <w:keepNext w:val="true"/>
      <w:pBdr/>
      <w:spacing w:after="120" w:before="120"/>
      <w:ind/>
      <w:jc w:val="center"/>
      <w:outlineLvl w:val="0"/>
    </w:pPr>
    <w:rPr>
      <w:b/>
      <w:bCs/>
      <w:sz w:val="27"/>
      <w:szCs w:val="27"/>
    </w:rPr>
  </w:style>
  <w:style w:type="paragraph" w:styleId="1014">
    <w:name w:val="Heading 2"/>
    <w:basedOn w:val="1012"/>
    <w:next w:val="1012"/>
    <w:link w:val="102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5">
    <w:name w:val="Heading 3"/>
    <w:basedOn w:val="1012"/>
    <w:next w:val="1012"/>
    <w:link w:val="1022"/>
    <w:qFormat/>
    <w:pPr>
      <w:keepNext w:val="true"/>
      <w:pBdr/>
      <w:spacing w:before="60"/>
      <w:ind/>
      <w:outlineLvl w:val="2"/>
    </w:pPr>
    <w:rPr>
      <w:sz w:val="28"/>
      <w:szCs w:val="28"/>
    </w:rPr>
  </w:style>
  <w:style w:type="paragraph" w:styleId="1016">
    <w:name w:val="Heading 4"/>
    <w:basedOn w:val="1012"/>
    <w:next w:val="1012"/>
    <w:link w:val="1023"/>
    <w:qFormat/>
    <w:pPr>
      <w:keepNext w:val="true"/>
      <w:pBdr/>
      <w:spacing/>
      <w:ind/>
      <w:jc w:val="center"/>
      <w:outlineLvl w:val="3"/>
    </w:pPr>
    <w:rPr>
      <w:b/>
      <w:bCs/>
    </w:rPr>
  </w:style>
  <w:style w:type="character" w:styleId="1017" w:default="1">
    <w:name w:val="Default Paragraph Font"/>
    <w:uiPriority w:val="1"/>
    <w:semiHidden/>
    <w:unhideWhenUsed/>
    <w:pPr>
      <w:pBdr/>
      <w:spacing/>
      <w:ind/>
    </w:pPr>
  </w:style>
  <w:style w:type="table" w:styleId="101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9" w:default="1">
    <w:name w:val="No List"/>
    <w:uiPriority w:val="99"/>
    <w:semiHidden/>
    <w:unhideWhenUsed/>
    <w:pPr>
      <w:pBdr/>
      <w:spacing/>
      <w:ind/>
    </w:pPr>
  </w:style>
  <w:style w:type="character" w:styleId="1020" w:customStyle="1">
    <w:name w:val="Heading 1 Char"/>
    <w:basedOn w:val="1017"/>
    <w:link w:val="1013"/>
    <w:pPr>
      <w:pBdr/>
      <w:spacing/>
      <w:ind/>
    </w:pPr>
    <w:rPr>
      <w:rFonts w:ascii="Times New Roman" w:hAnsi="Times New Roman" w:eastAsia="Times New Roman" w:cs="Times New Roman"/>
      <w:b/>
      <w:bCs/>
      <w:sz w:val="27"/>
      <w:szCs w:val="27"/>
    </w:rPr>
  </w:style>
  <w:style w:type="character" w:styleId="1021" w:customStyle="1">
    <w:name w:val="Heading 2 Char"/>
    <w:basedOn w:val="1017"/>
    <w:link w:val="1014"/>
    <w:uiPriority w:val="9"/>
    <w:pPr>
      <w:pBdr/>
      <w:spacing/>
      <w:ind/>
    </w:pPr>
    <w:rPr>
      <w:rFonts w:asciiTheme="majorHAnsi" w:hAnsiTheme="majorHAnsi" w:eastAsiaTheme="majorEastAsia" w:cstheme="majorBidi"/>
      <w:color w:val="365f91" w:themeColor="accent1" w:themeShade="BF"/>
      <w:sz w:val="26"/>
      <w:szCs w:val="26"/>
    </w:rPr>
  </w:style>
  <w:style w:type="character" w:styleId="1022" w:customStyle="1">
    <w:name w:val="Heading 3 Char"/>
    <w:basedOn w:val="1017"/>
    <w:link w:val="1015"/>
    <w:pPr>
      <w:pBdr/>
      <w:spacing/>
      <w:ind/>
    </w:pPr>
    <w:rPr>
      <w:rFonts w:ascii="Times New Roman" w:hAnsi="Times New Roman" w:eastAsia="Times New Roman" w:cs="Times New Roman"/>
      <w:sz w:val="28"/>
      <w:szCs w:val="28"/>
    </w:rPr>
  </w:style>
  <w:style w:type="character" w:styleId="1023" w:customStyle="1">
    <w:name w:val="Heading 4 Char"/>
    <w:basedOn w:val="1017"/>
    <w:link w:val="1016"/>
    <w:pPr>
      <w:pBdr/>
      <w:spacing/>
      <w:ind/>
    </w:pPr>
    <w:rPr>
      <w:rFonts w:ascii="Times New Roman" w:hAnsi="Times New Roman" w:eastAsia="Times New Roman" w:cs="Times New Roman"/>
      <w:b/>
      <w:bCs/>
      <w:sz w:val="24"/>
      <w:szCs w:val="24"/>
    </w:rPr>
  </w:style>
  <w:style w:type="character" w:styleId="1024">
    <w:name w:val="Hyperlink"/>
    <w:uiPriority w:val="99"/>
    <w:pPr>
      <w:pBdr/>
      <w:spacing/>
      <w:ind/>
    </w:pPr>
    <w:rPr>
      <w:color w:val="000000"/>
      <w:u w:val="single"/>
    </w:rPr>
  </w:style>
  <w:style w:type="character" w:styleId="1025">
    <w:name w:val="Strong"/>
    <w:uiPriority w:val="22"/>
    <w:qFormat/>
    <w:pPr>
      <w:pBdr/>
      <w:spacing/>
      <w:ind/>
    </w:pPr>
    <w:rPr>
      <w:b/>
      <w:bCs/>
    </w:rPr>
  </w:style>
  <w:style w:type="paragraph" w:styleId="1026">
    <w:name w:val="Balloon Text"/>
    <w:basedOn w:val="1012"/>
    <w:link w:val="1027"/>
    <w:uiPriority w:val="99"/>
    <w:semiHidden/>
    <w:unhideWhenUsed/>
    <w:pPr>
      <w:pBdr/>
      <w:spacing/>
      <w:ind/>
    </w:pPr>
    <w:rPr>
      <w:rFonts w:ascii="Tahoma" w:hAnsi="Tahoma" w:cs="Tahoma"/>
      <w:sz w:val="16"/>
      <w:szCs w:val="16"/>
    </w:rPr>
  </w:style>
  <w:style w:type="character" w:styleId="1027" w:customStyle="1">
    <w:name w:val="Balloon Text Char"/>
    <w:basedOn w:val="1017"/>
    <w:link w:val="1026"/>
    <w:uiPriority w:val="99"/>
    <w:semiHidden/>
    <w:pPr>
      <w:pBdr/>
      <w:spacing/>
      <w:ind/>
    </w:pPr>
    <w:rPr>
      <w:rFonts w:ascii="Tahoma" w:hAnsi="Tahoma" w:eastAsia="Times New Roman" w:cs="Tahoma"/>
      <w:sz w:val="16"/>
      <w:szCs w:val="16"/>
    </w:rPr>
  </w:style>
  <w:style w:type="paragraph" w:styleId="1028">
    <w:name w:val="Header"/>
    <w:basedOn w:val="1012"/>
    <w:link w:val="1029"/>
    <w:unhideWhenUsed/>
    <w:pPr>
      <w:pBdr/>
      <w:tabs>
        <w:tab w:val="center" w:leader="none" w:pos="4680"/>
        <w:tab w:val="right" w:leader="none" w:pos="9360"/>
      </w:tabs>
      <w:spacing/>
      <w:ind/>
    </w:pPr>
  </w:style>
  <w:style w:type="character" w:styleId="1029" w:customStyle="1">
    <w:name w:val="Header Char"/>
    <w:basedOn w:val="1017"/>
    <w:link w:val="1028"/>
    <w:pPr>
      <w:pBdr/>
      <w:spacing/>
      <w:ind/>
    </w:pPr>
    <w:rPr>
      <w:rFonts w:ascii="Times New Roman" w:hAnsi="Times New Roman" w:eastAsia="Times New Roman" w:cs="Times New Roman"/>
      <w:sz w:val="24"/>
      <w:szCs w:val="24"/>
    </w:rPr>
  </w:style>
  <w:style w:type="paragraph" w:styleId="1030">
    <w:name w:val="Footer"/>
    <w:basedOn w:val="1012"/>
    <w:link w:val="1031"/>
    <w:uiPriority w:val="99"/>
    <w:unhideWhenUsed/>
    <w:pPr>
      <w:pBdr/>
      <w:tabs>
        <w:tab w:val="center" w:leader="none" w:pos="4680"/>
        <w:tab w:val="right" w:leader="none" w:pos="9360"/>
      </w:tabs>
      <w:spacing/>
      <w:ind/>
    </w:pPr>
  </w:style>
  <w:style w:type="character" w:styleId="1031" w:customStyle="1">
    <w:name w:val="Footer Char"/>
    <w:basedOn w:val="1017"/>
    <w:link w:val="1030"/>
    <w:uiPriority w:val="99"/>
    <w:pPr>
      <w:pBdr/>
      <w:spacing/>
      <w:ind/>
    </w:pPr>
    <w:rPr>
      <w:rFonts w:ascii="Times New Roman" w:hAnsi="Times New Roman" w:eastAsia="Times New Roman" w:cs="Times New Roman"/>
      <w:sz w:val="24"/>
      <w:szCs w:val="24"/>
    </w:rPr>
  </w:style>
  <w:style w:type="character" w:styleId="1032" w:customStyle="1">
    <w:name w:val="normal-h1"/>
    <w:pPr>
      <w:pBdr/>
      <w:spacing/>
      <w:ind/>
    </w:pPr>
    <w:rPr>
      <w:rFonts w:hint="default" w:ascii=".VnTime" w:hAnsi=".VnTime"/>
      <w:color w:val="0000ff"/>
      <w:sz w:val="24"/>
      <w:szCs w:val="24"/>
    </w:rPr>
  </w:style>
  <w:style w:type="paragraph" w:styleId="1033" w:customStyle="1">
    <w:name w:val="normal-p"/>
    <w:basedOn w:val="1012"/>
    <w:pPr>
      <w:pBdr/>
      <w:spacing/>
      <w:ind/>
      <w:jc w:val="both"/>
    </w:pPr>
    <w:rPr>
      <w:sz w:val="20"/>
      <w:szCs w:val="20"/>
    </w:rPr>
  </w:style>
  <w:style w:type="paragraph" w:styleId="1034">
    <w:name w:val="List Paragraph"/>
    <w:basedOn w:val="1012"/>
    <w:link w:val="1121"/>
    <w:uiPriority w:val="34"/>
    <w:qFormat/>
    <w:pPr>
      <w:pBdr/>
      <w:spacing/>
      <w:ind w:left="720"/>
    </w:pPr>
  </w:style>
  <w:style w:type="paragraph" w:styleId="1035">
    <w:name w:val="Normal (Web)"/>
    <w:basedOn w:val="1012"/>
    <w:uiPriority w:val="99"/>
    <w:pPr>
      <w:pBdr/>
      <w:spacing w:after="100" w:afterAutospacing="1" w:before="100" w:beforeAutospacing="1"/>
      <w:ind/>
    </w:pPr>
  </w:style>
  <w:style w:type="paragraph" w:styleId="1036">
    <w:name w:val="Body Text"/>
    <w:basedOn w:val="1012"/>
    <w:link w:val="1037"/>
    <w:pPr>
      <w:pBdr/>
      <w:spacing w:after="120"/>
      <w:ind/>
      <w:jc w:val="both"/>
    </w:pPr>
  </w:style>
  <w:style w:type="character" w:styleId="1037" w:customStyle="1">
    <w:name w:val="Body Text Char"/>
    <w:basedOn w:val="1017"/>
    <w:link w:val="1036"/>
    <w:pPr>
      <w:pBdr/>
      <w:spacing/>
      <w:ind/>
    </w:pPr>
    <w:rPr>
      <w:rFonts w:ascii="Times New Roman" w:hAnsi="Times New Roman" w:eastAsia="Times New Roman" w:cs="Times New Roman"/>
      <w:sz w:val="24"/>
      <w:szCs w:val="24"/>
    </w:rPr>
  </w:style>
  <w:style w:type="table" w:styleId="1038">
    <w:name w:val="Table Grid"/>
    <w:basedOn w:val="101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0">
    <w:name w:val="annotation reference"/>
    <w:basedOn w:val="1017"/>
    <w:uiPriority w:val="99"/>
    <w:semiHidden/>
    <w:unhideWhenUsed/>
    <w:pPr>
      <w:pBdr/>
      <w:spacing/>
      <w:ind/>
    </w:pPr>
    <w:rPr>
      <w:sz w:val="16"/>
      <w:szCs w:val="16"/>
    </w:rPr>
  </w:style>
  <w:style w:type="paragraph" w:styleId="1041">
    <w:name w:val="annotation text"/>
    <w:basedOn w:val="1012"/>
    <w:link w:val="1042"/>
    <w:uiPriority w:val="99"/>
    <w:unhideWhenUsed/>
    <w:pPr>
      <w:pBdr/>
      <w:spacing/>
      <w:ind/>
    </w:pPr>
    <w:rPr>
      <w:sz w:val="20"/>
      <w:szCs w:val="20"/>
    </w:rPr>
  </w:style>
  <w:style w:type="character" w:styleId="1042" w:customStyle="1">
    <w:name w:val="Comment Text Char"/>
    <w:basedOn w:val="1017"/>
    <w:link w:val="1041"/>
    <w:uiPriority w:val="99"/>
    <w:pPr>
      <w:pBdr/>
      <w:spacing/>
      <w:ind/>
    </w:pPr>
    <w:rPr>
      <w:rFonts w:ascii="Times New Roman" w:hAnsi="Times New Roman" w:eastAsia="Times New Roman" w:cs="Times New Roman"/>
      <w:sz w:val="20"/>
      <w:szCs w:val="20"/>
    </w:rPr>
  </w:style>
  <w:style w:type="paragraph" w:styleId="1043">
    <w:name w:val="annotation subject"/>
    <w:basedOn w:val="1041"/>
    <w:next w:val="1041"/>
    <w:link w:val="1044"/>
    <w:uiPriority w:val="99"/>
    <w:semiHidden/>
    <w:unhideWhenUsed/>
    <w:pPr>
      <w:pBdr/>
      <w:spacing/>
      <w:ind/>
    </w:pPr>
    <w:rPr>
      <w:b/>
      <w:bCs/>
    </w:rPr>
  </w:style>
  <w:style w:type="character" w:styleId="1044" w:customStyle="1">
    <w:name w:val="Comment Subject Char"/>
    <w:basedOn w:val="1042"/>
    <w:link w:val="1043"/>
    <w:uiPriority w:val="99"/>
    <w:semiHidden/>
    <w:pPr>
      <w:pBdr/>
      <w:spacing/>
      <w:ind/>
    </w:pPr>
    <w:rPr>
      <w:rFonts w:ascii="Times New Roman" w:hAnsi="Times New Roman" w:eastAsia="Times New Roman" w:cs="Times New Roman"/>
      <w:b/>
      <w:bCs/>
      <w:sz w:val="20"/>
      <w:szCs w:val="20"/>
    </w:rPr>
  </w:style>
  <w:style w:type="paragraph" w:styleId="1045" w:customStyle="1">
    <w:name w:val="font5"/>
    <w:basedOn w:val="1012"/>
    <w:pPr>
      <w:pBdr/>
      <w:spacing w:after="100" w:afterAutospacing="1" w:before="100" w:beforeAutospacing="1"/>
      <w:ind/>
    </w:pPr>
    <w:rPr>
      <w:rFonts w:ascii="Tahoma" w:hAnsi="Tahoma" w:cs="Tahoma"/>
      <w:color w:val="000000"/>
      <w:sz w:val="18"/>
      <w:szCs w:val="18"/>
    </w:rPr>
  </w:style>
  <w:style w:type="paragraph" w:styleId="1046" w:customStyle="1">
    <w:name w:val="font6"/>
    <w:basedOn w:val="1012"/>
    <w:pPr>
      <w:pBdr/>
      <w:spacing w:after="100" w:afterAutospacing="1" w:before="100" w:beforeAutospacing="1"/>
      <w:ind/>
    </w:pPr>
    <w:rPr>
      <w:rFonts w:ascii="Tahoma" w:hAnsi="Tahoma" w:cs="Tahoma"/>
      <w:b/>
      <w:bCs/>
      <w:color w:val="000000"/>
      <w:sz w:val="18"/>
      <w:szCs w:val="18"/>
    </w:rPr>
  </w:style>
  <w:style w:type="paragraph" w:styleId="1047" w:customStyle="1">
    <w:name w:val="xl233"/>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8" w:customStyle="1">
    <w:name w:val="xl234"/>
    <w:basedOn w:val="1012"/>
    <w:pPr>
      <w:pBdr/>
      <w:spacing w:after="100" w:afterAutospacing="1" w:before="100" w:beforeAutospacing="1"/>
      <w:ind/>
      <w:jc w:val="center"/>
    </w:pPr>
  </w:style>
  <w:style w:type="paragraph" w:styleId="1049" w:customStyle="1">
    <w:name w:val="xl235"/>
    <w:basedOn w:val="1012"/>
    <w:pPr>
      <w:pBdr/>
      <w:spacing w:after="100" w:afterAutospacing="1" w:before="100" w:beforeAutospacing="1"/>
      <w:ind/>
      <w:jc w:val="center"/>
    </w:pPr>
    <w:rPr>
      <w:b/>
      <w:bCs/>
    </w:rPr>
  </w:style>
  <w:style w:type="paragraph" w:styleId="1050" w:customStyle="1">
    <w:name w:val="xl236"/>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1" w:customStyle="1">
    <w:name w:val="xl237"/>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2" w:customStyle="1">
    <w:name w:val="xl238"/>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3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4" w:customStyle="1">
    <w:name w:val="xl240"/>
    <w:basedOn w:val="1012"/>
    <w:pPr>
      <w:pBdr/>
      <w:spacing w:after="100" w:afterAutospacing="1" w:before="100" w:beforeAutospacing="1"/>
      <w:ind/>
    </w:pPr>
  </w:style>
  <w:style w:type="paragraph" w:styleId="1055" w:customStyle="1">
    <w:name w:val="xl241"/>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6" w:customStyle="1">
    <w:name w:val="xl242"/>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3"/>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44"/>
    <w:basedOn w:val="1012"/>
    <w:pPr>
      <w:pBdr/>
      <w:spacing w:after="100" w:afterAutospacing="1" w:before="100" w:beforeAutospacing="1"/>
      <w:ind/>
    </w:pPr>
    <w:rPr>
      <w:b/>
      <w:bCs/>
    </w:rPr>
  </w:style>
  <w:style w:type="paragraph" w:styleId="1059" w:customStyle="1">
    <w:name w:val="xl245"/>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6"/>
    <w:basedOn w:val="101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47"/>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2" w:customStyle="1">
    <w:name w:val="xl248"/>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3" w:customStyle="1">
    <w:name w:val="xl24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4" w:customStyle="1">
    <w:name w:val="xl250"/>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5" w:customStyle="1">
    <w:name w:val="xl251"/>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2"/>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3"/>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4"/>
    <w:basedOn w:val="101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5"/>
    <w:basedOn w:val="101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6"/>
    <w:basedOn w:val="101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7"/>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8"/>
    <w:basedOn w:val="101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0"/>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1"/>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2"/>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63"/>
    <w:basedOn w:val="1012"/>
    <w:pPr>
      <w:pBdr/>
      <w:shd w:val="clear" w:color="000000" w:fill="ffffff"/>
      <w:spacing w:after="100" w:afterAutospacing="1" w:before="100" w:beforeAutospacing="1"/>
      <w:ind/>
    </w:pPr>
  </w:style>
  <w:style w:type="paragraph" w:styleId="1078" w:customStyle="1">
    <w:name w:val="xl264"/>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5"/>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0" w:customStyle="1">
    <w:name w:val="xl266"/>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1" w:customStyle="1">
    <w:name w:val="xl267"/>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2" w:customStyle="1">
    <w:name w:val="xl268"/>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69"/>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70"/>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5" w:customStyle="1">
    <w:name w:val="xl271"/>
    <w:basedOn w:val="101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6" w:customStyle="1">
    <w:name w:val="xl272"/>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73"/>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8" w:customStyle="1">
    <w:name w:val="xl274"/>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9" w:customStyle="1">
    <w:name w:val="xl275"/>
    <w:basedOn w:val="1012"/>
    <w:pPr>
      <w:pBdr/>
      <w:spacing w:after="100" w:afterAutospacing="1" w:before="100" w:beforeAutospacing="1"/>
      <w:ind/>
    </w:pPr>
  </w:style>
  <w:style w:type="paragraph" w:styleId="1090" w:customStyle="1">
    <w:name w:val="xl276"/>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1" w:customStyle="1">
    <w:name w:val="xl277"/>
    <w:basedOn w:val="101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2" w:customStyle="1">
    <w:name w:val="xl278"/>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7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0"/>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5" w:customStyle="1">
    <w:name w:val="xl281"/>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6" w:customStyle="1">
    <w:name w:val="xl282"/>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3"/>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4"/>
    <w:basedOn w:val="1012"/>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5"/>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6"/>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customStyle="1">
    <w:name w:val="xl287"/>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8"/>
    <w:basedOn w:val="1012"/>
    <w:pPr>
      <w:pBdr>
        <w:top w:val="single" w:color="000000" w:sz="4" w:space="0"/>
        <w:left w:val="single" w:color="000000" w:sz="4" w:space="0"/>
        <w:right w:val="single" w:color="000000" w:sz="4" w:space="0"/>
      </w:pBdr>
      <w:spacing w:after="100" w:afterAutospacing="1" w:before="100" w:beforeAutospacing="1"/>
      <w:ind/>
    </w:pPr>
  </w:style>
  <w:style w:type="paragraph" w:styleId="1103" w:customStyle="1">
    <w:name w:val="xl289"/>
    <w:basedOn w:val="1012"/>
    <w:pPr>
      <w:pBdr>
        <w:left w:val="single" w:color="000000" w:sz="4" w:space="0"/>
        <w:right w:val="single" w:color="000000" w:sz="4" w:space="0"/>
      </w:pBdr>
      <w:spacing w:after="100" w:afterAutospacing="1" w:before="100" w:beforeAutospacing="1"/>
      <w:ind/>
    </w:pPr>
    <w:rPr>
      <w:b/>
      <w:bCs/>
    </w:rPr>
  </w:style>
  <w:style w:type="paragraph" w:styleId="1104" w:customStyle="1">
    <w:name w:val="xl290"/>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5" w:customStyle="1">
    <w:name w:val="xl291"/>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6" w:customStyle="1">
    <w:name w:val="xl292"/>
    <w:basedOn w:val="1012"/>
    <w:pPr>
      <w:pBdr>
        <w:top w:val="single" w:color="000000" w:sz="4" w:space="0"/>
        <w:left w:val="single" w:color="000000" w:sz="4" w:space="0"/>
        <w:right w:val="single" w:color="000000" w:sz="4" w:space="0"/>
      </w:pBdr>
      <w:spacing w:after="100" w:afterAutospacing="1" w:before="100" w:beforeAutospacing="1"/>
      <w:ind/>
    </w:pPr>
  </w:style>
  <w:style w:type="paragraph" w:styleId="1107" w:customStyle="1">
    <w:name w:val="xl293"/>
    <w:basedOn w:val="1012"/>
    <w:pPr>
      <w:pBdr>
        <w:left w:val="single" w:color="000000" w:sz="4" w:space="0"/>
        <w:bottom w:val="single" w:color="000000" w:sz="4" w:space="0"/>
        <w:right w:val="single" w:color="000000" w:sz="4" w:space="0"/>
      </w:pBdr>
      <w:spacing w:after="100" w:afterAutospacing="1" w:before="100" w:beforeAutospacing="1"/>
      <w:ind/>
    </w:pPr>
  </w:style>
  <w:style w:type="paragraph" w:styleId="1108" w:customStyle="1">
    <w:name w:val="xl294"/>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9">
    <w:name w:val="Title"/>
    <w:basedOn w:val="1012"/>
    <w:link w:val="1110"/>
    <w:qFormat/>
    <w:pPr>
      <w:pBdr/>
      <w:spacing/>
      <w:ind/>
      <w:jc w:val="center"/>
    </w:pPr>
    <w:rPr>
      <w:b/>
      <w:bCs/>
      <w:sz w:val="32"/>
      <w:szCs w:val="26"/>
    </w:rPr>
  </w:style>
  <w:style w:type="character" w:styleId="1110" w:customStyle="1">
    <w:name w:val="Title Char"/>
    <w:basedOn w:val="1017"/>
    <w:link w:val="1109"/>
    <w:pPr>
      <w:pBdr/>
      <w:spacing/>
      <w:ind/>
    </w:pPr>
    <w:rPr>
      <w:rFonts w:ascii="Times New Roman" w:hAnsi="Times New Roman" w:eastAsia="Times New Roman" w:cs="Times New Roman"/>
      <w:b/>
      <w:bCs/>
      <w:sz w:val="32"/>
      <w:szCs w:val="26"/>
    </w:rPr>
  </w:style>
  <w:style w:type="character" w:styleId="1111" w:customStyle="1">
    <w:name w:val="Unresolved Mention1"/>
    <w:basedOn w:val="1017"/>
    <w:uiPriority w:val="99"/>
    <w:semiHidden/>
    <w:unhideWhenUsed/>
    <w:pPr>
      <w:pBdr/>
      <w:spacing/>
      <w:ind/>
    </w:pPr>
    <w:rPr>
      <w:color w:val="605e5c"/>
      <w:shd w:val="clear" w:color="auto" w:fill="e1dfdd"/>
    </w:rPr>
  </w:style>
  <w:style w:type="character" w:styleId="1112" w:customStyle="1">
    <w:name w:val="Body text (3)_"/>
    <w:link w:val="1113"/>
    <w:pPr>
      <w:pBdr/>
      <w:spacing/>
      <w:ind/>
    </w:pPr>
    <w:rPr>
      <w:rFonts w:ascii="Times New Roman" w:hAnsi="Times New Roman" w:cs="Times New Roman"/>
      <w:i/>
      <w:iCs/>
      <w:spacing w:val="4"/>
      <w:shd w:val="clear" w:color="auto" w:fill="ffffff"/>
    </w:rPr>
  </w:style>
  <w:style w:type="paragraph" w:styleId="1113" w:customStyle="1">
    <w:name w:val="Body text (3)1"/>
    <w:basedOn w:val="1012"/>
    <w:link w:val="111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4" w:customStyle="1">
    <w:name w:val="t-j"/>
    <w:basedOn w:val="1012"/>
    <w:pPr>
      <w:pBdr/>
      <w:spacing w:after="100" w:afterAutospacing="1" w:before="100" w:beforeAutospacing="1"/>
      <w:ind/>
    </w:pPr>
  </w:style>
  <w:style w:type="character" w:styleId="1115" w:customStyle="1">
    <w:name w:val="Unresolved Mention2"/>
    <w:basedOn w:val="1017"/>
    <w:uiPriority w:val="99"/>
    <w:semiHidden/>
    <w:unhideWhenUsed/>
    <w:pPr>
      <w:pBdr/>
      <w:spacing/>
      <w:ind/>
    </w:pPr>
    <w:rPr>
      <w:color w:val="605e5c"/>
      <w:shd w:val="clear" w:color="auto" w:fill="e1dfdd"/>
    </w:rPr>
  </w:style>
  <w:style w:type="character" w:styleId="1116">
    <w:name w:val="FollowedHyperlink"/>
    <w:basedOn w:val="1017"/>
    <w:uiPriority w:val="99"/>
    <w:semiHidden/>
    <w:unhideWhenUsed/>
    <w:pPr>
      <w:pBdr/>
      <w:spacing/>
      <w:ind/>
    </w:pPr>
    <w:rPr>
      <w:color w:val="800080" w:themeColor="followedHyperlink"/>
      <w:u w:val="single"/>
    </w:rPr>
  </w:style>
  <w:style w:type="character" w:styleId="1117" w:customStyle="1">
    <w:name w:val="text"/>
    <w:basedOn w:val="1017"/>
    <w:pPr>
      <w:pBdr/>
      <w:spacing/>
      <w:ind/>
    </w:pPr>
  </w:style>
  <w:style w:type="character" w:styleId="1118" w:customStyle="1">
    <w:name w:val="card-send-time__sendtime"/>
    <w:basedOn w:val="1017"/>
    <w:pPr>
      <w:pBdr/>
      <w:spacing/>
      <w:ind/>
    </w:pPr>
  </w:style>
  <w:style w:type="character" w:styleId="1119" w:customStyle="1">
    <w:name w:val="Đề cập Chưa giải quyết1"/>
    <w:basedOn w:val="1017"/>
    <w:uiPriority w:val="99"/>
    <w:semiHidden/>
    <w:unhideWhenUsed/>
    <w:pPr>
      <w:pBdr/>
      <w:spacing/>
      <w:ind/>
    </w:pPr>
    <w:rPr>
      <w:color w:val="605e5c"/>
      <w:shd w:val="clear" w:color="auto" w:fill="e1dfdd"/>
    </w:rPr>
  </w:style>
  <w:style w:type="paragraph" w:styleId="1120" w:customStyle="1">
    <w:name w:val="nqtitle"/>
    <w:basedOn w:val="1012"/>
    <w:pPr>
      <w:pBdr/>
      <w:spacing w:after="100" w:afterAutospacing="1" w:before="100" w:beforeAutospacing="1"/>
      <w:ind/>
    </w:pPr>
    <w:rPr>
      <w:lang w:val="vi-VN" w:eastAsia="vi-VN"/>
    </w:rPr>
  </w:style>
  <w:style w:type="character" w:styleId="1121" w:customStyle="1">
    <w:name w:val="List Paragraph Char"/>
    <w:link w:val="1034"/>
    <w:uiPriority w:val="34"/>
    <w:qFormat/>
    <w:pPr>
      <w:pBdr/>
      <w:spacing/>
      <w:ind/>
    </w:pPr>
    <w:rPr>
      <w:rFonts w:ascii="Times New Roman" w:hAnsi="Times New Roman" w:eastAsia="Times New Roman" w:cs="Times New Roman"/>
      <w:sz w:val="24"/>
      <w:szCs w:val="24"/>
    </w:rPr>
  </w:style>
  <w:style w:type="character" w:styleId="1122" w:customStyle="1">
    <w:name w:val="Đề cập Chưa giải quyết2"/>
    <w:basedOn w:val="1017"/>
    <w:uiPriority w:val="99"/>
    <w:semiHidden/>
    <w:unhideWhenUsed/>
    <w:pPr>
      <w:pBdr/>
      <w:spacing/>
      <w:ind/>
    </w:pPr>
    <w:rPr>
      <w:color w:val="605e5c"/>
      <w:shd w:val="clear" w:color="auto" w:fill="e1dfdd"/>
    </w:rPr>
  </w:style>
  <w:style w:type="character" w:styleId="1123" w:customStyle="1">
    <w:name w:val="Unresolved Mention3"/>
    <w:basedOn w:val="1017"/>
    <w:uiPriority w:val="99"/>
    <w:semiHidden/>
    <w:unhideWhenUsed/>
    <w:pPr>
      <w:pBdr/>
      <w:spacing/>
      <w:ind/>
    </w:pPr>
    <w:rPr>
      <w:color w:val="605e5c"/>
      <w:shd w:val="clear" w:color="auto" w:fill="e1dfdd"/>
    </w:rPr>
  </w:style>
  <w:style w:type="character" w:styleId="1124" w:customStyle="1">
    <w:name w:val="copy"/>
    <w:basedOn w:val="1017"/>
    <w:pPr>
      <w:pBdr/>
      <w:spacing/>
      <w:ind/>
    </w:pPr>
  </w:style>
  <w:style w:type="paragraph" w:styleId="1125" w:customStyle="1">
    <w:name w:val="align-justify"/>
    <w:basedOn w:val="1012"/>
    <w:pPr>
      <w:pBdr/>
      <w:spacing w:after="100" w:afterAutospacing="1" w:before="100" w:beforeAutospacing="1"/>
      <w:ind/>
    </w:pPr>
  </w:style>
  <w:style w:type="character" w:styleId="1126" w:customStyle="1">
    <w:name w:val="btn"/>
    <w:basedOn w:val="1017"/>
    <w:pPr>
      <w:pBdr/>
      <w:spacing/>
      <w:ind/>
    </w:pPr>
  </w:style>
  <w:style w:type="character" w:styleId="1127" w:customStyle="1">
    <w:name w:val="hide_mobile"/>
    <w:basedOn w:val="1017"/>
    <w:pPr>
      <w:pBdr/>
      <w:spacing/>
      <w:ind/>
    </w:pPr>
  </w:style>
  <w:style w:type="character" w:styleId="1128">
    <w:name w:val="Emphasis"/>
    <w:basedOn w:val="1017"/>
    <w:uiPriority w:val="20"/>
    <w:qFormat/>
    <w:pPr>
      <w:pBdr/>
      <w:spacing/>
      <w:ind/>
    </w:pPr>
    <w:rPr>
      <w:i/>
      <w:iCs/>
    </w:rPr>
  </w:style>
  <w:style w:type="character" w:styleId="1129" w:customStyle="1">
    <w:name w:val="t1"/>
    <w:basedOn w:val="1017"/>
    <w:pPr>
      <w:pBdr/>
      <w:spacing/>
      <w:ind/>
    </w:pPr>
  </w:style>
  <w:style w:type="character" w:styleId="1130" w:customStyle="1">
    <w:name w:val="Unresolved Mention4"/>
    <w:basedOn w:val="1017"/>
    <w:uiPriority w:val="99"/>
    <w:semiHidden/>
    <w:unhideWhenUsed/>
    <w:pPr>
      <w:pBdr/>
      <w:spacing/>
      <w:ind/>
    </w:pPr>
    <w:rPr>
      <w:color w:val="605e5c"/>
      <w:shd w:val="clear" w:color="auto" w:fill="e1dfdd"/>
    </w:rPr>
  </w:style>
  <w:style w:type="character" w:styleId="1131">
    <w:name w:val="Unresolved Mention"/>
    <w:basedOn w:val="101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comments" Target="comments.xml" /><Relationship Id="rId40" Type="http://schemas.microsoft.com/office/2011/relationships/commentsExtended" Target="commentsExtended.xml" /><Relationship Id="rId41" Type="http://schemas.microsoft.com/office/2018/08/relationships/commentsExtensible" Target="commentsExtensible.xml" /><Relationship Id="rId42" Type="http://schemas.microsoft.com/office/2016/09/relationships/commentsIds" Target="commentsIds.xml" /><Relationship Id="rId43"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Sơn Tùng</cp:lastModifiedBy>
  <cp:revision>272</cp:revision>
  <dcterms:created xsi:type="dcterms:W3CDTF">2025-09-15T09:58:00Z</dcterms:created>
  <dcterms:modified xsi:type="dcterms:W3CDTF">2026-02-05T04:04:01Z</dcterms:modified>
</cp:coreProperties>
</file>