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53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53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275/2026/0232/VFI-CT.65.A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Thị Huyên</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0"/>
                              <w:ind w:right="0" w:firstLine="0" w:left="0"/>
                              <w:jc w:val="both"/>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224, tờ bản đồ số 119 có địa chỉ: Thôn Ngoại Trạch 1, xã Bình Nguyên, tỉnh Phú Thọ theo Giấy chứng nhận quyền sử dụng đất, quyền sở hữu tài sản gắn liền với đất  số: AA 04737384, số vào sổ cấp GCN: CN 13114 do Chi nhánh v</w:t>
                            </w:r>
                            <w:r>
                              <w:rPr>
                                <w:rFonts w:ascii="Times New Roman" w:hAnsi="Times New Roman" w:eastAsia="Times New Roman" w:cs="Times New Roman"/>
                                <w:color w:val="000000"/>
                                <w:sz w:val="24"/>
                              </w:rPr>
                              <w:t xml:space="preserve">ăn phòng đăng ký đất đai Bình Xuyên cấp ngày 13/11/2025; Chủ sử dụng đất là Ông: Phùng Quang Thảo và vợ: Nguyễn Thị Huyên</w:t>
                            </w:r>
                            <w:r>
                              <w:rPr>
                                <w:bCs/>
                                <w:i/>
                                <w:iCs/>
                              </w:rPr>
                              <w:t xml:space="preserve">.</w:t>
                            </w:r>
                            <w:r>
                              <w:rPr>
                                <w:sz w:val="22"/>
                              </w:rPr>
                            </w: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2.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275/2026/0232/VFI-CT.65.A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Thị Huyên</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0"/>
                        <w:ind w:right="0" w:firstLine="0" w:left="0"/>
                        <w:jc w:val="both"/>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224, tờ bản đồ số 119 có địa chỉ: Thôn Ngoại Trạch 1, xã Bình Nguyên, tỉnh Phú Thọ theo Giấy chứng nhận quyền sử dụng đất, quyền sở hữu tài sản gắn liền với đất  số: AA 04737384, số vào sổ cấp GCN: CN 13114 do Chi nhánh v</w:t>
                      </w:r>
                      <w:r>
                        <w:rPr>
                          <w:rFonts w:ascii="Times New Roman" w:hAnsi="Times New Roman" w:eastAsia="Times New Roman" w:cs="Times New Roman"/>
                          <w:color w:val="000000"/>
                          <w:sz w:val="24"/>
                        </w:rPr>
                        <w:t xml:space="preserve">ăn phòng đăng ký đất đai Bình Xuyên cấp ngày 13/11/2025; Chủ sử dụng đất là Ông: Phùng Quang Thảo và vợ: Nguyễn Thị Huyên</w:t>
                      </w:r>
                      <w:r>
                        <w:rPr>
                          <w:bCs/>
                          <w:i/>
                          <w:iCs/>
                        </w:rPr>
                        <w:t xml:space="preserve">.</w:t>
                      </w:r>
                      <w:r>
                        <w:rPr>
                          <w:sz w:val="22"/>
                        </w:rPr>
                      </w: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21-26</w:t>
            </w:r>
            <w:r>
              <w:rPr>
                <w:b/>
                <w:bCs/>
              </w:rPr>
            </w:r>
            <w:r>
              <w:rPr>
                <w:b/>
                <w:bCs/>
              </w:rPr>
            </w:r>
          </w:p>
        </w:tc>
      </w:tr>
      <w:tr>
        <w:trPr/>
        <w:tc>
          <w:tcPr>
            <w:tcBorders/>
            <w:tcMar>
              <w:left w:w="108" w:type="dxa"/>
              <w:top w:w="0" w:type="dxa"/>
              <w:right w:w="108" w:type="dxa"/>
              <w:bottom w:w="0" w:type="dxa"/>
            </w:tcMar>
            <w:tcW w:w="7280" w:type="dxa"/>
            <w:vAlign w:val="center"/>
            <w:vMerge w:val="restart"/>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3: Pháp lý tài sản</w:t>
            </w:r>
            <w:r>
              <w:rPr>
                <w:bCs/>
                <w:lang w:val="pt-BR"/>
              </w:rPr>
            </w:r>
            <w:r>
              <w:rPr>
                <w:bCs/>
                <w:lang w:val="pt-BR"/>
              </w:rPr>
            </w:r>
          </w:p>
        </w:tc>
        <w:tc>
          <w:tcPr>
            <w:tcBorders/>
            <w:tcMar>
              <w:left w:w="108" w:type="dxa"/>
              <w:top w:w="0" w:type="dxa"/>
              <w:right w:w="108" w:type="dxa"/>
              <w:bottom w:w="0" w:type="dxa"/>
            </w:tcMar>
            <w:tcW w:w="1520" w:type="dxa"/>
            <w:vAlign w:val="center"/>
            <w:vMerge w:val="restart"/>
            <w:textDirection w:val="lrTb"/>
            <w:noWrap w:val="false"/>
          </w:tcPr>
          <w:p>
            <w:pPr>
              <w:pBdr/>
              <w:spacing w:after="120" w:before="100" w:beforeAutospacing="1"/>
              <w:ind/>
              <w:jc w:val="right"/>
              <w:rPr>
                <w:b/>
                <w:bCs/>
              </w:rPr>
            </w:pPr>
            <w:r>
              <w:rPr>
                <w:b/>
                <w:bCs/>
              </w:rPr>
              <w:t xml:space="preserve">27-28</w:t>
            </w:r>
            <w:r>
              <w:rPr>
                <w:b/>
                <w:bCs/>
              </w:rPr>
            </w:r>
            <w:r>
              <w:rPr>
                <w:b/>
                <w:bCs/>
              </w:rPr>
            </w:r>
          </w:p>
        </w:tc>
      </w:tr>
      <w:tr>
        <w:trPr/>
        <w:tc>
          <w:tcPr>
            <w:tcBorders/>
            <w:tcMar>
              <w:left w:w="108" w:type="dxa"/>
              <w:top w:w="0" w:type="dxa"/>
              <w:right w:w="108" w:type="dxa"/>
              <w:bottom w:w="0" w:type="dxa"/>
            </w:tcMar>
            <w:tcW w:w="7280" w:type="dxa"/>
            <w:vAlign w:val="center"/>
            <w:vMerge w:val="restart"/>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4: Biên bản khảo sát</w:t>
            </w:r>
            <w:r>
              <w:rPr>
                <w:bCs/>
                <w:lang w:val="pt-BR"/>
              </w:rPr>
            </w:r>
            <w:r>
              <w:rPr>
                <w:bCs/>
                <w:lang w:val="pt-BR"/>
              </w:rPr>
            </w:r>
          </w:p>
        </w:tc>
        <w:tc>
          <w:tcPr>
            <w:tcBorders/>
            <w:tcMar>
              <w:left w:w="108" w:type="dxa"/>
              <w:top w:w="0" w:type="dxa"/>
              <w:right w:w="108" w:type="dxa"/>
              <w:bottom w:w="0" w:type="dxa"/>
            </w:tcMar>
            <w:tcW w:w="1520" w:type="dxa"/>
            <w:vAlign w:val="center"/>
            <w:vMerge w:val="restart"/>
            <w:textDirection w:val="lrTb"/>
            <w:noWrap w:val="false"/>
          </w:tcPr>
          <w:p>
            <w:pPr>
              <w:pBdr/>
              <w:spacing w:after="120" w:before="100" w:beforeAutospacing="1"/>
              <w:ind/>
              <w:jc w:val="right"/>
              <w:rPr>
                <w:b/>
                <w:bCs/>
              </w:rPr>
            </w:pPr>
            <w:r>
              <w:rPr>
                <w:b/>
                <w:bCs/>
              </w:rPr>
              <w:t xml:space="preserve">29</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33" w:type="dxa"/>
        <w:tblBorders/>
        <w:tblLayout w:type="fixed"/>
        <w:tblLook w:val="04A0" w:firstRow="1" w:lastRow="0" w:firstColumn="1" w:lastColumn="0" w:noHBand="0" w:noVBand="1"/>
      </w:tblPr>
      <w:tblGrid>
        <w:gridCol w:w="170"/>
        <w:gridCol w:w="1417"/>
        <w:gridCol w:w="3260"/>
        <w:gridCol w:w="5186"/>
      </w:tblGrid>
      <w:tr>
        <w:trPr>
          <w:trHeight w:val="1559"/>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44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14"/>
        </w:trPr>
        <w:tc>
          <w:tcPr>
            <w:gridSpan w:val="2"/>
            <w:shd w:val="clear" w:color="auto" w:fill="auto"/>
            <w:tcBorders/>
            <w:tcMar>
              <w:left w:w="108" w:type="dxa"/>
              <w:top w:w="0" w:type="dxa"/>
              <w:right w:w="108" w:type="dxa"/>
              <w:bottom w:w="0" w:type="dxa"/>
            </w:tcMar>
            <w:tcW w:w="4677"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275/2026/0232/VFI-CT.65.A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186"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29 tháng 1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Huyên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275/2026/0232/VFI-HĐTĐ.65.A</w:t>
      </w:r>
      <w:r>
        <w:rPr>
          <w:spacing w:val="-4"/>
          <w:lang w:val="vi-VN"/>
        </w:rPr>
        <w:t xml:space="preserve"> ký ngày </w:t>
      </w:r>
      <w:r>
        <w:rPr>
          <w:color w:val="000000" w:themeColor="text1"/>
          <w:spacing w:val="-4"/>
        </w:rPr>
        <w:t xml:space="preserve">29 tháng 1 năm 2026</w:t>
      </w:r>
      <w:r>
        <w:rPr>
          <w:spacing w:val="-4"/>
          <w:lang w:val="vi-VN"/>
        </w:rPr>
        <w:t xml:space="preserve"> </w:t>
      </w:r>
      <w:r>
        <w:rPr>
          <w:spacing w:val="-4"/>
          <w:lang w:val="vi-VN"/>
        </w:rPr>
        <w:t xml:space="preserve">giữa </w:t>
      </w:r>
      <w:r>
        <w:rPr>
          <w:color w:val="000000" w:themeColor="text1"/>
          <w:spacing w:val="-4"/>
        </w:rPr>
        <w:t xml:space="preserve">Bà Nguyễn Thị Huyên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275/2026/0232/VFI-BC.65.A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30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ind/>
              <w:rPr/>
            </w:pPr>
            <w:r>
              <w:rPr>
                <w:b/>
                <w:bCs/>
              </w:rPr>
              <w:t xml:space="preserve">Nguyễn Thị Huyên</w:t>
            </w: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026188000639</w:t>
            </w:r>
            <w:r>
              <w:rPr>
                <w:color w:val="ff0000"/>
                <w:lang w:val="pt-BR"/>
              </w:rPr>
            </w:r>
            <w:r>
              <w:rPr>
                <w:color w:val="ff0000"/>
                <w:lang w:val="pt-BR"/>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Thôn Ngoại Trạch 1, xã Bình Nguyên, tỉnh Phú Thọ</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top w:val="none" w:color="000000" w:sz="4" w:space="0"/>
          <w:left w:val="none" w:color="000000" w:sz="4" w:space="0"/>
          <w:bottom w:val="none" w:color="000000" w:sz="4" w:space="0"/>
          <w:right w:val="none" w:color="000000" w:sz="4" w:space="0"/>
        </w:pBdr>
        <w:spacing w:after="0"/>
        <w:ind w:right="0" w:firstLine="0" w:left="0"/>
        <w:jc w:val="both"/>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224, tờ bản đồ số 119 có địa chỉ: Thôn Ngoại Trạch 1, xã Bình Nguyên, tỉnh Phú Thọ theo Giấy chứng nhận quyền sử dụng đất, quyền sở hữu tài sản gắn liền với đất  số: AA 04737384, số vào sổ cấp GCN: CN 13114 do Chi nhánh v</w:t>
      </w:r>
      <w:r>
        <w:rPr>
          <w:rFonts w:ascii="Times New Roman" w:hAnsi="Times New Roman" w:eastAsia="Times New Roman" w:cs="Times New Roman"/>
          <w:color w:val="000000"/>
          <w:sz w:val="24"/>
        </w:rPr>
        <w:t xml:space="preserve">ăn phòng đăng ký đất đai Bình Xuyên cấp ngày 13/11/2025; Chủ sử dụng đất là Ông: Phùng Quang Thảo và vợ: Nguyễn Thị Huyên</w:t>
      </w:r>
      <w:r/>
    </w:p>
    <w:p>
      <w:pPr>
        <w:pBdr/>
        <w:spacing w:after="120" w:before="120" w:line="312" w:lineRule="auto"/>
        <w:ind/>
        <w:jc w:val="both"/>
        <w:rPr>
          <w:b/>
          <w:bCs/>
        </w:rPr>
      </w:pPr>
      <w:r>
        <w:rPr>
          <w:color w:val="000000" w:themeColor="text1"/>
        </w:rPr>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194"/>
        <w:gridCol w:w="1633"/>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194"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633"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both"/>
              <w:rPr/>
            </w:pPr>
            <w:r>
              <w:rPr>
                <w:rFonts w:ascii="Times New Roman" w:hAnsi="Times New Roman" w:eastAsia="Times New Roman" w:cs="Times New Roman"/>
                <w:color w:val="000000"/>
                <w:sz w:val="24"/>
              </w:rPr>
              <w:t xml:space="preserve">Quyền sử dụng đất tại thửa đất số: 224, tờ bản đồ số 119 có địa chỉ: Thôn Ngoại Trạch 1, xã Bình Nguyên, tỉnh Phú Thọ theo Giấy chứng nhận quyền sử dụng đất, quyền sở hữu tài sản gắn liền với đất  số: AA 04737384, số vào sổ cấp GCN: CN 13114 do Chi nhánh v</w:t>
            </w:r>
            <w:r>
              <w:rPr>
                <w:rFonts w:ascii="Times New Roman" w:hAnsi="Times New Roman" w:eastAsia="Times New Roman" w:cs="Times New Roman"/>
                <w:color w:val="000000"/>
                <w:sz w:val="24"/>
              </w:rPr>
              <w:t xml:space="preserve">ăn phòng đăng ký đất đai Bình Xuyên cấp ngày 13/11/2025; Chủ sử dụng đất là Ông: Phùng Quang Thảo và vợ: Nguyễn Thị Huyên</w:t>
            </w:r>
            <w:r>
              <w:rPr>
                <w:b/>
                <w:bCs/>
              </w:rPr>
              <w:t xml:space="preserve">.</w:t>
            </w:r>
            <w:r>
              <w:rPr>
                <w:sz w:val="22"/>
              </w:rPr>
            </w: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p>
        </w:tc>
        <w:tc>
          <w:tcPr>
            <w:shd w:val="clear" w:color="000000" w:fill="ffffff"/>
            <w:tcBorders/>
            <w:tcW w:w="2194" w:type="dxa"/>
            <w:vAlign w:val="center"/>
            <w:textDirection w:val="lrTb"/>
            <w:noWrap w:val="false"/>
          </w:tcPr>
          <w:p>
            <w:pPr>
              <w:pBdr/>
              <w:spacing w:after="40" w:before="40" w:line="288" w:lineRule="auto"/>
              <w:ind/>
              <w:rPr>
                <w:b/>
                <w:bCs/>
                <w:color w:val="000000" w:themeColor="text1"/>
                <w:sz w:val="24"/>
                <w:szCs w:val="24"/>
              </w:rPr>
            </w:pPr>
            <w:r>
              <w:rPr>
                <w:b/>
                <w:bCs/>
                <w:color w:val="000000" w:themeColor="text1"/>
              </w:rPr>
              <w:t xml:space="preserve">Quy</w:t>
            </w:r>
            <w:r>
              <w:rPr>
                <w:b/>
                <w:bCs/>
                <w:color w:val="000000" w:themeColor="text1"/>
                <w:sz w:val="24"/>
                <w:szCs w:val="24"/>
              </w:rPr>
              <w:t xml:space="preserve">ền sử dụng đấ</w:t>
            </w:r>
            <w:r>
              <w:rPr>
                <w:b/>
                <w:bCs/>
                <w:color w:val="000000" w:themeColor="text1"/>
                <w:sz w:val="24"/>
                <w:szCs w:val="24"/>
              </w:rPr>
              <w:t xml:space="preserve">t (</w:t>
            </w:r>
            <w:r>
              <w:rPr>
                <w:rFonts w:ascii="Times New Roman" w:hAnsi="Times New Roman" w:eastAsia="Times New Roman" w:cs="Times New Roman"/>
                <w:b/>
                <w:bCs/>
                <w:color w:val="000000" w:themeColor="text1"/>
                <w:sz w:val="24"/>
                <w:szCs w:val="24"/>
              </w:rPr>
              <w:t xml:space="preserve">Đất ở tại nông thôn 300,0m²; Đất trồng cây lâu năm 774,8m²)</w:t>
            </w:r>
            <w:r>
              <w:rPr>
                <w:b/>
                <w:bCs/>
                <w:color w:val="000000" w:themeColor="text1"/>
                <w:sz w:val="24"/>
                <w:szCs w:val="24"/>
              </w:rPr>
            </w:r>
            <w:r>
              <w:rPr>
                <w:b/>
                <w:bCs/>
                <w:color w:val="000000" w:themeColor="text1"/>
                <w:sz w:val="24"/>
                <w:szCs w:val="24"/>
              </w:rPr>
            </w:r>
          </w:p>
        </w:tc>
        <w:tc>
          <w:tcPr>
            <w:tcBorders/>
            <w:tcW w:w="1633" w:type="dxa"/>
            <w:vAlign w:val="center"/>
            <w:textDirection w:val="lrTb"/>
            <w:noWrap/>
          </w:tcPr>
          <w:p>
            <w:pPr>
              <w:pBdr/>
              <w:spacing w:after="40" w:before="40" w:line="288" w:lineRule="auto"/>
              <w:ind/>
              <w:jc w:val="center"/>
              <w:rPr>
                <w:color w:val="000000"/>
              </w:rPr>
            </w:pPr>
            <w:r>
              <w:rPr>
                <w:color w:val="000000" w:themeColor="text1"/>
              </w:rPr>
              <w:t xml:space="preserve">1074,8</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8.908.000</w:t>
            </w:r>
            <w:r/>
          </w:p>
        </w:tc>
        <w:tc>
          <w:tcPr>
            <w:shd w:val="clear" w:color="000000" w:fill="ffffff"/>
            <w:tcBorders/>
            <w:tcW w:w="2164" w:type="dxa"/>
            <w:vAlign w:val="center"/>
            <w:textDirection w:val="lrTb"/>
            <w:noWrap w:val="false"/>
          </w:tcPr>
          <w:p>
            <w:pPr>
              <w:pBdr/>
              <w:spacing w:after="40" w:before="40" w:line="288" w:lineRule="auto"/>
              <w:ind/>
              <w:jc w:val="center"/>
              <w:rPr>
                <w:b/>
                <w:bCs/>
                <w:color w:val="000000"/>
              </w:rPr>
            </w:pPr>
            <w:r>
              <w:t xml:space="preserve">9.574.318.400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t xml:space="preserve">9.574.318.400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9.574.300.000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yellow"/>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Chín tỷ năm trăm bảy mươi bốn triệu ba trăm</w:t>
            </w:r>
            <w:r>
              <w:rPr>
                <w:b/>
                <w:bCs/>
                <w:i/>
                <w:iCs/>
                <w:color w:val="000000"/>
                <w:highlight w:val="white"/>
              </w:rPr>
              <w:t xml:space="preserve"> </w:t>
            </w:r>
            <w:r>
              <w:rPr>
                <w:b/>
                <w:bCs/>
                <w:i/>
                <w:iCs/>
                <w:color w:val="000000"/>
                <w:highlight w:val="white"/>
              </w:rPr>
              <w:t xml:space="preserve">nghìn đồng</w:t>
            </w:r>
            <w:r>
              <w:rPr>
                <w:b/>
                <w:bCs/>
                <w:i/>
                <w:iCs/>
                <w:color w:val="000000"/>
                <w:highlight w:val="white"/>
              </w:rPr>
              <w:t xml:space="preserve">./.)</w:t>
            </w:r>
            <w:r>
              <w:rPr>
                <w:b/>
                <w:bCs/>
                <w:i/>
                <w:iCs/>
                <w:color w:val="000000"/>
                <w:highlight w:val="white"/>
              </w:rPr>
            </w:r>
            <w:r>
              <w:rPr>
                <w:b/>
                <w:bCs/>
                <w:i/>
                <w:iCs/>
                <w:color w:val="000000"/>
                <w:highlight w:val="yellow"/>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138" w:type="dxa"/>
        <w:tblBorders/>
        <w:tblLayout w:type="fixed"/>
        <w:tblLook w:val="04A0" w:firstRow="1" w:lastRow="0" w:firstColumn="1" w:lastColumn="0" w:noHBand="0" w:noVBand="1"/>
      </w:tblPr>
      <w:tblGrid>
        <w:gridCol w:w="170"/>
        <w:gridCol w:w="1417"/>
        <w:gridCol w:w="2976"/>
        <w:gridCol w:w="5574"/>
      </w:tblGrid>
      <w:tr>
        <w:trPr>
          <w:trHeight w:val="1417"/>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55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88"/>
        </w:trPr>
        <w:tc>
          <w:tcPr>
            <w:gridSpan w:val="2"/>
            <w:shd w:val="clear" w:color="auto" w:fill="auto"/>
            <w:tcBorders/>
            <w:tcMar>
              <w:left w:w="108" w:type="dxa"/>
              <w:top w:w="0" w:type="dxa"/>
              <w:right w:w="108" w:type="dxa"/>
              <w:bottom w:w="0" w:type="dxa"/>
            </w:tcMar>
            <w:tcW w:w="4394"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275/2026/0232/VF</w:t>
            </w:r>
            <w:r>
              <w:rPr>
                <w:rStyle w:val="1025"/>
                <w:rFonts w:ascii="Times New Roman" w:hAnsi="Times New Roman"/>
                <w:color w:val="000000" w:themeColor="text1"/>
                <w:highlight w:val="white"/>
                <w:lang w:val="pt-BR"/>
              </w:rPr>
              <w:t xml:space="preserve">I</w:t>
            </w:r>
            <w:r>
              <w:rPr>
                <w:rStyle w:val="1025"/>
                <w:rFonts w:ascii="Times New Roman" w:hAnsi="Times New Roman"/>
                <w:color w:val="000000" w:themeColor="text1"/>
                <w:highlight w:val="white"/>
                <w:lang w:val="pt-BR"/>
              </w:rPr>
              <w:t xml:space="preserve">-BC.65</w:t>
            </w:r>
            <w:r>
              <w:rPr>
                <w:rStyle w:val="1025"/>
                <w:rFonts w:ascii="Times New Roman" w:hAnsi="Times New Roman"/>
                <w:color w:val="000000" w:themeColor="text1"/>
                <w:highlight w:val="white"/>
                <w:lang w:val="pt-BR"/>
              </w:rPr>
              <w:t xml:space="preserve">.A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74"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29 tháng 1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275/2026/0232/VFI-CT.65.A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29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w:t>
            </w:r>
            <w:r>
              <w:rPr>
                <w:b/>
                <w:bCs/>
                <w:lang w:val="vi-VN"/>
              </w:rPr>
              <w:t xml:space="preserve"> </w:t>
            </w:r>
            <w:r>
              <w:rPr>
                <w:b/>
                <w:bCs/>
              </w:rPr>
            </w:r>
            <w:r>
              <w:rPr>
                <w:b/>
                <w:bCs/>
                <w:lang w:val="vi-VN"/>
              </w:rPr>
            </w:r>
          </w:p>
        </w:tc>
      </w:tr>
      <w:tr>
        <w:trPr>
          <w:trHeight w:val="20"/>
        </w:trPr>
        <w:tc>
          <w:tcPr>
            <w:tcBorders/>
            <w:tcW w:w="2552" w:type="dxa"/>
            <w:vAlign w:val="center"/>
            <w:vMerge w:val="restart"/>
            <w:textDirection w:val="lrTb"/>
            <w:noWrap w:val="false"/>
          </w:tcPr>
          <w:p>
            <w:pPr>
              <w:pBdr/>
              <w:spacing w:after="60" w:before="60" w:line="276" w:lineRule="auto"/>
              <w:ind/>
              <w:rPr>
                <w:bCs/>
              </w:rPr>
            </w:pPr>
            <w:r>
              <w:rPr>
                <w:bCs/>
              </w:rPr>
              <w:t xml:space="preserve">Chức vụ</w:t>
            </w:r>
            <w:r>
              <w:rPr>
                <w:bCs/>
              </w:rPr>
            </w:r>
          </w:p>
        </w:tc>
        <w:tc>
          <w:tcPr>
            <w:tcBorders/>
            <w:tcW w:w="289" w:type="dxa"/>
            <w:vAlign w:val="center"/>
            <w:vMerge w:val="restart"/>
            <w:textDirection w:val="lrTb"/>
            <w:noWrap w:val="false"/>
          </w:tcPr>
          <w:p>
            <w:pPr>
              <w:pBdr/>
              <w:spacing w:after="60" w:before="60" w:line="276" w:lineRule="auto"/>
              <w:ind/>
              <w:rPr>
                <w:bCs/>
              </w:rPr>
            </w:pPr>
            <w:r>
              <w:rPr>
                <w:bCs/>
              </w:rPr>
            </w:r>
            <w:r>
              <w:rPr>
                <w:bCs/>
              </w:rPr>
            </w:r>
          </w:p>
        </w:tc>
        <w:tc>
          <w:tcPr>
            <w:tcBorders/>
            <w:tcW w:w="6940" w:type="dxa"/>
            <w:vAlign w:val="center"/>
            <w:vMerge w:val="restart"/>
            <w:textDirection w:val="lrTb"/>
            <w:noWrap w:val="false"/>
          </w:tcPr>
          <w:p>
            <w:pPr>
              <w:pBdr/>
              <w:spacing w:after="60" w:before="60" w:line="276" w:lineRule="auto"/>
              <w:ind/>
              <w:rPr>
                <w:b/>
                <w:bCs/>
                <w:lang w:val="vi-VN"/>
              </w:rPr>
            </w:pPr>
            <w:r>
              <w:rPr>
                <w:b/>
                <w:bCs/>
                <w:lang w:val="vi-VN"/>
              </w:rPr>
            </w:r>
            <w:r>
              <w:rPr>
                <w:b/>
                <w:bCs/>
              </w:rPr>
              <w:t xml:space="preserve">Chủ tịch HĐQT kiêm Tổng Giám Đốc</w:t>
            </w:r>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4"/>
              </w:rPr>
              <w:t xml:space="preserve">Nguyễn Thị Huyên</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pPr>
            <w:r>
              <w:rPr>
                <w:rFonts w:ascii="Times New Roman" w:hAnsi="Times New Roman" w:eastAsia="Times New Roman" w:cs="Times New Roman"/>
                <w:color w:val="000000"/>
                <w:sz w:val="24"/>
              </w:rPr>
              <w:t xml:space="preserve">CCCD</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026188000639</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pPr>
            <w:r>
              <w:rPr>
                <w:rFonts w:ascii="Times New Roman" w:hAnsi="Times New Roman" w:eastAsia="Times New Roman" w:cs="Times New Roman"/>
                <w:color w:val="000000"/>
                <w:sz w:val="24"/>
              </w:rPr>
              <w:t xml:space="preserve">Địa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Thôn Ngoại Trạch 1, xã Bình Nguyên, tỉnh Phú Thọ</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both"/>
              <w:rPr/>
            </w:pPr>
            <w:r>
              <w:rPr>
                <w:rFonts w:ascii="Times New Roman" w:hAnsi="Times New Roman" w:eastAsia="Times New Roman" w:cs="Times New Roman"/>
                <w:color w:val="000000"/>
                <w:sz w:val="24"/>
              </w:rPr>
              <w:t xml:space="preserve">Quyền sử dụng đất tại thửa đất số: 224, tờ bản đồ số 119 có địa chỉ: Thôn Ngoại Trạch 1, xã Bình Nguyên, tỉnh Phú Thọ theo Giấy chứng nhận quyền sử dụng đất, quyền sở hữu tài sản gắn liền với đất  số: AA 04737384, số vào sổ cấp GCN: CN 13114 do Chi nhánh v</w:t>
            </w:r>
            <w:r>
              <w:rPr>
                <w:rFonts w:ascii="Times New Roman" w:hAnsi="Times New Roman" w:eastAsia="Times New Roman" w:cs="Times New Roman"/>
                <w:color w:val="000000"/>
                <w:sz w:val="24"/>
              </w:rPr>
              <w:t xml:space="preserve">ăn phòng đăng ký đất đai Bình Xuyên cấp ngày 13/11/2025; Chủ sử dụng đất là Ông: Phùng Quang Thảo và vợ: Nguyễn Thị Huyên.</w:t>
            </w:r>
            <w:r>
              <w:rPr>
                <w:sz w:val="22"/>
              </w:rP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Ngoại Trạch 1, xã Bình Nguyên, tỉnh Phú Thọ</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21.293833, 105.647139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7"/>
        <w:numPr>
          <w:ilvl w:val="0"/>
          <w:numId w:val="39"/>
        </w:numPr>
        <w:pBdr>
          <w:top w:val="none" w:color="000000" w:sz="4" w:space="0"/>
          <w:left w:val="none" w:color="000000" w:sz="4" w:space="0"/>
          <w:bottom w:val="none" w:color="000000" w:sz="4" w:space="0"/>
          <w:right w:val="none" w:color="000000" w:sz="4" w:space="0"/>
        </w:pBdr>
        <w:spacing w:after="0"/>
        <w:ind w:right="0" w:hanging="360" w:left="360"/>
        <w:jc w:val="both"/>
        <w:rPr/>
      </w:pPr>
      <w:r>
        <w:rPr>
          <w:rFonts w:ascii="Times New Roman" w:hAnsi="Times New Roman" w:eastAsia="Times New Roman" w:cs="Times New Roman"/>
          <w:color w:val="000000"/>
          <w:sz w:val="24"/>
          <w:highlight w:val="yellow"/>
        </w:rPr>
      </w:r>
      <w:r>
        <w:rPr>
          <w:rFonts w:ascii="Times New Roman" w:hAnsi="Times New Roman" w:eastAsia="Times New Roman" w:cs="Times New Roman"/>
          <w:color w:val="000000"/>
          <w:sz w:val="24"/>
        </w:rPr>
        <w:t xml:space="preserve">Giấy chứng nhận quyền sử dụng đất, quyền sở hữu tài sản gắn liền với đất  số: AA 04737384, số vào sổ cấp GCN: CN 13114 do Chi nhánh v</w:t>
      </w:r>
      <w:r>
        <w:rPr>
          <w:rFonts w:ascii="Times New Roman" w:hAnsi="Times New Roman" w:eastAsia="Times New Roman" w:cs="Times New Roman"/>
          <w:color w:val="000000"/>
          <w:sz w:val="24"/>
        </w:rPr>
        <w:t xml:space="preserve">ăn phòng đăng ký đất đai Bình Xuyên cấp ngày 13/11/2025; Chủ sử dụng đất là Ông: Phùng Quang Thảo và vợ: Nguyễn Thị Huyên</w:t>
      </w:r>
      <w:r>
        <w:rPr>
          <w:sz w:val="22"/>
        </w:rPr>
      </w: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275/2026/0232/VFI-HĐTĐ.65.A ngày 29/01/2026 giữa bà Nguyễn Thị Huyên </w:t>
      </w:r>
      <w:r>
        <w:rPr>
          <w:color w:val="000000" w:themeColor="text1"/>
          <w:highlight w:val="yellow"/>
          <w:lang w:val="pt-BR"/>
        </w:rPr>
        <w:t xml:space="preserve"> </w:t>
      </w:r>
      <w:r>
        <w:rPr>
          <w:color w:val="000000" w:themeColor="text1"/>
          <w:highlight w:val="white"/>
          <w:lang w:val="pt-BR"/>
        </w:rPr>
        <w:t xml:space="preserve">v</w:t>
      </w:r>
      <w:r>
        <w:rPr>
          <w:color w:val="000000" w:themeColor="text1"/>
          <w:highlight w:val="white"/>
          <w:lang w:val="pt-BR"/>
        </w:rPr>
        <w:t xml:space="preserve">ớ</w:t>
      </w:r>
      <w:r>
        <w:rPr>
          <w:color w:val="000000" w:themeColor="text1"/>
          <w:lang w:val="pt-BR"/>
        </w:rPr>
        <w:t xml:space="preserve">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rPr>
      </w:pPr>
      <w:r>
        <w:rPr>
          <w:lang w:val="pt-BR"/>
        </w:rPr>
        <w:tab/>
      </w:r>
      <w:r>
        <w:rPr>
          <w:shd w:val="clear" w:color="auto" w:fill="ffffff"/>
        </w:rPr>
        <w:t xml:space="preserve">Thị trường bất động sản Vĩnh Phúc trong những năm trở lại đây ngày càng trở nên sôi động cả về nguồn cung và nguồn cầu. Theo nhận định của các chuyên gia bất động sản, trong năm 2026 thị trườn</w:t>
      </w:r>
      <w:r>
        <w:rPr>
          <w:shd w:val="clear" w:color="auto" w:fill="ffffff"/>
        </w:rPr>
        <w:t xml:space="preserve">g bất động sản vùng ven sẽ được nhiều nhà đầu tư địa ốc quan tâm, đặc biệt là các tỉnh giáp ranh với Hà Nội. Đặc biệt, Vĩnh Phúc đang nổi lên như một mỏ vàng tiềm năng đầy hứa hẹn.</w:t>
        <w:br/>
        <w:t xml:space="preserve">Vĩnh Phúc là một trong những tỉnh thành có tốc độ tăng trưởng bậc nhất cả n</w:t>
      </w:r>
      <w:r>
        <w:rPr>
          <w:shd w:val="clear" w:color="auto" w:fill="ffffff"/>
        </w:rPr>
        <w:t xml:space="preserve">ước. Năm 2018, thu hút 18 triệu USD vốn đầu tư từ các dự án FDI, toàn tỉnh có 278 dự án FDI và 690 dự án DDI còn hiệu lực.</w:t>
        <w:br/>
        <w:t xml:space="preserve">Một điểm đặc biệt của Vĩnh Phúc là tỉnh duy nhất giáp ranh với Hà Nội, gần sân bay Quốc Tế Nội Bài, hạ tầng được đầu tư phát triển, n</w:t>
      </w:r>
      <w:r>
        <w:rPr>
          <w:shd w:val="clear" w:color="auto" w:fill="ffffff"/>
        </w:rPr>
        <w:t xml:space="preserve">ơi tập trung của nhiều khu công nghiệp lớn của phía Bắc. Định hướng trong tương lai, nơi đây sẽ có 41 cụm công nghiệp, thu hút nhiều vốn đầu tư và tạo việc làm từ 28.000 - 30.000 lao động và các chuyên gia nước ngoài.</w:t>
      </w:r>
      <w:r>
        <w:rPr>
          <w:iCs/>
        </w:rPr>
      </w:r>
      <w:r>
        <w:rPr>
          <w:iCs/>
        </w:rPr>
      </w:r>
    </w:p>
    <w:p>
      <w:pPr>
        <w:pBdr/>
        <w:tabs>
          <w:tab w:val="left" w:leader="none" w:pos="426"/>
        </w:tabs>
        <w:spacing w:after="120" w:before="120" w:line="276" w:lineRule="auto"/>
        <w:ind/>
        <w:jc w:val="both"/>
        <w:rPr/>
      </w:pPr>
      <w:r>
        <w:rPr>
          <w:shd w:val="clear" w:color="auto" w:fill="ffffff"/>
        </w:rPr>
        <w:t xml:space="preserve">Không những tạo ra công ăn việc làm ch</w:t>
      </w:r>
      <w:r>
        <w:rPr>
          <w:shd w:val="clear" w:color="auto" w:fill="ffffff"/>
        </w:rPr>
        <w:t xml:space="preserve">o người lao động trong và ngoài tỉnh mà nhịp độ phát triển kinh tế mạnh mẽ của Vĩnh Phúc còn làm gia tăng nhu cầu sở hữu nhà ở, thúc đẩy các dự án đã và đang hình thành tại đây ngày càng nhiều.</w:t>
      </w:r>
      <w:r>
        <w:rPr>
          <w:iCs/>
        </w:rPr>
      </w:r>
      <w:r/>
    </w:p>
    <w:p>
      <w:pPr>
        <w:pBdr/>
        <w:tabs>
          <w:tab w:val="left" w:leader="none" w:pos="426"/>
        </w:tabs>
        <w:spacing w:after="120" w:before="120" w:line="276" w:lineRule="auto"/>
        <w:ind/>
        <w:jc w:val="both"/>
        <w:rPr/>
      </w:pPr>
      <w:r>
        <w:rPr>
          <w:shd w:val="clear" w:color="auto" w:fill="ffffff"/>
        </w:rPr>
        <w:t xml:space="preserve">Bên cạnh đó, Vĩnh Phúc luôn được chính quyền sở tạo điều kiện </w:t>
      </w:r>
      <w:r>
        <w:rPr>
          <w:shd w:val="clear" w:color="auto" w:fill="ffffff"/>
        </w:rPr>
        <w:t xml:space="preserve">phát triển đầu tư, kinh doanh, tạo điều kiện thuận lợi cho người nước ngoài có cơ hội sở hữu nhà ở tại Việt Nam, tạo đà phát triển cho bđs Vĩnh Phúc.</w:t>
      </w:r>
      <w:r>
        <w:rPr>
          <w:iCs/>
        </w:rPr>
      </w:r>
      <w:r/>
    </w:p>
    <w:p>
      <w:pPr>
        <w:pBdr/>
        <w:tabs>
          <w:tab w:val="left" w:leader="none" w:pos="426"/>
        </w:tabs>
        <w:spacing w:after="120" w:before="120" w:line="276" w:lineRule="auto"/>
        <w:ind/>
        <w:jc w:val="both"/>
        <w:rPr/>
      </w:pPr>
      <w:r>
        <w:rPr>
          <w:shd w:val="clear" w:color="auto" w:fill="ffffff"/>
        </w:rPr>
        <w:t xml:space="preserve">Trong vài năm gần đây, thực tế quỹ đất nội bộ ngày càng khan hiếm và đắt đỏ, xu hướng dịch chuyển đầu tư v</w:t>
      </w:r>
      <w:r>
        <w:rPr>
          <w:shd w:val="clear" w:color="auto" w:fill="ffffff"/>
        </w:rPr>
        <w:t xml:space="preserve">ề các vùng ven gia tăng mạnh mẽ. Theo nhận định của giới chuyên gia bất động sản, xu hướng này sẽ còn phát triển mạnh mẽ hơn trong những năm tiếp theo, nhất là các địa phương có tiềm năng phát triển kinh tế và du lịch nghỉ dưỡng. Nổi bật nhất là Vĩnh Phúc.</w:t>
      </w:r>
      <w:r>
        <w:rPr>
          <w:iCs/>
        </w:rPr>
      </w:r>
      <w:r/>
    </w:p>
    <w:p>
      <w:pPr>
        <w:pBdr/>
        <w:tabs>
          <w:tab w:val="left" w:leader="none" w:pos="426"/>
        </w:tabs>
        <w:spacing w:after="120" w:before="120" w:line="276" w:lineRule="auto"/>
        <w:ind/>
        <w:jc w:val="both"/>
        <w:rPr/>
      </w:pPr>
      <w:r>
        <w:rPr>
          <w:shd w:val="clear" w:color="auto" w:fill="ffffff"/>
        </w:rPr>
        <w:t xml:space="preserve">Nằm cách trung tâm Hà Nội 50km, cách sân bay Nội Bài 25km, nơi đây còn tập trung các tuyến giao thông huyết mạch như: Tuyến đường sắt Hà Nội - Lào Cai, Quốc Lộ 5, Quốc lộ số 2 (kết nối với các tỉnh Tuyên Quang, Phú Thọ)...</w:t>
      </w:r>
      <w:r>
        <w:rPr>
          <w:iCs/>
        </w:rPr>
      </w:r>
      <w:r/>
    </w:p>
    <w:p>
      <w:pPr>
        <w:pBdr/>
        <w:tabs>
          <w:tab w:val="left" w:leader="none" w:pos="426"/>
        </w:tabs>
        <w:spacing w:after="120" w:before="120" w:line="276" w:lineRule="auto"/>
        <w:ind/>
        <w:jc w:val="both"/>
        <w:rPr/>
      </w:pPr>
      <w:r>
        <w:rPr>
          <w:shd w:val="clear" w:color="auto" w:fill="ffffff"/>
        </w:rPr>
        <w:t xml:space="preserve">Hạ tầng giao thông ngày càng đượ</w:t>
      </w:r>
      <w:r>
        <w:rPr>
          <w:shd w:val="clear" w:color="auto" w:fill="ffffff"/>
        </w:rPr>
        <w:t xml:space="preserve">c đầu tư hoàn thiện dẫn đến việc kết nối với nhiều địa danh nổi tiếng tại địa phương như: Vườn Quốc gia Tam Đảo, khu du lịch sinh thái Flamigo Đại Lải resort... trở nên dễ dàng, mang lại nhiều giá trị cho thị trường bất động sản Vĩnh Phúc.</w:t>
        <w:br/>
        <w:t xml:space="preserve">Giới chuyên gia </w:t>
      </w:r>
      <w:r>
        <w:rPr>
          <w:shd w:val="clear" w:color="auto" w:fill="ffffff"/>
        </w:rPr>
        <w:t xml:space="preserve">cho rằng, dòng tiền của các nhà đầu tư sẽ đổ về bất động sản Vĩnh Phúc, tập trung ở các phân khúc đất nền, chung cư, nhà ở.. Năm 2026 được dự báo sẽ là thời điểm vàng để các nhà đầu tư xuống tiền nhờ giá ở khu vực này vẫn còn ở mức thấp.</w:t>
      </w:r>
      <w:r>
        <w:rPr>
          <w:i/>
          <w:iCs/>
          <w:lang w:val="pt-BR"/>
        </w:rPr>
      </w:r>
      <w:r/>
    </w:p>
    <w:p>
      <w:pPr>
        <w:pBdr/>
        <w:tabs>
          <w:tab w:val="left" w:leader="none" w:pos="426"/>
        </w:tabs>
        <w:spacing w:after="120" w:before="120" w:line="276" w:lineRule="auto"/>
        <w:ind/>
        <w:jc w:val="center"/>
        <w:rPr>
          <w:bCs/>
          <w:i/>
          <w:lang w:val="pt-BR"/>
        </w:rPr>
      </w:pPr>
      <w:r>
        <w:rPr>
          <w:shd w:val="clear" w:color="auto" w:fill="ffffff"/>
        </w:rPr>
        <w:t xml:space="preserve">(https://cafeland.</w:t>
      </w:r>
      <w:r>
        <w:rPr>
          <w:shd w:val="clear" w:color="auto" w:fill="ffffff"/>
        </w:rPr>
        <w:t xml:space="preserve">vn/chu-de-nong/bat-dong-san-vinh-phuc-986/#)</w:t>
      </w:r>
      <w:r>
        <w:rPr>
          <w:bCs/>
          <w:i/>
          <w:lang w:val="pt-BR"/>
        </w:rPr>
      </w:r>
      <w:r>
        <w:rPr>
          <w:bCs/>
          <w:i/>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color w:val="000000"/>
                <w:sz w:val="24"/>
              </w:rPr>
              <w:t xml:space="preserve">Quyền sử dụng đất tại thửa đất số: 224, tờ bản đồ số 119 có địa chỉ: Thôn Ngoại Trạch 1, xã Bình Nguyên, tỉnh Phú Thọ  theo Giấy chứng nhận quyền sử dụng đất, quyền sở hữu tài sản gắn liền với đất  số: AA 04737384, số vào sổ cấp GCN: CN 13114 do Chi nhánh </w:t>
            </w:r>
            <w:r>
              <w:rPr>
                <w:rFonts w:ascii="Times New Roman" w:hAnsi="Times New Roman" w:eastAsia="Times New Roman" w:cs="Times New Roman"/>
                <w:b/>
                <w:color w:val="000000"/>
                <w:sz w:val="24"/>
              </w:rPr>
              <w:t xml:space="preserve">văn phòng đăng ký đất đai Bình Xuyên cấp ngày 13/11/2025; Chủ sử dụng đất là Ông: Phùng Quang Thảo và vợ: Nguyễn Thị Huyên</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224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Thông Ngoại Trạch 1, xã Bình Nguyên, tỉnh Phú Thọ</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1074,8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4"/>
              </w:rPr>
              <w:t xml:space="preserve">Sử dụng chung của vợ và chồng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2"/>
              </w:rPr>
              <w:t xml:space="preserve">Đất ở tại nông thôn 300,0m²; Đất trồng cây lâu năm 774,8m²</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2"/>
              </w:rPr>
              <w:t xml:space="preserve">Đất ở tại nông thôn: Lâu dài; Đất trồng cây lâu năm: đến ngày 15/10/2043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2"/>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đường trước sau</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 (qua TSTĐ thì đường nhỏ còn khoảng 3,5m)</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Tiếp giáp đường nhựa cách DT302 khoảng 300m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highlight w:val="white"/>
              </w:rPr>
            </w:pPr>
            <w:r>
              <w:rPr>
                <w:color w:val="000000"/>
                <w:highlight w:val="white"/>
              </w:rPr>
              <w:t xml:space="preserve">Các</w:t>
            </w:r>
            <w:r>
              <w:rPr>
                <w:color w:val="000000"/>
                <w:highlight w:val="white"/>
              </w:rPr>
              <w:t xml:space="preserve"> </w:t>
            </w:r>
            <w:r>
              <w:rPr>
                <w:color w:val="000000"/>
                <w:highlight w:val="white"/>
              </w:rPr>
              <w:t xml:space="preserve">hướng</w:t>
            </w:r>
            <w:r>
              <w:rPr>
                <w:color w:val="000000"/>
                <w:highlight w:val="white"/>
              </w:rPr>
              <w:t xml:space="preserve"> </w:t>
            </w:r>
            <w:r>
              <w:rPr>
                <w:color w:val="000000"/>
                <w:highlight w:val="white"/>
              </w:rPr>
              <w:t xml:space="preserve">tiếp</w:t>
            </w:r>
            <w:r>
              <w:rPr>
                <w:color w:val="000000"/>
                <w:highlight w:val="white"/>
              </w:rPr>
              <w:t xml:space="preserve"> </w:t>
            </w:r>
            <w:r>
              <w:rPr>
                <w:color w:val="000000"/>
                <w:highlight w:val="white"/>
              </w:rPr>
              <w:t xml:space="preserve">giáp</w:t>
            </w:r>
            <w:r>
              <w:rPr>
                <w:color w:val="000000"/>
                <w:highlight w:val="white"/>
              </w:rPr>
              <w:t xml:space="preserve">:</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rFonts w:ascii="Times New Roman" w:hAnsi="Times New Roman" w:eastAsia="Times New Roman" w:cs="Times New Roman"/>
                <w:color w:val="000000"/>
                <w:sz w:val="24"/>
                <w:szCs w:val="24"/>
                <w:highlight w:val="white"/>
              </w:rPr>
            </w:pPr>
            <w:r>
              <w:rPr>
                <w:highlight w:val="white"/>
              </w:rPr>
            </w:r>
            <w:bookmarkStart w:id="3" w:name="OLE_LINK1"/>
            <w:r>
              <w:rPr>
                <w:color w:val="000000" w:themeColor="text1"/>
                <w:highlight w:val="white"/>
              </w:rPr>
            </w:r>
            <w:bookmarkEnd w:id="3"/>
            <w:r>
              <w:rPr>
                <w:rFonts w:ascii="Times New Roman" w:hAnsi="Times New Roman" w:eastAsia="Times New Roman" w:cs="Times New Roman"/>
                <w:color w:val="000000"/>
                <w:sz w:val="24"/>
                <w:highlight w:val="white"/>
              </w:rPr>
              <w:t xml:space="preserve">Hướng Nam:</w:t>
            </w:r>
            <w:r>
              <w:rPr>
                <w:rFonts w:ascii="Times New Roman" w:hAnsi="Times New Roman" w:eastAsia="Times New Roman" w:cs="Times New Roman"/>
                <w:color w:val="000000"/>
                <w:sz w:val="24"/>
                <w:highlight w:val="white"/>
              </w:rPr>
              <w:t xml:space="preserve"> Tiếp giáp với đường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spacing/>
              <w:ind/>
              <w:rPr>
                <w:color w:val="000000" w:themeColor="text1"/>
                <w:highlight w:val="white"/>
              </w:rPr>
            </w:pPr>
            <w:r>
              <w:rPr>
                <w:rFonts w:ascii="Times New Roman" w:hAnsi="Times New Roman" w:eastAsia="Times New Roman" w:cs="Times New Roman"/>
                <w:color w:val="000000"/>
                <w:sz w:val="24"/>
                <w:highlight w:val="white"/>
              </w:rPr>
              <w:t xml:space="preserve">Hướng Bắc: Tiếp giáp với đường</w:t>
              <w:br/>
              <w:t xml:space="preserve">Các hướng khác: Tiếp giáp các thửa đất khác.</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21.293833</w:t>
            </w:r>
            <w:r>
              <w:rPr>
                <w:color w:val="000000"/>
              </w:rPr>
              <w:t xml:space="preserve">, </w:t>
            </w:r>
            <w:r>
              <w:rPr>
                <w:color w:val="000000"/>
              </w:rPr>
              <w:t xml:space="preserve">105.647139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180670" cy="2688065"/>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180670" cy="26880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07.93pt;height:211.66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1074,8</w:t>
            </w:r>
            <w:r>
              <w:rPr>
                <w:color w:val="000000"/>
              </w:rPr>
            </w:r>
            <w:r>
              <w:rPr>
                <w:color w:val="000000"/>
              </w:rPr>
            </w:r>
            <w:r>
              <w:rPr>
                <w:color w:val="000000" w:themeColor="text1"/>
              </w:rPr>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29,36</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43</w:t>
            </w:r>
            <w:r>
              <w:rPr>
                <w:color w:val="000000" w:themeColor="text1"/>
              </w:rPr>
            </w:r>
            <w:r>
              <w:rPr>
                <w:color w:val="000000" w:themeColor="text1"/>
              </w:rPr>
            </w:r>
          </w:p>
        </w:tc>
      </w:tr>
      <w:tr>
        <w:trPr>
          <w:trHeight w:val="15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Nam</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khảo sát, CTXD gắn liền với đất là một nhà một tầng xây dựng năm 2023, diện tích xây dựng khoảng 500m². CTXD tại thời điểm khảo sát chưa  được chứng nhận trên Giấy chứng nhận quyền sử dụng đất quyền sở tài sản gắn liền với đất số: AA 04737384</w:t>
            </w:r>
            <w:r>
              <w:rPr>
                <w:rFonts w:ascii="Times New Roman" w:hAnsi="Times New Roman" w:eastAsia="Times New Roman" w:cs="Times New Roman"/>
                <w:color w:val="000000"/>
                <w:sz w:val="24"/>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p>
      <w:pPr>
        <w:pBdr/>
        <w:shd w:val="nil" w:color="auto"/>
        <w:spacing/>
        <w:ind/>
        <w:rPr>
          <w:b/>
          <w:bCs/>
          <w:lang w:val="nl-NL"/>
        </w:rPr>
      </w:pPr>
      <w:r>
        <w:rPr>
          <w:b/>
          <w:bCs/>
          <w:lang w:val="nl-NL"/>
        </w:rPr>
        <w:br w:type="page" w:clear="all"/>
      </w:r>
      <w:r>
        <w:rPr>
          <w:b/>
          <w:bCs/>
          <w:lang w:val="nl-NL"/>
        </w:rPr>
      </w:r>
      <w:r>
        <w:rPr>
          <w:b/>
          <w:bCs/>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40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rFonts w:ascii="Times New Roman" w:hAnsi="Times New Roman" w:eastAsia="Times New Roman" w:cs="Times New Roman"/>
                <w:color w:val="000000"/>
                <w:sz w:val="24"/>
              </w:rPr>
              <w:t xml:space="preserve">Thôn Ngoại Trạch 1, xã Bình Nguyên,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Quất Lưu, Huyện Bình Xuyên, Tỉnh Vĩnh Phúc (nay là </w:t>
            </w:r>
            <w:r>
              <w:rPr>
                <w:rFonts w:ascii="Times New Roman" w:hAnsi="Times New Roman" w:eastAsia="Times New Roman" w:cs="Times New Roman"/>
                <w:color w:val="000000"/>
                <w:sz w:val="24"/>
              </w:rPr>
              <w:t xml:space="preserve">xã Bình Nguyên, tỉnh Phú Thọ</w:t>
            </w:r>
            <w:r>
              <w:rPr>
                <w:color w:val="000000" w:themeColor="text1"/>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Tam Hợp, Huyện Bình Xuyên, Tỉnh Vĩnh Phúc </w:t>
            </w:r>
            <w:r>
              <w:rPr>
                <w:color w:val="000000" w:themeColor="text1"/>
                <w:sz w:val="22"/>
                <w:szCs w:val="22"/>
              </w:rPr>
              <w:t xml:space="preserve">(nay là </w:t>
            </w:r>
            <w:r>
              <w:rPr>
                <w:rFonts w:ascii="Times New Roman" w:hAnsi="Times New Roman" w:eastAsia="Times New Roman" w:cs="Times New Roman"/>
                <w:color w:val="000000"/>
                <w:sz w:val="24"/>
              </w:rPr>
              <w:t xml:space="preserve">xã Bình Nguyên, tỉnh Phú Thọ</w:t>
            </w:r>
            <w:r>
              <w:rPr>
                <w:color w:val="000000" w:themeColor="text1"/>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Hương Sơn, Huyện Bình Xuyên, Tỉnh Vĩnh Phúc </w:t>
            </w:r>
            <w:r>
              <w:rPr>
                <w:color w:val="000000" w:themeColor="text1"/>
                <w:sz w:val="22"/>
                <w:szCs w:val="22"/>
              </w:rPr>
              <w:t xml:space="preserve">(nay là </w:t>
            </w:r>
            <w:r>
              <w:rPr>
                <w:rFonts w:ascii="Times New Roman" w:hAnsi="Times New Roman" w:eastAsia="Times New Roman" w:cs="Times New Roman"/>
                <w:color w:val="000000"/>
                <w:sz w:val="24"/>
              </w:rPr>
              <w:t xml:space="preserve">xã Bình Xuyên, tỉnh Phú Thọ</w:t>
            </w:r>
            <w:r>
              <w:rPr>
                <w:color w:val="000000" w:themeColor="text1"/>
                <w:sz w:val="22"/>
                <w:szCs w:val="22"/>
              </w:rPr>
              <w:t xml:space="preserve">)</w:t>
            </w:r>
            <w:r>
              <w:rPr>
                <w:sz w:val="22"/>
                <w:szCs w:val="22"/>
              </w:rPr>
            </w:r>
            <w:r>
              <w:rPr>
                <w:sz w:val="22"/>
                <w:szCs w:val="22"/>
              </w:rPr>
            </w:r>
          </w:p>
        </w:tc>
      </w:tr>
      <w:tr>
        <w:trPr>
          <w:trHeight w:val="40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0983757629</w:t>
            </w:r>
            <w:r>
              <w:rPr>
                <w:sz w:val="22"/>
                <w:szCs w:val="22"/>
              </w:rPr>
              <w:t xml:space="preserve"> </w:t>
            </w:r>
            <w:r>
              <w:rPr>
                <w:sz w:val="22"/>
                <w:szCs w:val="22"/>
              </w:rPr>
              <w:br/>
              <w:t xml:space="preserve">(</w:t>
            </w:r>
            <w:r>
              <w:rPr>
                <w:sz w:val="22"/>
                <w:szCs w:val="22"/>
              </w:rPr>
              <w:t xml:space="preserve">anh Hoan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0865430618</w:t>
            </w:r>
            <w:r>
              <w:rPr>
                <w:sz w:val="22"/>
                <w:szCs w:val="22"/>
              </w:rPr>
              <w:br/>
            </w:r>
            <w:r>
              <w:rPr>
                <w:sz w:val="22"/>
                <w:szCs w:val="22"/>
              </w:rPr>
              <w:t xml:space="preserve">(</w:t>
            </w:r>
            <w:r>
              <w:rPr>
                <w:sz w:val="22"/>
                <w:szCs w:val="22"/>
              </w:rPr>
              <w:t xml:space="preserve">Hoàng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0989916263</w:t>
            </w:r>
            <w:r>
              <w:rPr>
                <w:sz w:val="22"/>
                <w:szCs w:val="22"/>
              </w:rPr>
              <w:br/>
            </w:r>
            <w:r>
              <w:rPr>
                <w:sz w:val="22"/>
                <w:szCs w:val="22"/>
              </w:rPr>
              <w:t xml:space="preserve">(</w:t>
            </w:r>
            <w:r>
              <w:rPr>
                <w:sz w:val="22"/>
                <w:szCs w:val="22"/>
              </w:rPr>
              <w:t xml:space="preserve">chị Thủy</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(300 m²), Đất trồng cây lâu năm (774,8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(150</w:t>
            </w:r>
            <w:r>
              <w:rPr>
                <w:color w:val="000000" w:themeColor="text1"/>
                <w:sz w:val="22"/>
                <w:szCs w:val="22"/>
              </w:rPr>
              <w:t xml:space="preserve">m²</w:t>
            </w:r>
            <w:r>
              <w:rPr>
                <w:color w:val="000000" w:themeColor="text1"/>
                <w:sz w:val="22"/>
                <w:szCs w:val="22"/>
              </w:rPr>
              <w:t xml:space="preserve">),Đất trồng cây lâu năm (36,4</w:t>
            </w:r>
            <w:r>
              <w:rPr>
                <w:color w:val="000000" w:themeColor="text1"/>
                <w:sz w:val="22"/>
                <w:szCs w:val="22"/>
              </w:rPr>
              <w:t xml:space="preserve">m²</w:t>
            </w: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(33,3</w:t>
            </w:r>
            <w:r>
              <w:rPr>
                <w:color w:val="000000" w:themeColor="text1"/>
                <w:sz w:val="22"/>
                <w:szCs w:val="22"/>
              </w:rPr>
              <w:t xml:space="preserve">m²</w:t>
            </w:r>
            <w:r>
              <w:rPr>
                <w:color w:val="000000" w:themeColor="text1"/>
                <w:sz w:val="22"/>
                <w:szCs w:val="22"/>
              </w:rPr>
              <w:t xml:space="preserve">),Đất trồng cây lâu năm (85,8)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(300</w:t>
            </w:r>
            <w:r>
              <w:rPr>
                <w:color w:val="000000" w:themeColor="text1"/>
                <w:sz w:val="22"/>
                <w:szCs w:val="22"/>
              </w:rPr>
              <w:t xml:space="preserve">m²</w:t>
            </w:r>
            <w:r>
              <w:rPr>
                <w:color w:val="000000" w:themeColor="text1"/>
                <w:sz w:val="22"/>
                <w:szCs w:val="22"/>
              </w:rPr>
              <w:t xml:space="preserve">),Đất trồng cây lâu năm (</w:t>
            </w:r>
            <w:r>
              <w:rPr>
                <w:color w:val="000000" w:themeColor="text1"/>
                <w:sz w:val="22"/>
                <w:szCs w:val="22"/>
              </w:rPr>
              <w:t xml:space="preserve">m²</w:t>
            </w:r>
            <w:r>
              <w:rPr>
                <w:color w:val="000000" w:themeColor="text1"/>
                <w:sz w:val="22"/>
                <w:szCs w:val="22"/>
              </w:rPr>
              <w:t xml:space="preserve">)</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Đất ở tại nông thôn: Lâu dài; Đất trồng cây lâu năm: đến ngày 15/10/2043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Đất ở tại nông thôn: Lâu dài; Đất trồng cây lâu năm: đến ngày 15/10/2043</w:t>
            </w:r>
            <w:r>
              <w:rPr>
                <w:rFonts w:ascii="Times New Roman" w:hAnsi="Times New Roman" w:eastAsia="Times New Roman" w:cs="Times New Roman"/>
                <w:sz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Đất ở tại nông thôn: Lâu dài; Đất trồng cây lâu năm: đến ngày 15/10/2043</w:t>
            </w:r>
            <w:r>
              <w:rPr>
                <w:rFonts w:ascii="Times New Roman" w:hAnsi="Times New Roman" w:eastAsia="Times New Roman" w:cs="Times New Roman"/>
                <w:sz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Đất ở tại nông thôn: Lâu dài; Đất trồng cây lâu năm: đến ngày 15/10/2043</w:t>
            </w:r>
            <w:r>
              <w:rPr>
                <w:rFonts w:ascii="Times New Roman" w:hAnsi="Times New Roman" w:eastAsia="Times New Roman" w:cs="Times New Roman"/>
                <w:sz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rFonts w:ascii="Times New Roman" w:hAnsi="Times New Roman" w:eastAsia="Times New Roman" w:cs="Times New Roman"/>
                <w:color w:val="000000"/>
                <w:sz w:val="24"/>
              </w:rPr>
              <w:t xml:space="preserve">Thôn Ngoại Trạch 1, xã Bình Nguyên, tỉnh Phú Thọ</w:t>
            </w:r>
            <w:r>
              <w:rPr>
                <w:sz w:val="22"/>
                <w:szCs w:val="22"/>
              </w:rPr>
            </w:r>
            <w:r>
              <w:rPr>
                <w:sz w:val="22"/>
                <w:szCs w:val="22"/>
              </w:rPr>
            </w:r>
          </w:p>
          <w:p>
            <w:pPr>
              <w:pBdr/>
              <w:spacing/>
              <w:ind/>
              <w:jc w:val="center"/>
              <w:rPr>
                <w:color w:val="000000"/>
                <w:sz w:val="22"/>
                <w:szCs w:val="22"/>
              </w:rPr>
            </w:pPr>
            <w:r>
              <w:rPr>
                <w:color w:val="000000" w:themeColor="text1"/>
                <w:sz w:val="22"/>
                <w:szCs w:val="22"/>
              </w:rPr>
              <w:t xml:space="preserve">, cách DT302 khoảng 300m,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Xã Quất Lưu, Huyện Bình Xuyên, Tỉnh Vĩnh Phúc (nay là </w:t>
            </w:r>
            <w:r>
              <w:rPr>
                <w:rFonts w:ascii="Times New Roman" w:hAnsi="Times New Roman" w:eastAsia="Times New Roman" w:cs="Times New Roman"/>
                <w:color w:val="000000"/>
                <w:sz w:val="24"/>
              </w:rPr>
              <w:t xml:space="preserve">xã Bình Nguyên, tỉnh Phú Thọ</w:t>
            </w:r>
            <w:r>
              <w:rPr>
                <w:color w:val="000000" w:themeColor="text1"/>
                <w:sz w:val="22"/>
                <w:szCs w:val="22"/>
              </w:rPr>
              <w:t xml:space="preserve">)</w:t>
            </w:r>
            <w:r>
              <w:rPr>
                <w:sz w:val="22"/>
                <w:szCs w:val="22"/>
              </w:rPr>
            </w:r>
            <w:r>
              <w:rPr>
                <w:sz w:val="22"/>
                <w:szCs w:val="22"/>
              </w:rPr>
            </w:r>
          </w:p>
          <w:p>
            <w:pPr>
              <w:pBdr/>
              <w:spacing/>
              <w:ind/>
              <w:jc w:val="center"/>
              <w:rPr>
                <w:color w:val="000000"/>
                <w:sz w:val="22"/>
                <w:szCs w:val="22"/>
              </w:rPr>
            </w:pPr>
            <w:r>
              <w:rPr>
                <w:color w:val="000000" w:themeColor="text1"/>
                <w:sz w:val="22"/>
                <w:szCs w:val="22"/>
              </w:rPr>
              <w:t xml:space="preserve">, cách QL2A khoảng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Xã Tam Hợp, Huyện Bình Xuyên, Tỉnh Vĩnh Phúc </w:t>
            </w:r>
            <w:r>
              <w:rPr>
                <w:color w:val="000000" w:themeColor="text1"/>
                <w:sz w:val="22"/>
                <w:szCs w:val="22"/>
              </w:rPr>
              <w:t xml:space="preserve">(nay là </w:t>
            </w:r>
            <w:r>
              <w:rPr>
                <w:rFonts w:ascii="Times New Roman" w:hAnsi="Times New Roman" w:eastAsia="Times New Roman" w:cs="Times New Roman"/>
                <w:color w:val="000000"/>
                <w:sz w:val="24"/>
              </w:rPr>
              <w:t xml:space="preserve">xã Bình Nguyên, tỉnh Phú Thọ</w:t>
            </w:r>
            <w:r>
              <w:rPr>
                <w:color w:val="000000" w:themeColor="text1"/>
                <w:sz w:val="22"/>
                <w:szCs w:val="22"/>
              </w:rPr>
              <w:t xml:space="preserve">)</w:t>
            </w:r>
            <w:r>
              <w:rPr>
                <w:color w:val="000000" w:themeColor="text1"/>
                <w:sz w:val="22"/>
                <w:szCs w:val="22"/>
              </w:rPr>
              <w:t xml:space="preserve">, Cách DT khoảng 250m</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Xã Hương Sơn, Huyện Bình Xuyên, Tỉnh Vĩnh Phúc </w:t>
            </w:r>
            <w:r>
              <w:rPr>
                <w:color w:val="000000" w:themeColor="text1"/>
                <w:sz w:val="22"/>
                <w:szCs w:val="22"/>
              </w:rPr>
              <w:t xml:space="preserve">(nay là </w:t>
            </w:r>
            <w:r>
              <w:rPr>
                <w:rFonts w:ascii="Times New Roman" w:hAnsi="Times New Roman" w:eastAsia="Times New Roman" w:cs="Times New Roman"/>
                <w:color w:val="000000"/>
                <w:sz w:val="24"/>
              </w:rPr>
              <w:t xml:space="preserve">xã Bình Xuyên, tỉnh Phú Thọ</w:t>
            </w:r>
            <w:r>
              <w:rPr>
                <w:color w:val="000000" w:themeColor="text1"/>
                <w:sz w:val="22"/>
                <w:szCs w:val="22"/>
              </w:rPr>
              <w:t xml:space="preserve">)</w:t>
            </w:r>
            <w:r>
              <w:rPr>
                <w:color w:val="000000" w:themeColor="text1"/>
                <w:sz w:val="22"/>
                <w:szCs w:val="22"/>
              </w:rPr>
              <w:t xml:space="preserve">, cách DT302 khoảng 300m</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1074,8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119,1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774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29,36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8,71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Bị che khuất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Ngõ cụt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Ngõ cụt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Không có bất lợi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2.025.000.000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5.940.000.000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2.025.000.000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5.940.000.000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10.863.734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9.068.010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7.674.419</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2.025.000.000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1.080.000.000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5.940.000.000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10.863.734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9.068.010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7.674.419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10.863.734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9.068.010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7.674.419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ở nông thôn (300 m²), Đất trồng cây lâu năm (774,8 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ở nông thôn (150m²),Đất trồng cây lâu năm (36,4m²)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ở nông thôn (33,3m²),Đất trồng cây lâu năm (85,8)</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ở nông thôn (300m²),Đất trồng cây lâu năm (m²)</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-1.303.648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-537.209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9.560.086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9.068.010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7.137.210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ở tại nông thôn: Lâu dài; Đất trồng cây lâu năm: đến ngày 15/10/2043</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ở tại nông thôn: Lâu dài; Đất trồng cây lâu năm: đến ngày 15/10/2043</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ở tại nông thôn: Lâu dài; Đất trồng cây lâu năm: đến ngày 15/10/2043</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ở tại nông thôn: Lâu dài; Đất trồng cây lâu năm: đến ngày 15/10/2043</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9.560.086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9.068.010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7.137.210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Thôn Ngoại Trạch 1, xã Bình Nguyên, tỉnh Phú Thọ</w:t>
            </w:r>
            <w:r/>
          </w:p>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cách DT302 khoảng 300m,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Quất Lưu, Huyện Bình Xuyên, Tỉnh Vĩnh Phúc (nay là </w:t>
            </w:r>
            <w:r>
              <w:rPr>
                <w:rFonts w:ascii="Times New Roman" w:hAnsi="Times New Roman" w:eastAsia="Times New Roman" w:cs="Times New Roman"/>
                <w:color w:val="000000"/>
                <w:sz w:val="24"/>
              </w:rPr>
              <w:t xml:space="preserve">xã Bình Nguyên, tỉnh Phú Thọ</w:t>
            </w:r>
            <w:r>
              <w:rPr>
                <w:rFonts w:ascii="Times New Roman" w:hAnsi="Times New Roman" w:eastAsia="Times New Roman" w:cs="Times New Roman"/>
                <w:color w:val="000000"/>
                <w:sz w:val="22"/>
              </w:rPr>
              <w:t xml:space="preserve">)</w:t>
            </w:r>
            <w:r/>
          </w:p>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cách QL2A khoảng 500m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Tam Hợp, Huyện Bình Xuyên, Tỉnh Vĩnh Phúc (nay là </w:t>
            </w:r>
            <w:r>
              <w:rPr>
                <w:rFonts w:ascii="Times New Roman" w:hAnsi="Times New Roman" w:eastAsia="Times New Roman" w:cs="Times New Roman"/>
                <w:color w:val="000000"/>
                <w:sz w:val="24"/>
              </w:rPr>
              <w:t xml:space="preserve">xã Bình Nguyên, tỉnh Phú Thọ</w:t>
            </w:r>
            <w:r>
              <w:rPr>
                <w:rFonts w:ascii="Times New Roman" w:hAnsi="Times New Roman" w:eastAsia="Times New Roman" w:cs="Times New Roman"/>
                <w:color w:val="000000"/>
                <w:sz w:val="22"/>
              </w:rPr>
              <w:t xml:space="preserve">), Cách DT khoảng 250m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Hương Sơn, Huyện Bình Xuyên, Tỉnh Vĩnh Phúc (nay là </w:t>
            </w:r>
            <w:r>
              <w:rPr>
                <w:rFonts w:ascii="Times New Roman" w:hAnsi="Times New Roman" w:eastAsia="Times New Roman" w:cs="Times New Roman"/>
                <w:color w:val="000000"/>
                <w:sz w:val="24"/>
              </w:rPr>
              <w:t xml:space="preserve">xã Bình Xuyên, tỉnh Phú Thọ</w:t>
            </w:r>
            <w:r>
              <w:rPr>
                <w:rFonts w:ascii="Times New Roman" w:hAnsi="Times New Roman" w:eastAsia="Times New Roman" w:cs="Times New Roman"/>
                <w:color w:val="000000"/>
                <w:sz w:val="22"/>
              </w:rPr>
              <w:t xml:space="preserve">), cách DT302 khoảng 300m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9.560.086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9.068.010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7.137.210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325.912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453.401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383.721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9.885.998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9.521.411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7.520.931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1074,8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119,1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774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-2.172.747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-2.267.003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-613.954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7.713.251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7.254.408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6.906.977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29,36</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8,71</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4,71</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18</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869.099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906.801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383.721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8.582.350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8.161.209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7.290.698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543.187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453.401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383.721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9.125.537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8.614.610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7.674.419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Bị che khuất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-453.401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767.442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9.125.537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8.161.209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8.441.861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none"/>
              </w:rPr>
              <w:t xml:space="preserve">Không có bất lợi thương mại</w:t>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Ngõ cụt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Ngõ cụt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none"/>
              </w:rPr>
              <w:t xml:space="preserve">không có bất lợi thương mại</w:t>
            </w:r>
            <w:r>
              <w:rPr>
                <w:b/>
                <w:bCs/>
                <w:color w:val="000000"/>
                <w:sz w:val="22"/>
                <w:szCs w:val="22"/>
                <w:highlight w:val="yellow"/>
              </w:rPr>
            </w:r>
            <w:r>
              <w:rPr>
                <w:b/>
                <w:bCs/>
                <w:color w:val="000000"/>
                <w:sz w:val="22"/>
                <w:szCs w:val="22"/>
                <w:highlight w:val="yellow"/>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543.187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453.401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9.668.724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8.614.610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8.441.861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9.668.724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8.614.610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8.441.861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8.908.398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8,53%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-5,24%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5.757.780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4.987.408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3.069.768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1.195.010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453.400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767.442</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3,3</w:t>
      </w:r>
      <w:r>
        <w:t xml:space="preserve">% </w:t>
      </w:r>
      <w:r>
        <w:t xml:space="preserve">đến</w:t>
      </w:r>
      <w:r>
        <w:t xml:space="preserve"> </w:t>
      </w:r>
      <w:r>
        <w:t xml:space="preserve"> </w:t>
      </w:r>
      <w:r>
        <w:t xml:space="preserve">8,53</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highlight w:val="none"/>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highlight w:val="none"/>
          <w:u w:val="single"/>
        </w:rPr>
      </w:r>
    </w:p>
    <w:p>
      <w:pPr>
        <w:pBdr/>
        <w:spacing w:after="120" w:before="120" w:line="276" w:lineRule="auto"/>
        <w:ind/>
        <w:rPr>
          <w:b/>
          <w:bCs/>
          <w:i/>
          <w:u w:val="single"/>
        </w:rPr>
      </w:pPr>
      <w:r>
        <w:rPr>
          <w:b/>
          <w:bCs/>
          <w:i/>
          <w:u w:val="single"/>
        </w:rPr>
      </w:r>
      <w:r>
        <w:rPr>
          <w:b/>
          <w:bCs/>
          <w:i/>
          <w:u w:val="single"/>
        </w:rPr>
      </w:r>
      <w:r>
        <w:rPr>
          <w:b/>
          <w:bCs/>
          <w:i/>
          <w:u w:val="single"/>
        </w:rPr>
      </w:r>
    </w:p>
    <w:p>
      <w:pPr>
        <w:pBdr/>
        <w:spacing w:after="120" w:before="120" w:line="276" w:lineRule="auto"/>
        <w:ind/>
        <w:rPr>
          <w:b/>
          <w:bCs/>
          <w:i/>
          <w:u w:val="single"/>
        </w:rPr>
      </w:pPr>
      <w:r>
        <w:rPr>
          <w:b/>
          <w:bCs/>
          <w:i/>
          <w:u w:val="single"/>
        </w:rPr>
      </w:r>
      <w:r>
        <w:rPr>
          <w:b/>
          <w:bCs/>
          <w:i/>
          <w:u w:val="single"/>
        </w:rPr>
      </w:r>
      <w:r>
        <w:rPr>
          <w:b/>
          <w:bCs/>
          <w:i/>
          <w:u w:val="single"/>
        </w:rPr>
      </w:r>
    </w:p>
    <w:p>
      <w:pPr>
        <w:pBdr/>
        <w:spacing w:after="120" w:before="120" w:line="276" w:lineRule="auto"/>
        <w:ind/>
        <w:rPr>
          <w:b/>
          <w:bCs/>
          <w:i/>
          <w:u w:val="single"/>
        </w:rPr>
      </w:pPr>
      <w:r>
        <w:rPr>
          <w:b/>
          <w:bCs/>
          <w:i/>
          <w:u w:val="single"/>
        </w:rPr>
      </w:r>
      <w:r>
        <w:rPr>
          <w:b/>
          <w:bCs/>
          <w:i/>
          <w:u w:val="single"/>
        </w:rPr>
      </w:r>
      <w:r>
        <w:rPr>
          <w:b/>
          <w:bCs/>
          <w:i/>
          <w:u w:val="single"/>
        </w:rPr>
      </w:r>
    </w:p>
    <w:p>
      <w:pPr>
        <w:pBdr/>
        <w:spacing w:after="120" w:before="120" w:line="276" w:lineRule="auto"/>
        <w:ind/>
        <w:rPr>
          <w:b/>
          <w:bCs/>
          <w:i/>
          <w:u w:val="single"/>
        </w:rPr>
      </w:pPr>
      <w:r>
        <w:rPr>
          <w:b/>
          <w:bCs/>
          <w:i/>
          <w:iCs/>
          <w:highlight w:val="none"/>
          <w:u w:val="single"/>
        </w:rPr>
      </w:r>
      <w:r>
        <w:rPr>
          <w:b/>
          <w:bCs/>
          <w:i/>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9.668.724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3.223.553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8.614.610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2.871.250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8.441.861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2.813.672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8.908.475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8.908.000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8.908.000</w:t>
      </w:r>
      <w:r>
        <w:rPr>
          <w:b/>
          <w:bCs/>
          <w:color w:val="000000" w:themeColor="text1"/>
        </w:rPr>
        <w:t xml:space="preserve"> </w:t>
      </w:r>
      <w:r>
        <w:rPr>
          <w:b/>
          <w:bCs/>
        </w:rPr>
        <w:t xml:space="preserve">đồng</w:t>
      </w:r>
      <w:r>
        <w:rPr>
          <w:b/>
          <w:bCs/>
        </w:rPr>
        <w:t xml:space="preserve">/m².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90"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69"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both"/>
              <w:rPr/>
            </w:pPr>
            <w:r>
              <w:rPr>
                <w:rFonts w:ascii="Times New Roman" w:hAnsi="Times New Roman" w:eastAsia="Times New Roman" w:cs="Times New Roman"/>
                <w:color w:val="000000"/>
                <w:sz w:val="24"/>
              </w:rPr>
              <w:t xml:space="preserve">Quyền sử dụng đất tại thửa đất số: 224, tờ bản đồ số 119 có địa chỉ: Thôn Ngoại Trạch 1, xã Bình Nguyên, tỉnh Phú Thọ theo Giấy chứng nhận quyền sử dụng đất, quyền sở hữu tài sản gắn liền với đất  số: AA 04737384, số vào sổ cấp GCN: CN 13114 do Chi nhánh v</w:t>
            </w:r>
            <w:r>
              <w:rPr>
                <w:rFonts w:ascii="Times New Roman" w:hAnsi="Times New Roman" w:eastAsia="Times New Roman" w:cs="Times New Roman"/>
                <w:color w:val="000000"/>
                <w:sz w:val="24"/>
              </w:rPr>
              <w:t xml:space="preserve">ăn phòng đăng ký đất đai Bình Xuyên cấp ngày 13/11/2025; Chủ sử dụng đất là Ông: Phùng Quang Thảo và vợ: Nguyễn Thị Huyên</w:t>
            </w:r>
            <w:r>
              <w:rPr>
                <w:sz w:val="22"/>
              </w:rPr>
            </w: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highlight w:val="yellow"/>
              </w:rPr>
            </w:pPr>
            <w:r>
              <w:rPr>
                <w:b/>
                <w:bCs/>
                <w:highlight w:val="yellow"/>
              </w:rPr>
            </w:r>
            <w:r>
              <w:rPr>
                <w:highlight w:val="yellow"/>
              </w:rPr>
            </w:r>
          </w:p>
        </w:tc>
        <w:tc>
          <w:tcPr>
            <w:shd w:val="clear" w:color="000000" w:fill="ffffff"/>
            <w:tcBorders/>
            <w:tcW w:w="2090" w:type="dxa"/>
            <w:vAlign w:val="center"/>
            <w:textDirection w:val="lrTb"/>
            <w:noWrap w:val="false"/>
          </w:tcPr>
          <w:p>
            <w:pPr>
              <w:pBdr/>
              <w:spacing w:after="40" w:before="40" w:line="288" w:lineRule="auto"/>
              <w:ind/>
              <w:rPr>
                <w:b/>
                <w:bCs/>
                <w:color w:val="000000" w:themeColor="text1"/>
                <w:sz w:val="24"/>
                <w:szCs w:val="24"/>
              </w:rPr>
            </w:pPr>
            <w:r>
              <w:rPr>
                <w:b/>
                <w:bCs/>
                <w:color w:val="000000" w:themeColor="text1"/>
              </w:rPr>
              <w:t xml:space="preserve">Quy</w:t>
            </w:r>
            <w:r>
              <w:rPr>
                <w:b/>
                <w:bCs/>
                <w:color w:val="000000" w:themeColor="text1"/>
                <w:sz w:val="24"/>
                <w:szCs w:val="24"/>
              </w:rPr>
              <w:t xml:space="preserve">ền sử dụng đấ</w:t>
            </w:r>
            <w:r>
              <w:rPr>
                <w:b/>
                <w:bCs/>
                <w:color w:val="000000" w:themeColor="text1"/>
                <w:sz w:val="24"/>
                <w:szCs w:val="24"/>
              </w:rPr>
              <w:t xml:space="preserve">t (</w:t>
            </w:r>
            <w:r>
              <w:rPr>
                <w:rFonts w:ascii="Times New Roman" w:hAnsi="Times New Roman" w:eastAsia="Times New Roman" w:cs="Times New Roman"/>
                <w:b/>
                <w:bCs/>
                <w:color w:val="000000" w:themeColor="text1"/>
                <w:sz w:val="24"/>
                <w:szCs w:val="24"/>
              </w:rPr>
              <w:t xml:space="preserve">Đất ở tại nông thôn 300,0m²; Đất trồng cây lâu năm 774,8m²)</w:t>
            </w:r>
            <w:r>
              <w:rPr>
                <w:b/>
                <w:bCs/>
                <w:color w:val="000000" w:themeColor="text1"/>
                <w:sz w:val="24"/>
                <w:szCs w:val="24"/>
              </w:rPr>
            </w:r>
            <w:r>
              <w:rPr>
                <w:b/>
                <w:bCs/>
                <w:color w:val="000000" w:themeColor="text1"/>
                <w:sz w:val="24"/>
                <w:szCs w:val="24"/>
              </w:rPr>
            </w:r>
            <w:r>
              <w:rPr>
                <w:b/>
                <w:bCs/>
                <w:highlight w:val="yellow"/>
              </w:rPr>
            </w:r>
            <w:r>
              <w:rPr>
                <w:highlight w:val="yellow"/>
              </w:rPr>
            </w:r>
            <w:r>
              <w:rPr>
                <w:b/>
                <w:bCs/>
                <w:color w:val="000000" w:themeColor="text1"/>
                <w:sz w:val="24"/>
                <w:szCs w:val="24"/>
              </w:rPr>
            </w:r>
          </w:p>
        </w:tc>
        <w:tc>
          <w:tcPr>
            <w:tcBorders/>
            <w:tcW w:w="1869" w:type="dxa"/>
            <w:vAlign w:val="center"/>
            <w:textDirection w:val="lrTb"/>
            <w:noWrap/>
          </w:tcPr>
          <w:p>
            <w:pPr>
              <w:pBdr/>
              <w:spacing w:after="40" w:before="40" w:line="288" w:lineRule="auto"/>
              <w:ind/>
              <w:jc w:val="center"/>
              <w:rPr>
                <w:color w:val="000000"/>
                <w:highlight w:val="yellow"/>
              </w:rPr>
            </w:pPr>
            <w:r>
              <w:rPr>
                <w:color w:val="000000" w:themeColor="text1"/>
                <w:highlight w:val="none"/>
              </w:rPr>
              <w:t xml:space="preserve">1074,8</w:t>
            </w:r>
            <w:r>
              <w:rPr>
                <w:color w:val="000000" w:themeColor="text1"/>
                <w:highlight w:val="yellow"/>
              </w:rPr>
            </w:r>
            <w:r>
              <w:rPr>
                <w:color w:val="000000"/>
                <w:highlight w:val="yellow"/>
              </w:rPr>
            </w:r>
          </w:p>
        </w:tc>
        <w:tc>
          <w:tcPr>
            <w:shd w:val="clear" w:color="000000" w:fill="ffffff"/>
            <w:tcBorders/>
            <w:tcW w:w="2646"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8.908.000</w:t>
            </w:r>
            <w:r>
              <w:rPr>
                <w:highlight w:val="white"/>
              </w:rPr>
            </w:r>
          </w:p>
        </w:tc>
        <w:tc>
          <w:tcPr>
            <w:shd w:val="clear" w:color="000000" w:fill="ffffff"/>
            <w:tcBorders/>
            <w:tcW w:w="2229" w:type="dxa"/>
            <w:vAlign w:val="center"/>
            <w:textDirection w:val="lrTb"/>
            <w:noWrap w:val="false"/>
          </w:tcPr>
          <w:p>
            <w:pPr>
              <w:pBdr/>
              <w:spacing w:after="40" w:before="40" w:line="288" w:lineRule="auto"/>
              <w:ind/>
              <w:jc w:val="center"/>
              <w:rPr>
                <w:b/>
                <w:bCs/>
                <w:color w:val="000000"/>
              </w:rPr>
            </w:pPr>
            <w:r>
              <w:t xml:space="preserve">9.574.318.400</w:t>
            </w:r>
            <w:r>
              <w:rPr>
                <w:b/>
                <w:bCs/>
                <w:color w:val="000000"/>
              </w:rPr>
            </w:r>
            <w:r>
              <w:rPr>
                <w:b/>
                <w:bCs/>
                <w:color w:val="000000"/>
              </w:rPr>
            </w:r>
            <w:r>
              <w:rPr>
                <w:color w:val="000000" w:themeColor="text1"/>
                <w:highlight w:val="yellow"/>
              </w:rPr>
            </w:r>
            <w:r>
              <w:rPr>
                <w:highlight w:val="yellow"/>
              </w:rPr>
            </w:r>
            <w:r>
              <w:rPr>
                <w:b/>
                <w:bCs/>
                <w:color w:val="000000"/>
              </w:rP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t xml:space="preserve">9.574.318.400</w:t>
            </w:r>
            <w:r>
              <w:rPr>
                <w:b/>
                <w:bCs/>
                <w:color w:val="000000"/>
              </w:rPr>
            </w:r>
            <w:r>
              <w:rPr>
                <w:b/>
                <w:bCs/>
                <w:color w:val="000000"/>
              </w:rP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color w:val="000000"/>
              </w:rPr>
              <w:t xml:space="preserve">9.574.300.000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Chín tỷ năm trăm bảy mươi bốn triệu ba trăm nghìn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tabs>
          <w:tab w:val="left" w:leader="none" w:pos="993"/>
        </w:tabs>
        <w:spacing w:after="120" w:before="120" w:line="288" w:lineRule="auto"/>
        <w:ind/>
        <w:jc w:val="both"/>
        <w:rPr>
          <w:bCs/>
          <w:spacing w:val="-2"/>
          <w:lang w:val="pt-BR"/>
        </w:rPr>
      </w:pPr>
      <w:r>
        <w:rPr>
          <w:bCs/>
          <w:spacing w:val="-2"/>
          <w:lang w:val="pt-BR"/>
        </w:rPr>
      </w:r>
      <w:r>
        <w:rPr>
          <w:rFonts w:ascii="Times New Roman" w:hAnsi="Times New Roman" w:eastAsia="Times New Roman" w:cs="Times New Roman"/>
          <w:color w:val="000000"/>
          <w:sz w:val="24"/>
        </w:rPr>
        <w:t xml:space="preserve">Tại thời điểm khảo sát, CTXD gắn liền với đất là một nhà một tầng xây dựng năm 2023, diện tích xây dựng khoảng 500m². CTXD tại thời điểm khảo sát chưa  được chứng nhận trên Giấy chứng nhận quyền sử dụng đất quyền sở tài sản gắn liền với đất số: AA 04737384</w:t>
      </w:r>
      <w:r>
        <w:rPr>
          <w:rFonts w:ascii="Times New Roman" w:hAnsi="Times New Roman" w:eastAsia="Times New Roman" w:cs="Times New Roman"/>
          <w:color w:val="000000"/>
          <w:sz w:val="24"/>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bCs/>
          <w:spacing w:val="-2"/>
          <w:lang w:val="pt-BR"/>
        </w:rPr>
      </w:r>
      <w:r>
        <w:rPr>
          <w:bCs/>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275/2026/0232/VFI-CT.65.A</w:t>
      </w:r>
      <w:r>
        <w:rPr>
          <w:color w:val="ff0000"/>
          <w:lang w:val="vi-VN"/>
        </w:rPr>
        <w:t xml:space="preserve"> </w:t>
      </w:r>
      <w:r>
        <w:rPr>
          <w:color w:val="000000" w:themeColor="text1"/>
        </w:rPr>
        <w:t xml:space="preserve">ngày 30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275/2026/0232/VFI-BC.65.A ngày</w:t>
      </w:r>
      <w:r>
        <w:rPr>
          <w:i/>
          <w:lang w:val="pt-BR"/>
        </w:rPr>
        <w:t xml:space="preserve"> </w:t>
      </w:r>
      <w:r>
        <w:rPr>
          <w:i/>
          <w:lang w:val="pt-BR"/>
        </w:rPr>
        <w:t xml:space="preserve">30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22103" cy="2356704"/>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333913" name=""/>
                              <pic:cNvPicPr>
                                <a:picLocks noChangeAspect="1"/>
                              </pic:cNvPicPr>
                              <pic:nvPr/>
                            </pic:nvPicPr>
                            <pic:blipFill rotWithShape="1">
                              <a:blip r:embed="rId18"/>
                              <a:stretch/>
                            </pic:blipFill>
                            <pic:spPr bwMode="auto">
                              <a:xfrm flipH="0" flipV="0">
                                <a:off x="0" y="0"/>
                                <a:ext cx="1922102" cy="23567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51.35pt;height:185.57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72331" cy="237924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09465" name=""/>
                              <pic:cNvPicPr>
                                <a:picLocks noChangeAspect="1"/>
                              </pic:cNvPicPr>
                              <pic:nvPr/>
                            </pic:nvPicPr>
                            <pic:blipFill rotWithShape="1">
                              <a:blip r:embed="rId19"/>
                              <a:stretch/>
                            </pic:blipFill>
                            <pic:spPr bwMode="auto">
                              <a:xfrm flipH="0" flipV="0">
                                <a:off x="0" y="0"/>
                                <a:ext cx="3172331" cy="23792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49.79pt;height:187.3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bl>
    <w:p>
      <w:pPr>
        <w:pBdr/>
        <w:spacing/>
        <w:ind/>
        <w:rPr>
          <w:sz w:val="2"/>
          <w:szCs w:val="2"/>
        </w:rPr>
      </w:pPr>
      <w:r>
        <w:rPr>
          <w:sz w:val="2"/>
          <w:szCs w:val="2"/>
        </w:rPr>
      </w:r>
      <w:r>
        <w:rPr>
          <w:sz w:val="2"/>
          <w:szCs w:val="2"/>
        </w:rPr>
      </w:r>
      <w:r>
        <w:rPr>
          <w:sz w:val="2"/>
          <w:szCs w:val="2"/>
        </w:rPr>
      </w:r>
    </w:p>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342"/>
        <w:gridCol w:w="5183"/>
      </w:tblGrid>
      <w:tr>
        <w:trPr/>
        <w:tc>
          <w:tcPr>
            <w:tcBorders/>
            <w:tcW w:w="4342"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5183"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342"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80077" cy="237674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80855" name=""/>
                              <pic:cNvPicPr>
                                <a:picLocks noChangeAspect="1"/>
                              </pic:cNvPicPr>
                              <pic:nvPr/>
                            </pic:nvPicPr>
                            <pic:blipFill rotWithShape="1">
                              <a:blip r:embed="rId20"/>
                              <a:stretch/>
                            </pic:blipFill>
                            <pic:spPr bwMode="auto">
                              <a:xfrm flipH="0" flipV="0">
                                <a:off x="0" y="0"/>
                                <a:ext cx="1880077" cy="23767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8.04pt;height:187.1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5183"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54036" cy="236552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23393" name=""/>
                              <pic:cNvPicPr>
                                <a:picLocks noChangeAspect="1"/>
                              </pic:cNvPicPr>
                              <pic:nvPr/>
                            </pic:nvPicPr>
                            <pic:blipFill rotWithShape="1">
                              <a:blip r:embed="rId21"/>
                              <a:stretch/>
                            </pic:blipFill>
                            <pic:spPr bwMode="auto">
                              <a:xfrm flipH="0" flipV="0">
                                <a:off x="0" y="0"/>
                                <a:ext cx="3154035" cy="23655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8.35pt;height:186.2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342"/>
        <w:gridCol w:w="5183"/>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84658" cy="208849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9188" name=""/>
                              <pic:cNvPicPr>
                                <a:picLocks noChangeAspect="1"/>
                              </pic:cNvPicPr>
                              <pic:nvPr/>
                            </pic:nvPicPr>
                            <pic:blipFill rotWithShape="1">
                              <a:blip r:embed="rId22"/>
                              <a:stretch/>
                            </pic:blipFill>
                            <pic:spPr bwMode="auto">
                              <a:xfrm flipH="0" flipV="0">
                                <a:off x="0" y="0"/>
                                <a:ext cx="2784658" cy="20884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9.26pt;height:164.45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89485" cy="209211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91174" name=""/>
                              <pic:cNvPicPr>
                                <a:picLocks noChangeAspect="1"/>
                              </pic:cNvPicPr>
                              <pic:nvPr/>
                            </pic:nvPicPr>
                            <pic:blipFill rotWithShape="1">
                              <a:blip r:embed="rId23"/>
                              <a:stretch/>
                            </pic:blipFill>
                            <pic:spPr bwMode="auto">
                              <a:xfrm flipH="0" flipV="0">
                                <a:off x="0" y="0"/>
                                <a:ext cx="2789483" cy="20921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9.64pt;height:164.73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275/2026/0232/VFI-BC.65.A ngày</w:t>
      </w:r>
      <w:r>
        <w:rPr>
          <w:i/>
          <w:lang w:val="pt-BR"/>
        </w:rPr>
        <w:t xml:space="preserve"> </w:t>
      </w:r>
      <w:r>
        <w:rPr>
          <w:i/>
          <w:lang w:val="pt-BR"/>
        </w:rPr>
        <w:t xml:space="preserve">30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0983757629</w:t>
            </w:r>
            <w:r>
              <w:rPr>
                <w:sz w:val="22"/>
                <w:szCs w:val="22"/>
              </w:rPr>
              <w:t xml:space="preserve"> </w:t>
            </w:r>
            <w:r>
              <w:rPr>
                <w:sz w:val="22"/>
                <w:szCs w:val="22"/>
              </w:rPr>
              <w:br/>
              <w:t xml:space="preserve">(anh Hoan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Đất ở nông thôn (150m²),Đất trồng cây lâu năm (36,4m²)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Đất ở tại nông thôn: Lâu dài; Đất trồng cây lâu năm: đến ngày 15/10/2043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ài sản tại: Xã Quất Lưu, Huyện Bình Xuyên, Tỉnh Vĩnh Phúc (nay là </w:t>
            </w:r>
            <w:r>
              <w:rPr>
                <w:rFonts w:ascii="Times New Roman" w:hAnsi="Times New Roman" w:eastAsia="Times New Roman" w:cs="Times New Roman"/>
                <w:color w:val="000000"/>
                <w:sz w:val="24"/>
              </w:rPr>
              <w:t xml:space="preserve">xã Bình Nguyên, tỉnh Phú Thọ</w:t>
            </w:r>
            <w:r>
              <w:rPr>
                <w:rFonts w:ascii="Times New Roman" w:hAnsi="Times New Roman" w:eastAsia="Times New Roman" w:cs="Times New Roman"/>
                <w:color w:val="000000"/>
                <w:sz w:val="22"/>
              </w:rPr>
              <w:t xml:space="preserve">)</w:t>
            </w:r>
            <w:r>
              <w:rPr>
                <w:rFonts w:ascii="Times New Roman" w:hAnsi="Times New Roman" w:eastAsia="Times New Roman" w:cs="Times New Roman"/>
                <w:color w:val="000000"/>
                <w:sz w:val="22"/>
              </w:rPr>
              <w:t xml:space="preserve">, cách QL2A khoảng 500m</w:t>
            </w:r>
            <w:r>
              <w:rPr>
                <w:sz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186,4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8,71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Không có lợi thế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40715" cy="3335952"/>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flipH="0" flipV="0">
                                <a:off x="0" y="0"/>
                                <a:ext cx="5540715" cy="333595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36.28pt;height:262.67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41782" cy="2124075"/>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2741782" cy="21240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5.89pt;height:167.25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44959" cy="2124075"/>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744958" cy="21240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6.14pt;height:167.25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521665" cy="3123072"/>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5521664" cy="312307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34.78pt;height:245.91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Hồng Phúc</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0865430618</w:t>
            </w:r>
            <w:r>
              <w:rPr>
                <w:sz w:val="22"/>
                <w:szCs w:val="22"/>
              </w:rPr>
              <w:t xml:space="preserve"> </w:t>
            </w:r>
            <w:r>
              <w:rPr>
                <w:sz w:val="22"/>
                <w:szCs w:val="22"/>
              </w:rPr>
              <w:br/>
              <w:t xml:space="preserve">(Hoàng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Đất ở nông thôn (33,3m²),Đất trồng cây lâu năm (85,8)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Đất ở tại nông thôn: Lâu dài; Đất trồng cây lâu năm: đến ngày 15/10/2043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Tài sản tại: Xã Tam Hợp, Huyện Bình Xuyên, Tỉnh Vĩnh Phúc (nay là </w:t>
            </w:r>
            <w:r>
              <w:rPr>
                <w:rFonts w:ascii="Times New Roman" w:hAnsi="Times New Roman" w:eastAsia="Times New Roman" w:cs="Times New Roman"/>
                <w:color w:val="000000"/>
                <w:sz w:val="24"/>
              </w:rPr>
              <w:t xml:space="preserve">xã Bình Nguyên, tỉnh Phú Thọ</w:t>
            </w:r>
            <w:r>
              <w:rPr>
                <w:rFonts w:ascii="Times New Roman" w:hAnsi="Times New Roman" w:eastAsia="Times New Roman" w:cs="Times New Roman"/>
                <w:color w:val="000000"/>
                <w:sz w:val="22"/>
              </w:rPr>
              <w:t xml:space="preserve">), Cách DT khoảng 250m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119,1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02615" cy="3804069"/>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5502614" cy="380406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33.28pt;height:299.53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30815" cy="2612485"/>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530814" cy="2612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99.28pt;height:205.71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21340" cy="2633379"/>
                      <wp:effectExtent l="0" t="0" r="0" b="0"/>
                      <wp:docPr id="18" name=""/>
                      <wp:cNvGraphicFramePr/>
                      <a:graphic xmlns:a="http://schemas.openxmlformats.org/drawingml/2006/main">
                        <a:graphicData uri="http://schemas.openxmlformats.org/drawingml/2006/picture">
                          <pic:pic xmlns:pic="http://schemas.openxmlformats.org/drawingml/2006/picture">
                            <pic:nvPicPr>
                              <pic:cNvPr id="1904710119" name="" descr=""/>
                              <pic:cNvPicPr/>
                              <pic:nvPr/>
                            </pic:nvPicPr>
                            <pic:blipFill rotWithShape="1">
                              <a:blip r:embed="rId30"/>
                              <a:stretch/>
                            </pic:blipFill>
                            <pic:spPr bwMode="auto">
                              <a:xfrm rot="0" flipH="0" flipV="0">
                                <a:off x="0" y="0"/>
                                <a:ext cx="2921339" cy="26333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30.03pt;height:207.35pt;mso-wrap-distance-left:0.00pt;mso-wrap-distance-top:0.00pt;mso-wrap-distance-right:0.00pt;mso-wrap-distance-bottom:0.00pt;rotation:0;z-index:1;" stroked="false">
                      <v:imagedata r:id="rId30"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0989916263</w:t>
            </w:r>
            <w:r>
              <w:rPr>
                <w:sz w:val="22"/>
                <w:szCs w:val="22"/>
              </w:rPr>
              <w:t xml:space="preserve"> </w:t>
            </w:r>
            <w:r>
              <w:rPr>
                <w:sz w:val="22"/>
                <w:szCs w:val="22"/>
              </w:rPr>
              <w:br/>
              <w:t xml:space="preserve">(chị Thủy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5.940.000.000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Đất ở nông thôn (300m²),Đất trồng cây lâu năm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Đất ở tại nông thôn: Lâu dài; Đất trồng cây lâu năm: đến ngày 15/10/2043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Tài sản tại: Xã Hương Sơn, Huyện Bình Xuyên, Tỉnh Vĩnh Phúc (nay là </w:t>
            </w:r>
            <w:r>
              <w:rPr>
                <w:rFonts w:ascii="Times New Roman" w:hAnsi="Times New Roman" w:eastAsia="Times New Roman" w:cs="Times New Roman"/>
                <w:color w:val="000000"/>
                <w:sz w:val="24"/>
              </w:rPr>
              <w:t xml:space="preserve">xã Bình Xuyên, tỉnh Phú Thọ</w:t>
            </w:r>
            <w:r>
              <w:rPr>
                <w:rFonts w:ascii="Times New Roman" w:hAnsi="Times New Roman" w:eastAsia="Times New Roman" w:cs="Times New Roman"/>
                <w:color w:val="000000"/>
                <w:sz w:val="22"/>
              </w:rPr>
              <w:t xml:space="preserve">), cách DT302 khoảng 300m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774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Bị che khuất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769315" cy="3575469"/>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5769315" cy="357546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54.28pt;height:281.53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49940" cy="3241135"/>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3149939" cy="32411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48.03pt;height:255.21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1387156733" name="" descr=""/>
                              <pic:cNvPicPr/>
                              <pic:nvPr/>
                            </pic:nvPicPr>
                            <pic:blipFill rotWithShape="1">
                              <a:blip r:embed="rId33"/>
                              <a:stretch/>
                            </pic:blipFill>
                            <pic:spPr bwMode="auto">
                              <a:xfrm rot="0" flipH="0" flipV="0">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rotation:0;z-index:1;" stroked="false">
                      <v:imagedata r:id="rId33"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458167" cy="3324941"/>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5458166" cy="33249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29.78pt;height:261.81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hd w:val="nil" w:color="auto"/>
        <w:spacing/>
        <w:ind/>
        <w:rPr>
          <w:lang w:val="pt-BR"/>
        </w:rPr>
      </w:pPr>
      <w:r>
        <w:rPr>
          <w:iCs/>
          <w:lang w:val="pt-BR"/>
        </w:rPr>
        <w:br w:type="page" w:clear="all"/>
      </w:r>
      <w:r>
        <w:rPr>
          <w:iCs/>
          <w:lang w:val="pt-BR"/>
        </w:rPr>
      </w:r>
      <w:r>
        <w:rPr>
          <w:lang w:val="pt-BR"/>
        </w:rPr>
      </w:r>
    </w:p>
    <w:p>
      <w:pPr>
        <w:pBdr/>
        <w:spacing w:after="200" w:line="276" w:lineRule="auto"/>
        <w:ind/>
        <w:rPr>
          <w:iCs/>
          <w:highlight w:val="none"/>
        </w:rPr>
      </w:pPr>
      <w:r>
        <w:rPr>
          <w:iCs/>
          <w:lang w:val="pt-BR"/>
        </w:rPr>
      </w:r>
      <w:r>
        <mc:AlternateContent>
          <mc:Choice Requires="wpg">
            <w:drawing>
              <wp:inline xmlns:wp="http://schemas.openxmlformats.org/drawingml/2006/wordprocessingDrawing" distT="0" distB="0" distL="0" distR="0">
                <wp:extent cx="6048375" cy="8461023"/>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00717" name=""/>
                        <pic:cNvPicPr>
                          <a:picLocks noChangeAspect="1"/>
                        </pic:cNvPicPr>
                        <pic:nvPr/>
                      </pic:nvPicPr>
                      <pic:blipFill rotWithShape="1">
                        <a:blip r:embed="rId35"/>
                        <a:stretch/>
                      </pic:blipFill>
                      <pic:spPr bwMode="auto">
                        <a:xfrm>
                          <a:off x="0" y="0"/>
                          <a:ext cx="6048374" cy="84610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66.22pt;mso-wrap-distance-left:0.00pt;mso-wrap-distance-top:0.00pt;mso-wrap-distance-right:0.00pt;mso-wrap-distance-bottom:0.00pt;z-index:1;" stroked="false">
                <v:imagedata r:id="rId35" o:title=""/>
                <o:lock v:ext="edit" rotation="t"/>
              </v:shape>
            </w:pict>
          </mc:Fallback>
        </mc:AlternateContent>
      </w:r>
      <w:r>
        <w:rPr>
          <w:iCs/>
          <w:lang w:val="pt-BR"/>
        </w:rPr>
      </w:r>
      <w:r>
        <w:rPr>
          <w:iCs/>
          <w:highlight w:val="none"/>
        </w:rPr>
      </w:r>
    </w:p>
    <w:p>
      <w:pPr>
        <w:pBdr/>
        <w:spacing w:after="200" w:line="276" w:lineRule="auto"/>
        <w:ind/>
        <w:rPr>
          <w:lang w:val="pt-BR"/>
        </w:rPr>
      </w:pPr>
      <w:r>
        <w:rPr>
          <w:lang w:val="pt-BR"/>
        </w:rPr>
      </w:r>
      <w:r>
        <w:rPr>
          <w:lang w:val="pt-BR"/>
        </w:rPr>
      </w:r>
      <w:r>
        <w:rPr>
          <w:lang w:val="pt-BR"/>
        </w:rPr>
      </w:r>
    </w:p>
    <w:p>
      <w:pPr>
        <w:pBdr/>
        <w:spacing w:after="200" w:line="276" w:lineRule="auto"/>
        <w:ind/>
        <w:rPr>
          <w:highlight w:val="none"/>
          <w:lang w:val="pt-BR" w:bidi="pt-BR"/>
        </w:rPr>
      </w:pPr>
      <w:r>
        <w:rPr>
          <w:highlight w:val="none"/>
          <w:lang w:val="pt-BR" w:bidi="pt-BR"/>
        </w:rPr>
      </w:r>
      <w:r>
        <mc:AlternateContent>
          <mc:Choice Requires="wpg">
            <w:drawing>
              <wp:inline xmlns:wp="http://schemas.openxmlformats.org/drawingml/2006/wordprocessingDrawing" distT="0" distB="0" distL="0" distR="0">
                <wp:extent cx="6048375" cy="8533931"/>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245959" name=""/>
                        <pic:cNvPicPr>
                          <a:picLocks noChangeAspect="1"/>
                        </pic:cNvPicPr>
                        <pic:nvPr/>
                      </pic:nvPicPr>
                      <pic:blipFill rotWithShape="1">
                        <a:blip r:embed="rId36"/>
                        <a:stretch/>
                      </pic:blipFill>
                      <pic:spPr bwMode="auto">
                        <a:xfrm>
                          <a:off x="0" y="0"/>
                          <a:ext cx="6048374" cy="85339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71.96pt;mso-wrap-distance-left:0.00pt;mso-wrap-distance-top:0.00pt;mso-wrap-distance-right:0.00pt;mso-wrap-distance-bottom:0.00pt;z-index:1;" stroked="false">
                <v:imagedata r:id="rId36" o:title=""/>
                <o:lock v:ext="edit" rotation="t"/>
              </v:shape>
            </w:pict>
          </mc:Fallback>
        </mc:AlternateContent>
      </w:r>
      <w:r>
        <w:rPr>
          <w:lang w:val="pt-BR"/>
        </w:rPr>
      </w:r>
      <w:r>
        <w:rPr>
          <w:highlight w:val="none"/>
          <w:lang w:val="pt-BR" w:bidi="pt-BR"/>
        </w:rPr>
      </w:r>
    </w:p>
    <w:p>
      <w:pPr>
        <w:pBdr/>
        <w:spacing w:after="200" w:line="276" w:lineRule="auto"/>
        <w:ind/>
        <w:rPr>
          <w:lang w:val="pt-BR"/>
        </w:rPr>
      </w:pPr>
      <w:r>
        <w:rPr>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60716" name=""/>
                        <pic:cNvPicPr>
                          <a:picLocks noChangeAspect="1"/>
                        </pic:cNvPicPr>
                        <pic:nvPr/>
                      </pic:nvPicPr>
                      <pic:blipFill rotWithShape="1">
                        <a:blip r:embed="rId3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00pt;mso-wrap-distance-left:0.00pt;mso-wrap-distance-top:0.00pt;mso-wrap-distance-right:0.00pt;mso-wrap-distance-bottom:0.00pt;z-index:1;" stroked="false">
                <v:imagedata r:id="rId37" o:title=""/>
                <o:lock v:ext="edit" rotation="t"/>
              </v:shape>
            </w:pict>
          </mc:Fallback>
        </mc:AlternateContent>
      </w:r>
      <w:r>
        <w:rPr>
          <w:highlight w:val="none"/>
          <w:lang w:val="pt-BR" w:bidi="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1E9144B"/>
    <w:lvl w:ilvl="0">
      <w:isLgl w:val="false"/>
      <w:lvlJc w:val="left"/>
      <w:lvlText w:val="-"/>
      <w:numFmt w:val="bullet"/>
      <w:pPr>
        <w:pBdr/>
        <w:spacing/>
        <w:ind w:hanging="360" w:left="709"/>
      </w:pPr>
      <w:rPr>
        <w:rFonts w:ascii="Times New Roman" w:hAnsi="Times New Roman" w:eastAsia="Times New Roman" w:cs="Times New Roman"/>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274</cp:revision>
  <dcterms:created xsi:type="dcterms:W3CDTF">2025-09-15T09:58:00Z</dcterms:created>
  <dcterms:modified xsi:type="dcterms:W3CDTF">2026-01-31T01:22:36Z</dcterms:modified>
</cp:coreProperties>
</file>