
<file path=[Content_Types].xml><?xml version="1.0" encoding="utf-8"?>
<Types xmlns="http://schemas.openxmlformats.org/package/2006/content-types">
  <Default Extension="gif" ContentType="image/gif"/>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line="276" w:lineRule="auto"/>
        <w:ind w:right="-1"/>
        <w:jc w:val="center"/>
        <w:rPr>
          <w:b/>
          <w:sz w:val="28"/>
          <w:lang w:val="vi-VN"/>
        </w:rPr>
      </w:pPr>
      <w:r>
        <w:rPr>
          <w:b/>
          <w:sz w:val="28"/>
          <w:lang w:val="vi-VN"/>
        </w:rPr>
      </w:r>
      <w:r>
        <w:rPr>
          <w:b/>
          <w:sz w:val="28"/>
          <w:lang w:val="vi-VN"/>
        </w:rPr>
      </w:r>
      <w:r>
        <w:rPr>
          <w:b/>
          <w:sz w:val="28"/>
          <w:lang w:val="vi-VN"/>
        </w:rPr>
      </w:r>
    </w:p>
    <w:p>
      <w:pPr>
        <w:pBdr/>
        <w:spacing w:line="276" w:lineRule="auto"/>
        <w:ind w:right="-1"/>
        <w:jc w:val="center"/>
        <w:rPr>
          <w:b/>
          <w:sz w:val="28"/>
        </w:rPr>
      </w:pPr>
      <w:r>
        <w:rPr>
          <w:b/>
          <w:sz w:val="28"/>
        </w:rPr>
      </w:r>
      <w:r>
        <w:rPr>
          <w:b/>
          <w:sz w:val="28"/>
        </w:rPr>
      </w:r>
      <w:r>
        <w:rPr>
          <w:b/>
          <w:sz w:val="28"/>
        </w:rPr>
      </w:r>
    </w:p>
    <w:p>
      <w:pPr>
        <w:pBdr/>
        <w:spacing w:line="276" w:lineRule="auto"/>
        <w:ind w:right="-1"/>
        <w:jc w:val="center"/>
        <w:rPr>
          <w:b/>
          <w:sz w:val="28"/>
        </w:rPr>
      </w:pPr>
      <w:r>
        <w:rPr>
          <w:b/>
          <w:sz w:val="28"/>
        </w:rPr>
      </w:r>
      <w:r>
        <w:rPr>
          <w:b/>
          <w:sz w:val="28"/>
        </w:rPr>
      </w:r>
      <w:r>
        <w:rPr>
          <w:b/>
          <w:sz w:val="28"/>
        </w:rPr>
      </w:r>
    </w:p>
    <w:p>
      <w:pPr>
        <w:pBdr/>
        <w:spacing w:line="276" w:lineRule="auto"/>
        <w:ind w:right="-1"/>
        <w:jc w:val="center"/>
        <w:rPr>
          <w:b/>
          <w:sz w:val="28"/>
        </w:rPr>
      </w:pPr>
      <w:r>
        <w:rPr>
          <w:b/>
          <w:sz w:val="28"/>
        </w:rPr>
      </w:r>
      <w:r>
        <w:rPr>
          <w:b/>
          <w:sz w:val="28"/>
        </w:rPr>
      </w:r>
      <w:r>
        <w:rPr>
          <w:b/>
          <w:sz w:val="28"/>
        </w:rPr>
      </w:r>
    </w:p>
    <w:p>
      <w:pPr>
        <w:pBdr/>
        <w:spacing w:line="276" w:lineRule="auto"/>
        <w:ind w:right="-1"/>
        <w:jc w:val="center"/>
        <w:rPr>
          <w:b/>
          <w:sz w:val="28"/>
        </w:rPr>
      </w:pPr>
      <w:r>
        <w:rPr>
          <w:b/>
          <w:sz w:val="28"/>
        </w:rPr>
      </w:r>
      <w:r>
        <w:rPr>
          <w:b/>
          <w:sz w:val="28"/>
        </w:rPr>
      </w:r>
      <w:r>
        <w:rPr>
          <w:b/>
          <w:sz w:val="28"/>
        </w:rPr>
      </w:r>
    </w:p>
    <w:p>
      <w:pPr>
        <w:pBdr/>
        <w:spacing w:line="276" w:lineRule="auto"/>
        <w:ind w:right="-1"/>
        <w:jc w:val="center"/>
        <w:rPr>
          <w:b/>
          <w:sz w:val="28"/>
        </w:rPr>
      </w:pPr>
      <w:r>
        <w:rPr>
          <w:b/>
          <w:sz w:val="28"/>
        </w:rPr>
      </w:r>
      <w:r>
        <w:rPr>
          <w:b/>
          <w:sz w:val="28"/>
        </w:rPr>
      </w:r>
      <w:r>
        <w:rPr>
          <w:b/>
          <w:sz w:val="28"/>
        </w:rPr>
      </w:r>
    </w:p>
    <w:p>
      <w:pPr>
        <w:pBdr/>
        <w:spacing w:line="276" w:lineRule="auto"/>
        <w:ind w:right="-1"/>
        <w:jc w:val="center"/>
        <w:rPr>
          <w:b/>
          <w:sz w:val="28"/>
        </w:rPr>
      </w:pPr>
      <w:r>
        <w:rPr>
          <w:b/>
          <w:sz w:val="28"/>
        </w:rPr>
      </w:r>
      <w:r>
        <w:rPr>
          <w:b/>
          <w:sz w:val="28"/>
        </w:rPr>
      </w:r>
      <w:r>
        <w:rPr>
          <w:b/>
          <w:sz w:val="28"/>
        </w:rPr>
      </w:r>
    </w:p>
    <w:p>
      <w:pPr>
        <w:pBdr/>
        <w:spacing w:line="276" w:lineRule="auto"/>
        <w:ind w:right="-1"/>
        <w:jc w:val="center"/>
        <w:rPr>
          <w:b/>
          <w:sz w:val="28"/>
        </w:rPr>
      </w:pPr>
      <w:r>
        <w:rPr>
          <w:b/>
          <w:sz w:val="28"/>
        </w:rPr>
      </w:r>
      <w:r>
        <w:rPr>
          <w:b/>
          <w:sz w:val="28"/>
        </w:rPr>
      </w:r>
      <w:r>
        <w:rPr>
          <w:b/>
          <w:sz w:val="28"/>
        </w:rPr>
      </w:r>
    </w:p>
    <w:p>
      <w:pPr>
        <w:pBdr/>
        <w:spacing w:line="276" w:lineRule="auto"/>
        <w:ind w:right="-1"/>
        <w:jc w:val="center"/>
        <w:rPr>
          <w:b/>
          <w:sz w:val="28"/>
        </w:rPr>
      </w:pPr>
      <w:r>
        <w:rPr>
          <w:b/>
          <w:sz w:val="28"/>
        </w:rPr>
      </w:r>
      <w:r>
        <w:rPr>
          <w:b/>
          <w:sz w:val="28"/>
        </w:rPr>
      </w:r>
      <w:r>
        <w:rPr>
          <w:b/>
          <w:sz w:val="28"/>
        </w:rPr>
      </w:r>
    </w:p>
    <w:p>
      <w:pPr>
        <w:pBdr/>
        <w:spacing w:line="276" w:lineRule="auto"/>
        <w:ind w:right="-1"/>
        <w:jc w:val="center"/>
        <w:rPr>
          <w:b/>
          <w:sz w:val="28"/>
        </w:rPr>
      </w:pPr>
      <w:r>
        <w:rPr>
          <w:b/>
          <w:sz w:val="28"/>
        </w:rPr>
      </w:r>
      <w:r>
        <w:rPr>
          <w:b/>
          <w:sz w:val="28"/>
        </w:rPr>
      </w:r>
      <w:r>
        <w:rPr>
          <w:b/>
          <w:sz w:val="28"/>
        </w:rPr>
      </w:r>
    </w:p>
    <w:p>
      <w:pPr>
        <w:pBdr/>
        <w:spacing w:line="276" w:lineRule="auto"/>
        <w:ind w:right="-1"/>
        <w:rPr>
          <w:b/>
          <w:sz w:val="28"/>
        </w:rPr>
      </w:pPr>
      <w:r>
        <w:rPr>
          <w:b/>
          <w:sz w:val="28"/>
        </w:rPr>
      </w:r>
      <w:r>
        <w:rPr>
          <w:b/>
          <w:sz w:val="28"/>
        </w:rPr>
      </w:r>
      <w:r>
        <w:rPr>
          <w:b/>
          <w:sz w:val="28"/>
        </w:rPr>
      </w:r>
    </w:p>
    <w:p>
      <w:pPr>
        <w:pBdr/>
        <w:spacing w:line="276" w:lineRule="auto"/>
        <w:ind w:right="-1"/>
        <w:jc w:val="center"/>
        <w:rPr>
          <w:b/>
          <w:sz w:val="28"/>
        </w:rPr>
      </w:pPr>
      <w:r>
        <w:rPr>
          <w:b/>
          <w:sz w:val="28"/>
        </w:rPr>
      </w:r>
      <w:r>
        <w:rPr>
          <w:b/>
          <w:sz w:val="28"/>
        </w:rPr>
      </w:r>
      <w:r>
        <w:rPr>
          <w:b/>
          <w:sz w:val="28"/>
        </w:rPr>
      </w:r>
    </w:p>
    <w:p>
      <w:pPr>
        <w:pBdr/>
        <w:spacing w:line="276" w:lineRule="auto"/>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5887674"/>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5887674"/>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HSTD-20260126-0015/CT-VFI</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ÔNG BÙI ĐỨC TOÀN</w:t>
                            </w:r>
                            <w:r>
                              <w:rPr>
                                <w:rFonts w:ascii="Times New Roman Bold" w:hAnsi="Times New Roman Bold"/>
                                <w:b/>
                                <w:lang w:val="pt-BR"/>
                              </w:rPr>
                            </w:r>
                            <w:r>
                              <w:rPr>
                                <w:rFonts w:ascii="Times New Roman Bold" w:hAnsi="Times New Roman Bold"/>
                                <w:b/>
                                <w:lang w:val="pt-BR"/>
                              </w:rPr>
                            </w:r>
                          </w:p>
                          <w:p>
                            <w:pPr>
                              <w:pBdr/>
                              <w:spacing w:after="120" w:before="120" w:line="276" w:lineRule="auto"/>
                              <w:ind/>
                              <w:jc w:val="both"/>
                              <w:rPr>
                                <w:iCs/>
                                <w:color w:val="000000"/>
                                <w:highlight w:val="none"/>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bCs/>
                                <w:i/>
                                <w:iCs/>
                              </w:rPr>
                            </w:r>
                            <w:r>
                              <w:rPr>
                                <w:iCs/>
                                <w:color w:val="000000"/>
                                <w:highlight w:val="none"/>
                              </w:rPr>
                            </w:r>
                          </w:p>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pPr>
                            <w:r>
                              <w:rPr>
                                <w:rFonts w:ascii="Times New Roman" w:hAnsi="Times New Roman" w:eastAsia="Times New Roman" w:cs="Times New Roman"/>
                                <w:b/>
                                <w:color w:val="000000"/>
                                <w:sz w:val="24"/>
                              </w:rPr>
                              <w:t xml:space="preserve">Tài sản 1: </w:t>
                            </w:r>
                            <w:r>
                              <w:rPr>
                                <w:rFonts w:ascii="Times New Roman" w:hAnsi="Times New Roman" w:eastAsia="Times New Roman" w:cs="Times New Roman"/>
                                <w:color w:val="000000"/>
                                <w:sz w:val="24"/>
                              </w:rPr>
                              <w:t xml:space="preserve">Quyền sử dụng đất tại thửa đất số: 560, tờ bản đồ số: P6-18 có địa chỉ: Tổ dân phố 6, thị trấn Tằng Loỏng, huyện Bảo Thắng, tỉnh Lào Cai (này là xã Tằng Loỏng, tỉnh Lào Cai) theo Giấy chứng nhận quyền sử dụng đất quyền sở hữu tài sản gắn liền với đất số: B</w:t>
                            </w:r>
                            <w:r>
                              <w:rPr>
                                <w:rFonts w:ascii="Times New Roman" w:hAnsi="Times New Roman" w:eastAsia="Times New Roman" w:cs="Times New Roman"/>
                                <w:color w:val="000000"/>
                                <w:sz w:val="24"/>
                              </w:rPr>
                              <w:t xml:space="preserve">K 713663, số vào sổ cấp GCN: CH 01114 do UBND huyện Bảo Thắng cấp ngày 12/4/2012 cho ông Bùi Đức Toàn</w:t>
                            </w:r>
                            <w:r/>
                          </w:p>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pPr>
                            <w:r>
                              <w:rPr>
                                <w:rFonts w:ascii="Times New Roman" w:hAnsi="Times New Roman" w:eastAsia="Times New Roman" w:cs="Times New Roman"/>
                                <w:b/>
                                <w:color w:val="000000"/>
                                <w:sz w:val="24"/>
                              </w:rPr>
                              <w:t xml:space="preserve">Tài sản 2:</w:t>
                            </w:r>
                            <w:r>
                              <w:rPr>
                                <w:rFonts w:ascii="Times New Roman" w:hAnsi="Times New Roman" w:eastAsia="Times New Roman" w:cs="Times New Roman"/>
                                <w:color w:val="000000"/>
                                <w:sz w:val="24"/>
                              </w:rPr>
                              <w:t xml:space="preserve"> Quyền sử dụng đất tại thửa đất số: 561, tờ bản đồ số: P6-18 có địa chỉ: Tổ dân phố 6, thị trấn Tằng Loỏng, huyện Bảo Thắng, tỉnh Lào Cai (này là xã Tằng Loỏng, tỉnh Lào Cai) theo Giấy chứng nhận quyền sử dụng đất quyền sở hữu tài sản gắn liền với đất số: </w:t>
                            </w:r>
                            <w:r>
                              <w:rPr>
                                <w:rFonts w:ascii="Times New Roman" w:hAnsi="Times New Roman" w:eastAsia="Times New Roman" w:cs="Times New Roman"/>
                                <w:color w:val="000000"/>
                                <w:sz w:val="24"/>
                              </w:rPr>
                              <w:t xml:space="preserve">BK 713664, số vào sổ cấp GCN: CH 01114 do UBND huyện Bảo Thắng cấp ngày 12/4/2012 cho ông Bùi Đức Toàn</w:t>
                            </w:r>
                            <w:r/>
                          </w:p>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pPr>
                            <w:r>
                              <w:rPr>
                                <w:rFonts w:ascii="Times New Roman" w:hAnsi="Times New Roman" w:eastAsia="Times New Roman" w:cs="Times New Roman"/>
                                <w:b/>
                                <w:color w:val="000000"/>
                                <w:sz w:val="24"/>
                              </w:rPr>
                              <w:t xml:space="preserve">Tài sản 3: </w:t>
                            </w:r>
                            <w:r>
                              <w:rPr>
                                <w:rFonts w:ascii="Times New Roman" w:hAnsi="Times New Roman" w:eastAsia="Times New Roman" w:cs="Times New Roman"/>
                                <w:color w:val="000000"/>
                                <w:sz w:val="24"/>
                              </w:rPr>
                              <w:t xml:space="preserve">Quyền sử dụng đất tại thửa đất số: 562, tờ bản đồ số: P6-18 có địa chỉ: Tổ dân phố 6, thị trấn Tằng Loỏng, huyện Bảo Thắng, tỉnh Lào Cai (này là xã Tằng Loỏng, tỉnh Lào Cai) theo Giấy chứng nhận quyền sử dụng đất quyền sở hữu tài sản gắn liền với đất số: B</w:t>
                            </w:r>
                            <w:r>
                              <w:rPr>
                                <w:rFonts w:ascii="Times New Roman" w:hAnsi="Times New Roman" w:eastAsia="Times New Roman" w:cs="Times New Roman"/>
                                <w:color w:val="000000"/>
                                <w:sz w:val="24"/>
                              </w:rPr>
                              <w:t xml:space="preserve">K 711045, số vào sổ cấp GCN: CH01348 do UBND huyện Bảo Thắng cấp ngày 12/4/2012 cho ông Bùi Đức Toàn.</w:t>
                            </w:r>
                            <w:r/>
                          </w:p>
                          <w:p>
                            <w:pPr>
                              <w:pBdr/>
                              <w:spacing w:after="120" w:before="120" w:line="276"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02/2026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463.60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HSTD-20260126-0015/CT-VFI</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ÔNG BÙI ĐỨC TOÀN</w:t>
                      </w:r>
                      <w:r>
                        <w:rPr>
                          <w:rFonts w:ascii="Times New Roman Bold" w:hAnsi="Times New Roman Bold"/>
                          <w:b/>
                          <w:lang w:val="pt-BR"/>
                        </w:rPr>
                      </w:r>
                      <w:r>
                        <w:rPr>
                          <w:rFonts w:ascii="Times New Roman Bold" w:hAnsi="Times New Roman Bold"/>
                          <w:b/>
                          <w:lang w:val="pt-BR"/>
                        </w:rPr>
                      </w:r>
                    </w:p>
                    <w:p>
                      <w:pPr>
                        <w:pBdr/>
                        <w:spacing w:after="120" w:before="120" w:line="276" w:lineRule="auto"/>
                        <w:ind/>
                        <w:jc w:val="both"/>
                        <w:rPr>
                          <w:iCs/>
                          <w:color w:val="000000"/>
                          <w:highlight w:val="none"/>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bCs/>
                          <w:i/>
                          <w:iCs/>
                        </w:rPr>
                      </w:r>
                      <w:r>
                        <w:rPr>
                          <w:iCs/>
                          <w:color w:val="000000"/>
                          <w:highlight w:val="none"/>
                        </w:rPr>
                      </w:r>
                    </w:p>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pPr>
                      <w:r>
                        <w:rPr>
                          <w:rFonts w:ascii="Times New Roman" w:hAnsi="Times New Roman" w:eastAsia="Times New Roman" w:cs="Times New Roman"/>
                          <w:b/>
                          <w:color w:val="000000"/>
                          <w:sz w:val="24"/>
                        </w:rPr>
                        <w:t xml:space="preserve">Tài sản 1: </w:t>
                      </w:r>
                      <w:r>
                        <w:rPr>
                          <w:rFonts w:ascii="Times New Roman" w:hAnsi="Times New Roman" w:eastAsia="Times New Roman" w:cs="Times New Roman"/>
                          <w:color w:val="000000"/>
                          <w:sz w:val="24"/>
                        </w:rPr>
                        <w:t xml:space="preserve">Quyền sử dụng đất tại thửa đất số: 560, tờ bản đồ số: P6-18 có địa chỉ: Tổ dân phố 6, thị trấn Tằng Loỏng, huyện Bảo Thắng, tỉnh Lào Cai (này là xã Tằng Loỏng, tỉnh Lào Cai) theo Giấy chứng nhận quyền sử dụng đất quyền sở hữu tài sản gắn liền với đất số: B</w:t>
                      </w:r>
                      <w:r>
                        <w:rPr>
                          <w:rFonts w:ascii="Times New Roman" w:hAnsi="Times New Roman" w:eastAsia="Times New Roman" w:cs="Times New Roman"/>
                          <w:color w:val="000000"/>
                          <w:sz w:val="24"/>
                        </w:rPr>
                        <w:t xml:space="preserve">K 713663, số vào sổ cấp GCN: CH 01114 do UBND huyện Bảo Thắng cấp ngày 12/4/2012 cho ông Bùi Đức Toàn</w:t>
                      </w:r>
                      <w:r/>
                    </w:p>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pPr>
                      <w:r>
                        <w:rPr>
                          <w:rFonts w:ascii="Times New Roman" w:hAnsi="Times New Roman" w:eastAsia="Times New Roman" w:cs="Times New Roman"/>
                          <w:b/>
                          <w:color w:val="000000"/>
                          <w:sz w:val="24"/>
                        </w:rPr>
                        <w:t xml:space="preserve">Tài sản 2:</w:t>
                      </w:r>
                      <w:r>
                        <w:rPr>
                          <w:rFonts w:ascii="Times New Roman" w:hAnsi="Times New Roman" w:eastAsia="Times New Roman" w:cs="Times New Roman"/>
                          <w:color w:val="000000"/>
                          <w:sz w:val="24"/>
                        </w:rPr>
                        <w:t xml:space="preserve"> Quyền sử dụng đất tại thửa đất số: 561, tờ bản đồ số: P6-18 có địa chỉ: Tổ dân phố 6, thị trấn Tằng Loỏng, huyện Bảo Thắng, tỉnh Lào Cai (này là xã Tằng Loỏng, tỉnh Lào Cai) theo Giấy chứng nhận quyền sử dụng đất quyền sở hữu tài sản gắn liền với đất số: </w:t>
                      </w:r>
                      <w:r>
                        <w:rPr>
                          <w:rFonts w:ascii="Times New Roman" w:hAnsi="Times New Roman" w:eastAsia="Times New Roman" w:cs="Times New Roman"/>
                          <w:color w:val="000000"/>
                          <w:sz w:val="24"/>
                        </w:rPr>
                        <w:t xml:space="preserve">BK 713664, số vào sổ cấp GCN: CH 01114 do UBND huyện Bảo Thắng cấp ngày 12/4/2012 cho ông Bùi Đức Toàn</w:t>
                      </w:r>
                      <w:r/>
                    </w:p>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pPr>
                      <w:r>
                        <w:rPr>
                          <w:rFonts w:ascii="Times New Roman" w:hAnsi="Times New Roman" w:eastAsia="Times New Roman" w:cs="Times New Roman"/>
                          <w:b/>
                          <w:color w:val="000000"/>
                          <w:sz w:val="24"/>
                        </w:rPr>
                        <w:t xml:space="preserve">Tài sản 3: </w:t>
                      </w:r>
                      <w:r>
                        <w:rPr>
                          <w:rFonts w:ascii="Times New Roman" w:hAnsi="Times New Roman" w:eastAsia="Times New Roman" w:cs="Times New Roman"/>
                          <w:color w:val="000000"/>
                          <w:sz w:val="24"/>
                        </w:rPr>
                        <w:t xml:space="preserve">Quyền sử dụng đất tại thửa đất số: 562, tờ bản đồ số: P6-18 có địa chỉ: Tổ dân phố 6, thị trấn Tằng Loỏng, huyện Bảo Thắng, tỉnh Lào Cai (này là xã Tằng Loỏng, tỉnh Lào Cai) theo Giấy chứng nhận quyền sử dụng đất quyền sở hữu tài sản gắn liền với đất số: B</w:t>
                      </w:r>
                      <w:r>
                        <w:rPr>
                          <w:rFonts w:ascii="Times New Roman" w:hAnsi="Times New Roman" w:eastAsia="Times New Roman" w:cs="Times New Roman"/>
                          <w:color w:val="000000"/>
                          <w:sz w:val="24"/>
                        </w:rPr>
                        <w:t xml:space="preserve">K 711045, số vào sổ cấp GCN: CH01348 do UBND huyện Bảo Thắng cấp ngày 12/4/2012 cho ông Bùi Đức Toàn.</w:t>
                      </w:r>
                      <w:r/>
                    </w:p>
                    <w:p>
                      <w:pPr>
                        <w:pBdr/>
                        <w:spacing w:after="120" w:before="120" w:line="276"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02/2026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line="276" w:lineRule="auto"/>
        <w:ind w:right="-1"/>
        <w:jc w:val="center"/>
        <w:rPr>
          <w:b/>
          <w:sz w:val="28"/>
        </w:rPr>
      </w:pPr>
      <w:r>
        <w:rPr>
          <w:b/>
          <w:sz w:val="28"/>
        </w:rPr>
      </w:r>
      <w:r>
        <w:rPr>
          <w:b/>
          <w:sz w:val="28"/>
        </w:rPr>
      </w:r>
      <w:r>
        <w:rPr>
          <w:b/>
          <w:sz w:val="28"/>
        </w:rPr>
      </w:r>
    </w:p>
    <w:p>
      <w:pPr>
        <w:pBdr/>
        <w:spacing w:line="276" w:lineRule="auto"/>
        <w:ind w:right="-1"/>
        <w:jc w:val="center"/>
        <w:rPr>
          <w:b/>
          <w:sz w:val="28"/>
        </w:rPr>
      </w:pPr>
      <w:r>
        <w:rPr>
          <w:b/>
          <w:sz w:val="28"/>
        </w:rPr>
      </w:r>
      <w:r>
        <w:rPr>
          <w:b/>
          <w:sz w:val="28"/>
        </w:rPr>
      </w:r>
      <w:r>
        <w:rPr>
          <w:b/>
          <w:sz w:val="28"/>
        </w:rPr>
      </w:r>
    </w:p>
    <w:p>
      <w:pPr>
        <w:pBdr/>
        <w:spacing w:line="276" w:lineRule="auto"/>
        <w:ind w:right="-1"/>
        <w:jc w:val="center"/>
        <w:rPr>
          <w:b/>
          <w:sz w:val="28"/>
        </w:rPr>
      </w:pPr>
      <w:r>
        <w:rPr>
          <w:b/>
          <w:sz w:val="28"/>
        </w:rPr>
      </w:r>
      <w:r>
        <w:rPr>
          <w:b/>
          <w:sz w:val="28"/>
        </w:rPr>
      </w:r>
      <w:r>
        <w:rPr>
          <w:b/>
          <w:sz w:val="28"/>
        </w:rPr>
      </w:r>
    </w:p>
    <w:p>
      <w:pPr>
        <w:pBdr/>
        <w:spacing w:line="276" w:lineRule="auto"/>
        <w:ind w:right="-1"/>
        <w:jc w:val="center"/>
        <w:rPr>
          <w:b/>
          <w:sz w:val="28"/>
        </w:rPr>
      </w:pPr>
      <w:r>
        <w:rPr>
          <w:b/>
          <w:sz w:val="28"/>
        </w:rPr>
      </w:r>
      <w:r>
        <w:rPr>
          <w:b/>
          <w:sz w:val="28"/>
        </w:rPr>
      </w:r>
      <w:r>
        <w:rPr>
          <w:b/>
          <w:sz w:val="28"/>
        </w:rPr>
      </w:r>
    </w:p>
    <w:p>
      <w:pPr>
        <w:pBdr/>
        <w:spacing w:line="276" w:lineRule="auto"/>
        <w:ind w:right="-1"/>
        <w:jc w:val="center"/>
        <w:rPr>
          <w:b/>
          <w:sz w:val="28"/>
        </w:rPr>
      </w:pPr>
      <w:r>
        <w:rPr>
          <w:b/>
          <w:sz w:val="28"/>
        </w:rPr>
      </w:r>
      <w:r>
        <w:rPr>
          <w:b/>
          <w:sz w:val="28"/>
        </w:rPr>
      </w:r>
      <w:r>
        <w:rPr>
          <w:b/>
          <w:sz w:val="28"/>
        </w:rPr>
      </w:r>
    </w:p>
    <w:p>
      <w:pPr>
        <w:pBdr/>
        <w:spacing w:line="276" w:lineRule="auto"/>
        <w:ind w:right="-1"/>
        <w:jc w:val="center"/>
        <w:rPr>
          <w:b/>
          <w:sz w:val="28"/>
        </w:rPr>
      </w:pPr>
      <w:r>
        <w:rPr>
          <w:b/>
          <w:sz w:val="28"/>
        </w:rPr>
      </w:r>
      <w:r>
        <w:rPr>
          <w:b/>
          <w:sz w:val="28"/>
        </w:rPr>
      </w:r>
      <w:r>
        <w:rPr>
          <w:b/>
          <w:sz w:val="28"/>
        </w:rPr>
      </w:r>
    </w:p>
    <w:p>
      <w:pPr>
        <w:pBdr/>
        <w:spacing w:line="276" w:lineRule="auto"/>
        <w:ind w:right="-1"/>
        <w:jc w:val="center"/>
        <w:rPr>
          <w:b/>
          <w:sz w:val="28"/>
        </w:rPr>
      </w:pPr>
      <w:r>
        <w:rPr>
          <w:b/>
          <w:sz w:val="28"/>
        </w:rPr>
      </w:r>
      <w:r>
        <w:rPr>
          <w:b/>
          <w:sz w:val="28"/>
        </w:rPr>
      </w:r>
      <w:r>
        <w:rPr>
          <w:b/>
          <w:sz w:val="28"/>
        </w:rPr>
      </w:r>
    </w:p>
    <w:p>
      <w:pPr>
        <w:pBdr/>
        <w:spacing w:line="276" w:lineRule="auto"/>
        <w:ind w:right="-1"/>
        <w:jc w:val="center"/>
        <w:rPr>
          <w:b/>
          <w:sz w:val="28"/>
        </w:rPr>
      </w:pPr>
      <w:r>
        <w:rPr>
          <w:b/>
          <w:sz w:val="28"/>
        </w:rPr>
      </w:r>
      <w:r>
        <w:rPr>
          <w:b/>
          <w:sz w:val="28"/>
        </w:rPr>
      </w:r>
      <w:r>
        <w:rPr>
          <w:b/>
          <w:sz w:val="28"/>
        </w:rPr>
      </w:r>
    </w:p>
    <w:p>
      <w:pPr>
        <w:pBdr/>
        <w:spacing w:line="276" w:lineRule="auto"/>
        <w:ind w:right="-1"/>
        <w:jc w:val="center"/>
        <w:rPr>
          <w:b/>
          <w:sz w:val="28"/>
        </w:rPr>
      </w:pPr>
      <w:r>
        <w:rPr>
          <w:b/>
          <w:sz w:val="28"/>
        </w:rPr>
      </w:r>
      <w:r>
        <w:rPr>
          <w:b/>
          <w:sz w:val="28"/>
        </w:rPr>
      </w:r>
      <w:r>
        <w:rPr>
          <w:b/>
          <w:sz w:val="28"/>
        </w:rPr>
      </w:r>
    </w:p>
    <w:p>
      <w:pPr>
        <w:pBdr/>
        <w:spacing w:line="276" w:lineRule="auto"/>
        <w:ind w:right="-1"/>
        <w:jc w:val="center"/>
        <w:rPr>
          <w:b/>
          <w:sz w:val="28"/>
        </w:rPr>
      </w:pPr>
      <w:r>
        <w:rPr>
          <w:b/>
          <w:sz w:val="28"/>
        </w:rPr>
      </w:r>
      <w:r>
        <w:rPr>
          <w:b/>
          <w:sz w:val="28"/>
        </w:rPr>
      </w:r>
      <w:r>
        <w:rPr>
          <w:b/>
          <w:sz w:val="28"/>
        </w:rPr>
      </w:r>
    </w:p>
    <w:p>
      <w:pPr>
        <w:pBdr/>
        <w:spacing w:line="276" w:lineRule="auto"/>
        <w:ind w:right="-1"/>
        <w:jc w:val="center"/>
        <w:rPr>
          <w:b/>
          <w:sz w:val="28"/>
        </w:rPr>
      </w:pPr>
      <w:r>
        <w:rPr>
          <w:b/>
          <w:sz w:val="28"/>
        </w:rPr>
      </w:r>
      <w:r>
        <w:rPr>
          <w:b/>
          <w:sz w:val="28"/>
        </w:rPr>
      </w:r>
      <w:r>
        <w:rPr>
          <w:b/>
          <w:sz w:val="28"/>
        </w:rPr>
      </w:r>
    </w:p>
    <w:p>
      <w:pPr>
        <w:pBdr/>
        <w:spacing w:line="276" w:lineRule="auto"/>
        <w:ind w:right="-1"/>
        <w:jc w:val="center"/>
        <w:rPr>
          <w:b/>
          <w:sz w:val="28"/>
        </w:rPr>
      </w:pPr>
      <w:r>
        <w:rPr>
          <w:b/>
          <w:sz w:val="28"/>
        </w:rPr>
      </w:r>
      <w:r>
        <w:rPr>
          <w:b/>
          <w:sz w:val="28"/>
        </w:rPr>
      </w:r>
      <w:r>
        <w:rPr>
          <w:b/>
          <w:sz w:val="28"/>
        </w:rPr>
      </w:r>
    </w:p>
    <w:p>
      <w:pPr>
        <w:pBdr/>
        <w:spacing w:line="276" w:lineRule="auto"/>
        <w:ind w:right="-1"/>
        <w:jc w:val="center"/>
        <w:rPr>
          <w:b/>
          <w:sz w:val="28"/>
        </w:rPr>
      </w:pPr>
      <w:r>
        <w:rPr>
          <w:b/>
          <w:sz w:val="28"/>
        </w:rPr>
      </w:r>
      <w:r>
        <w:rPr>
          <w:b/>
          <w:sz w:val="28"/>
        </w:rPr>
      </w:r>
      <w:r>
        <w:rPr>
          <w:b/>
          <w:sz w:val="28"/>
        </w:rPr>
      </w:r>
    </w:p>
    <w:p>
      <w:pPr>
        <w:pBdr/>
        <w:spacing w:line="276" w:lineRule="auto"/>
        <w:ind w:right="-1"/>
        <w:jc w:val="center"/>
        <w:rPr>
          <w:b/>
          <w:sz w:val="28"/>
        </w:rPr>
      </w:pPr>
      <w:r>
        <w:rPr>
          <w:b/>
          <w:sz w:val="28"/>
        </w:rPr>
      </w:r>
      <w:r>
        <w:rPr>
          <w:b/>
          <w:sz w:val="28"/>
        </w:rPr>
      </w:r>
      <w:r>
        <w:rPr>
          <w:b/>
          <w:sz w:val="28"/>
        </w:rPr>
      </w:r>
    </w:p>
    <w:p>
      <w:pPr>
        <w:pBdr/>
        <w:spacing w:line="276" w:lineRule="auto"/>
        <w:ind w:right="-1"/>
        <w:jc w:val="center"/>
        <w:rPr>
          <w:b/>
          <w:sz w:val="28"/>
        </w:rPr>
      </w:pPr>
      <w:r>
        <w:rPr>
          <w:b/>
          <w:sz w:val="28"/>
        </w:rPr>
      </w:r>
      <w:r>
        <w:rPr>
          <w:b/>
          <w:sz w:val="28"/>
        </w:rPr>
      </w:r>
      <w:r>
        <w:rPr>
          <w:b/>
          <w:sz w:val="28"/>
        </w:rPr>
      </w:r>
    </w:p>
    <w:p>
      <w:pPr>
        <w:pBdr/>
        <w:spacing w:line="276" w:lineRule="auto"/>
        <w:ind w:right="-1"/>
        <w:jc w:val="center"/>
        <w:rPr>
          <w:b/>
          <w:sz w:val="28"/>
        </w:rPr>
      </w:pPr>
      <w:r>
        <w:rPr>
          <w:b/>
          <w:sz w:val="28"/>
        </w:rPr>
      </w:r>
      <w:r>
        <w:rPr>
          <w:b/>
          <w:sz w:val="28"/>
        </w:rPr>
      </w:r>
      <w:r>
        <w:rPr>
          <w:b/>
          <w:sz w:val="28"/>
        </w:rPr>
      </w:r>
    </w:p>
    <w:p>
      <w:pPr>
        <w:pBdr/>
        <w:spacing w:line="276" w:lineRule="auto"/>
        <w:ind w:right="-1"/>
        <w:jc w:val="center"/>
        <w:rPr>
          <w:b/>
          <w:sz w:val="28"/>
        </w:rPr>
      </w:pPr>
      <w:r>
        <w:rPr>
          <w:b/>
          <w:sz w:val="28"/>
        </w:rPr>
      </w:r>
      <w:r>
        <w:rPr>
          <w:b/>
          <w:sz w:val="28"/>
        </w:rPr>
      </w:r>
      <w:r>
        <w:rPr>
          <w:b/>
          <w:sz w:val="28"/>
        </w:rPr>
      </w:r>
    </w:p>
    <w:p>
      <w:pPr>
        <w:pBdr/>
        <w:spacing w:line="276" w:lineRule="auto"/>
        <w:ind w:right="-1"/>
        <w:rPr>
          <w:b/>
          <w:sz w:val="28"/>
        </w:rPr>
      </w:pPr>
      <w:r>
        <w:rPr>
          <w:b/>
          <w:sz w:val="28"/>
        </w:rPr>
      </w:r>
      <w:r>
        <w:rPr>
          <w:b/>
          <w:sz w:val="28"/>
        </w:rPr>
      </w:r>
      <w:r>
        <w:rPr>
          <w:b/>
          <w:sz w:val="28"/>
        </w:rPr>
      </w:r>
    </w:p>
    <w:p>
      <w:pPr>
        <w:pBdr/>
        <w:spacing w:line="276" w:lineRule="auto"/>
        <w:ind w:right="-1"/>
        <w:jc w:val="center"/>
        <w:rPr>
          <w:b/>
          <w:sz w:val="28"/>
        </w:rPr>
      </w:pPr>
      <w:r>
        <w:rPr>
          <w:b/>
          <w:sz w:val="28"/>
        </w:rPr>
      </w:r>
      <w:r>
        <w:rPr>
          <w:b/>
          <w:sz w:val="28"/>
        </w:rPr>
      </w:r>
      <w:r>
        <w:rPr>
          <w:b/>
          <w:sz w:val="28"/>
        </w:rPr>
      </w:r>
    </w:p>
    <w:p>
      <w:pPr>
        <w:pBdr/>
        <w:spacing w:line="276" w:lineRule="auto"/>
        <w:ind w:right="-1"/>
        <w:jc w:val="center"/>
        <w:rPr>
          <w:b/>
          <w:sz w:val="28"/>
        </w:rPr>
      </w:pPr>
      <w:r>
        <w:rPr>
          <w:b/>
          <w:sz w:val="28"/>
        </w:rPr>
      </w:r>
      <w:r>
        <w:rPr>
          <w:b/>
          <w:sz w:val="28"/>
        </w:rPr>
      </w:r>
      <w:r>
        <w:rPr>
          <w:b/>
          <w:sz w:val="28"/>
        </w:rPr>
      </w:r>
    </w:p>
    <w:p>
      <w:pPr>
        <w:pBdr/>
        <w:spacing w:line="276" w:lineRule="auto"/>
        <w:ind w:right="-1"/>
        <w:jc w:val="center"/>
        <w:rPr>
          <w:b/>
          <w:sz w:val="28"/>
        </w:rPr>
      </w:pPr>
      <w:r>
        <w:rPr>
          <w:b/>
          <w:sz w:val="28"/>
        </w:rPr>
      </w:r>
      <w:r>
        <w:rPr>
          <w:b/>
          <w:sz w:val="28"/>
        </w:rPr>
      </w:r>
      <w:r>
        <w:rPr>
          <w:b/>
          <w:sz w:val="28"/>
        </w:rPr>
      </w:r>
    </w:p>
    <w:p>
      <w:pPr>
        <w:pBdr/>
        <w:spacing w:line="276" w:lineRule="auto"/>
        <w:ind w:right="-1"/>
        <w:jc w:val="center"/>
        <w:rPr>
          <w:b/>
          <w:sz w:val="28"/>
        </w:rPr>
      </w:pPr>
      <w:r>
        <w:rPr>
          <w:b/>
          <w:sz w:val="28"/>
        </w:rPr>
      </w:r>
      <w:r>
        <w:rPr>
          <w:b/>
          <w:sz w:val="28"/>
        </w:rPr>
      </w:r>
      <w:r>
        <w:rPr>
          <w:b/>
          <w:sz w:val="28"/>
        </w:rPr>
      </w:r>
    </w:p>
    <w:p>
      <w:pPr>
        <w:pBdr/>
        <w:spacing w:line="276" w:lineRule="auto"/>
        <w:ind w:right="-1"/>
        <w:jc w:val="center"/>
        <w:rPr>
          <w:b/>
          <w:sz w:val="28"/>
        </w:rPr>
      </w:pPr>
      <w:r>
        <w:rPr>
          <w:b/>
          <w:sz w:val="28"/>
        </w:rPr>
      </w:r>
      <w:r>
        <w:rPr>
          <w:b/>
          <w:sz w:val="28"/>
        </w:rPr>
      </w:r>
      <w:r>
        <w:rPr>
          <w:b/>
          <w:sz w:val="28"/>
        </w:rPr>
      </w:r>
    </w:p>
    <w:p>
      <w:pPr>
        <w:pBdr/>
        <w:spacing w:line="276" w:lineRule="auto"/>
        <w:ind w:right="-1"/>
        <w:jc w:val="center"/>
        <w:rPr>
          <w:b/>
          <w:sz w:val="28"/>
        </w:rPr>
      </w:pPr>
      <w:r>
        <w:rPr>
          <w:b/>
          <w:sz w:val="28"/>
        </w:rPr>
      </w:r>
      <w:r>
        <w:rPr>
          <w:b/>
          <w:sz w:val="28"/>
        </w:rPr>
      </w:r>
      <w:r>
        <w:rPr>
          <w:b/>
          <w:sz w:val="28"/>
        </w:rPr>
      </w:r>
    </w:p>
    <w:p>
      <w:pPr>
        <w:pBdr/>
        <w:spacing w:line="276" w:lineRule="auto"/>
        <w:ind w:right="-1"/>
        <w:jc w:val="center"/>
        <w:rPr>
          <w:b/>
          <w:sz w:val="28"/>
        </w:rPr>
      </w:pPr>
      <w:r>
        <w:rPr>
          <w:b/>
          <w:sz w:val="28"/>
        </w:rPr>
      </w:r>
      <w:r>
        <w:rPr>
          <w:b/>
          <w:sz w:val="28"/>
        </w:rPr>
      </w:r>
      <w:r>
        <w:rPr>
          <w:b/>
          <w:sz w:val="28"/>
        </w:rPr>
      </w:r>
    </w:p>
    <w:p>
      <w:pPr>
        <w:pBdr/>
        <w:spacing w:line="276" w:lineRule="auto"/>
        <w:ind w:right="-1"/>
        <w:jc w:val="center"/>
        <w:rPr>
          <w:b/>
          <w:sz w:val="28"/>
        </w:rPr>
      </w:pPr>
      <w:r>
        <w:rPr>
          <w:b/>
          <w:sz w:val="28"/>
        </w:rPr>
      </w:r>
      <w:r>
        <w:rPr>
          <w:b/>
          <w:sz w:val="28"/>
        </w:rPr>
      </w:r>
      <w:r>
        <w:rPr>
          <w:b/>
          <w:sz w:val="28"/>
        </w:rPr>
      </w:r>
    </w:p>
    <w:p>
      <w:pPr>
        <w:pBdr/>
        <w:spacing w:line="276" w:lineRule="auto"/>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line="276" w:lineRule="auto"/>
        <w:ind w:right="-1"/>
        <w:jc w:val="center"/>
        <w:rPr>
          <w:sz w:val="28"/>
        </w:rPr>
      </w:pPr>
      <w:r>
        <w:rPr>
          <w:b/>
          <w:sz w:val="28"/>
        </w:rPr>
        <w:t xml:space="preserve">MỤC LỤC</w:t>
      </w:r>
      <w:r>
        <w:rPr>
          <w:sz w:val="28"/>
        </w:rPr>
      </w:r>
      <w:r>
        <w:rPr>
          <w:sz w:val="28"/>
        </w:rPr>
      </w:r>
    </w:p>
    <w:p>
      <w:pPr>
        <w:pBdr/>
        <w:spacing w:line="276" w:lineRule="auto"/>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line="276" w:lineRule="auto"/>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line="276" w:lineRule="auto"/>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line="276" w:lineRule="auto"/>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line="276" w:lineRule="auto"/>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line="276" w:lineRule="auto"/>
              <w:ind/>
              <w:rPr>
                <w:b/>
              </w:rPr>
            </w:pPr>
            <w:r>
              <w:rPr>
                <w:b/>
              </w:rPr>
              <w:t xml:space="preserve">Chứng</w:t>
            </w:r>
            <w:r>
              <w:rPr>
                <w:b/>
              </w:rPr>
              <w:t xml:space="preserve"> </w:t>
            </w:r>
            <w:r>
              <w:rPr>
                <w:b/>
              </w:rPr>
              <w:t xml:space="preserve">thư</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line="276" w:lineRule="auto"/>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line="276" w:lineRule="auto"/>
              <w:ind/>
              <w:rPr>
                <w:b/>
              </w:rPr>
            </w:pPr>
            <w:r>
              <w:rPr>
                <w:b/>
              </w:rPr>
              <w:t xml:space="preserve">Báo</w:t>
            </w:r>
            <w:r>
              <w:rPr>
                <w:b/>
              </w:rPr>
              <w:t xml:space="preserve"> </w:t>
            </w:r>
            <w:r>
              <w:rPr>
                <w:b/>
              </w:rPr>
              <w:t xml:space="preserve">cáo</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line="276" w:lineRule="auto"/>
              <w:ind/>
              <w:jc w:val="right"/>
              <w:rPr>
                <w:b/>
                <w:lang w:val="vi-VN"/>
              </w:rPr>
            </w:pPr>
            <w:r>
              <w:rPr>
                <w:b/>
                <w:color w:val="000000" w:themeColor="text1"/>
              </w:rPr>
              <w:t xml:space="preserve">4-17</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line="276" w:lineRule="auto"/>
              <w:ind/>
              <w:rPr>
                <w:b/>
              </w:rPr>
            </w:pPr>
            <w:r>
              <w:rPr>
                <w:b/>
              </w:rPr>
              <w:t xml:space="preserve">Các</w:t>
            </w:r>
            <w:r>
              <w:rPr>
                <w:b/>
              </w:rPr>
              <w:t xml:space="preserve"> </w:t>
            </w:r>
            <w:r>
              <w:rPr>
                <w:b/>
              </w:rPr>
              <w:t xml:space="preserve">phụ</w:t>
            </w:r>
            <w:r>
              <w:rPr>
                <w:b/>
              </w:rPr>
              <w:t xml:space="preserve"> </w:t>
            </w:r>
            <w:r>
              <w:rPr>
                <w:b/>
              </w:rPr>
              <w:t xml:space="preserve">lục</w:t>
            </w:r>
            <w:r>
              <w:rPr>
                <w:b/>
              </w:rPr>
              <w:t xml:space="preserve"> chi </w:t>
            </w:r>
            <w:r>
              <w:rPr>
                <w:b/>
              </w:rPr>
              <w:t xml:space="preserve">tiết</w:t>
            </w:r>
            <w:r>
              <w:rPr>
                <w:b/>
              </w:rPr>
              <w:t xml:space="preserve"> </w:t>
            </w:r>
            <w:r>
              <w:rPr>
                <w:b/>
              </w:rPr>
              <w:t xml:space="preserve">kèm</w:t>
            </w:r>
            <w:r>
              <w:rPr>
                <w:b/>
              </w:rPr>
              <w:t xml:space="preserve"> </w:t>
            </w:r>
            <w:r>
              <w:rPr>
                <w:b/>
              </w:rPr>
              <w:t xml:space="preserve">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line="276" w:lineRule="auto"/>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43"/>
              <w:pBdr/>
              <w:tabs>
                <w:tab w:val="left" w:leader="none" w:pos="993"/>
              </w:tabs>
              <w:spacing w:after="120" w:before="120" w:line="276"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line="276" w:lineRule="auto"/>
              <w:ind/>
              <w:jc w:val="right"/>
              <w:rPr>
                <w:b/>
                <w:bCs/>
              </w:rPr>
            </w:pPr>
            <w:r>
              <w:rPr>
                <w:b/>
                <w:bCs/>
              </w:rPr>
              <w:t xml:space="preserve">18</w:t>
            </w:r>
            <w:r>
              <w:rPr>
                <w:b/>
                <w:bCs/>
              </w:rPr>
            </w:r>
            <w:r>
              <w:rPr>
                <w:b/>
                <w:bCs/>
              </w:rPr>
            </w:r>
          </w:p>
        </w:tc>
      </w:tr>
      <w:tr>
        <w:trPr/>
        <w:tc>
          <w:tcPr>
            <w:tcBorders/>
            <w:tcMar>
              <w:left w:w="108" w:type="dxa"/>
              <w:right w:w="108" w:type="dxa"/>
            </w:tcMar>
            <w:tcW w:w="7280" w:type="dxa"/>
            <w:vAlign w:val="center"/>
            <w:textDirection w:val="lrTb"/>
            <w:noWrap w:val="false"/>
          </w:tcPr>
          <w:p>
            <w:pPr>
              <w:pStyle w:val="1043"/>
              <w:pBdr/>
              <w:tabs>
                <w:tab w:val="left" w:leader="none" w:pos="993"/>
              </w:tabs>
              <w:spacing w:after="120" w:before="120" w:line="276"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2: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thu</w:t>
            </w:r>
            <w:r>
              <w:rPr>
                <w:bCs/>
                <w:lang w:val="pt-BR"/>
              </w:rPr>
              <w:t xml:space="preserve"> </w:t>
            </w:r>
            <w:r>
              <w:rPr>
                <w:bCs/>
                <w:lang w:val="pt-BR"/>
              </w:rPr>
              <w:t xml:space="preserve">thập</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line="276" w:lineRule="auto"/>
              <w:ind/>
              <w:jc w:val="right"/>
              <w:rPr>
                <w:b/>
                <w:bCs/>
              </w:rPr>
            </w:pPr>
            <w:r>
              <w:rPr>
                <w:b/>
                <w:bCs/>
              </w:rPr>
              <w:t xml:space="preserve">19-22</w:t>
            </w:r>
            <w:r>
              <w:rPr>
                <w:b/>
                <w:bCs/>
              </w:rPr>
            </w:r>
            <w:r>
              <w:rPr>
                <w:b/>
                <w:bCs/>
              </w:rPr>
            </w:r>
          </w:p>
        </w:tc>
      </w:tr>
    </w:tbl>
    <w:p>
      <w:pPr>
        <w:pStyle w:val="1042"/>
        <w:pBdr/>
        <w:tabs>
          <w:tab w:val="left" w:leader="none" w:pos="5103"/>
        </w:tabs>
        <w:spacing w:line="276"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2"/>
        <w:pBdr/>
        <w:tabs>
          <w:tab w:val="left" w:leader="none" w:pos="5103"/>
        </w:tabs>
        <w:spacing w:line="276"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2"/>
        <w:pBdr/>
        <w:tabs>
          <w:tab w:val="left" w:leader="none" w:pos="5103"/>
        </w:tabs>
        <w:spacing w:line="276"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2"/>
        <w:pBdr/>
        <w:tabs>
          <w:tab w:val="left" w:leader="none" w:pos="5103"/>
        </w:tabs>
        <w:spacing w:line="276"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2"/>
        <w:pBdr/>
        <w:tabs>
          <w:tab w:val="left" w:leader="none" w:pos="5103"/>
        </w:tabs>
        <w:spacing w:line="276"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2"/>
        <w:pBdr/>
        <w:tabs>
          <w:tab w:val="left" w:leader="none" w:pos="5103"/>
        </w:tabs>
        <w:spacing w:line="276"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2"/>
        <w:pBdr/>
        <w:tabs>
          <w:tab w:val="left" w:leader="none" w:pos="5103"/>
        </w:tabs>
        <w:spacing w:line="276"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2"/>
        <w:pBdr/>
        <w:tabs>
          <w:tab w:val="left" w:leader="none" w:pos="5103"/>
        </w:tabs>
        <w:spacing w:line="276"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2"/>
        <w:pBdr/>
        <w:tabs>
          <w:tab w:val="left" w:leader="none" w:pos="5103"/>
        </w:tabs>
        <w:spacing w:line="276"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2"/>
        <w:pBdr/>
        <w:tabs>
          <w:tab w:val="left" w:leader="none" w:pos="5103"/>
        </w:tabs>
        <w:spacing w:line="276"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2"/>
        <w:pBdr/>
        <w:tabs>
          <w:tab w:val="left" w:leader="none" w:pos="5103"/>
        </w:tabs>
        <w:spacing w:line="276"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2"/>
        <w:pBdr/>
        <w:tabs>
          <w:tab w:val="left" w:leader="none" w:pos="5103"/>
        </w:tabs>
        <w:spacing w:line="276"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2"/>
        <w:pBdr/>
        <w:tabs>
          <w:tab w:val="left" w:leader="none" w:pos="5103"/>
        </w:tabs>
        <w:spacing w:line="276"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2"/>
        <w:pBdr/>
        <w:tabs>
          <w:tab w:val="left" w:leader="none" w:pos="5103"/>
        </w:tabs>
        <w:spacing w:line="276"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2"/>
        <w:pBdr/>
        <w:tabs>
          <w:tab w:val="left" w:leader="none" w:pos="5103"/>
        </w:tabs>
        <w:spacing w:line="276"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2"/>
        <w:pBdr/>
        <w:tabs>
          <w:tab w:val="left" w:leader="none" w:pos="5103"/>
        </w:tabs>
        <w:spacing w:line="276"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2"/>
        <w:pBdr/>
        <w:tabs>
          <w:tab w:val="left" w:leader="none" w:pos="5103"/>
        </w:tabs>
        <w:spacing w:line="276"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2"/>
        <w:pBdr/>
        <w:tabs>
          <w:tab w:val="left" w:leader="none" w:pos="5103"/>
        </w:tabs>
        <w:spacing w:line="276"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2"/>
        <w:pBdr/>
        <w:tabs>
          <w:tab w:val="left" w:leader="none" w:pos="5103"/>
        </w:tabs>
        <w:spacing w:line="276"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Style w:val="1047"/>
        <w:tblInd w:w="135"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2415"/>
        <w:gridCol w:w="2796"/>
        <w:gridCol w:w="5455"/>
      </w:tblGrid>
      <w:tr>
        <w:trPr>
          <w:trHeight w:val="20"/>
        </w:trPr>
        <w:tc>
          <w:tcPr>
            <w:tcBorders/>
            <w:tcMar>
              <w:left w:w="108" w:type="dxa"/>
              <w:top w:w="0" w:type="dxa"/>
              <w:right w:w="108" w:type="dxa"/>
              <w:bottom w:w="0" w:type="dxa"/>
            </w:tcMar>
            <w:tcW w:w="2415"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0" w:line="276" w:lineRule="auto"/>
              <w:ind w:right="0" w:hanging="108" w:left="0"/>
              <w:rPr/>
            </w:pPr>
            <w:r>
              <mc:AlternateContent>
                <mc:Choice Requires="wpg">
                  <w:drawing>
                    <wp:inline xmlns:wp="http://schemas.openxmlformats.org/drawingml/2006/wordprocessingDrawing" distT="0" distB="0" distL="0" distR="0">
                      <wp:extent cx="1095375" cy="1038225"/>
                      <wp:effectExtent l="0" t="0" r="0" b="0"/>
                      <wp:docPr id="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3495704" name=""/>
                              <pic:cNvPicPr>
                                <a:picLocks noChangeAspect="1"/>
                              </pic:cNvPicPr>
                              <pic:nvPr/>
                            </pic:nvPicPr>
                            <pic:blipFill rotWithShape="1">
                              <a:blip r:embed="rId14"/>
                              <a:stretch/>
                            </pic:blipFill>
                            <pic:spPr bwMode="auto">
                              <a:xfrm>
                                <a:off x="0" y="0"/>
                                <a:ext cx="1095374" cy="103822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6.25pt;height:81.75pt;mso-wrap-distance-left:0.00pt;mso-wrap-distance-top:0.00pt;mso-wrap-distance-right:0.00pt;mso-wrap-distance-bottom:0.00pt;z-index:1;" stroked="false">
                      <v:imagedata r:id="rId14" o:title=""/>
                      <o:lock v:ext="edit" rotation="t"/>
                    </v:shape>
                  </w:pict>
                </mc:Fallback>
              </mc:AlternateContent>
            </w:r>
            <w:r/>
          </w:p>
        </w:tc>
        <w:tc>
          <w:tcPr>
            <w:gridSpan w:val="2"/>
            <w:tcBorders/>
            <w:tcMar>
              <w:left w:w="108" w:type="dxa"/>
              <w:top w:w="0" w:type="dxa"/>
              <w:right w:w="108" w:type="dxa"/>
              <w:bottom w:w="0" w:type="dxa"/>
            </w:tcMar>
            <w:tcW w:w="8251"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0" w:line="276" w:lineRule="auto"/>
              <w:ind w:right="0" w:firstLine="0" w:left="0"/>
              <w:jc w:val="both"/>
              <w:rPr/>
            </w:pPr>
            <w:r>
              <w:rPr>
                <w:rFonts w:ascii="Times New Roman" w:hAnsi="Times New Roman" w:eastAsia="Times New Roman" w:cs="Times New Roman"/>
                <w:b/>
                <w:color w:val="000000"/>
                <w:sz w:val="24"/>
              </w:rPr>
              <w:t xml:space="preserve">CÔNG TY CỔ PHẦN THẨM ĐỊNH VÀ ĐẦU TƯ TÀI CHÍNH HOA SEN</w:t>
            </w:r>
            <w:r/>
          </w:p>
          <w:p>
            <w:pPr>
              <w:pBdr>
                <w:top w:val="none" w:color="000000" w:sz="4" w:space="0"/>
                <w:left w:val="none" w:color="000000" w:sz="4" w:space="0"/>
                <w:bottom w:val="none" w:color="000000" w:sz="4" w:space="0"/>
                <w:right w:val="none" w:color="000000" w:sz="4" w:space="0"/>
              </w:pBdr>
              <w:spacing w:after="0" w:before="0" w:line="276" w:lineRule="auto"/>
              <w:ind w:right="0" w:firstLine="0" w:left="0"/>
              <w:jc w:val="both"/>
              <w:rPr/>
            </w:pPr>
            <w:r>
              <w:rPr>
                <w:rFonts w:ascii="Times New Roman" w:hAnsi="Times New Roman" w:eastAsia="Times New Roman" w:cs="Times New Roman"/>
                <w:color w:val="000000"/>
                <w:sz w:val="24"/>
              </w:rPr>
              <w:t xml:space="preserve">Trụ sở: BT5-23 khu đô thị mới Văn Phú, P. Kiến Hưng, TP. Hà Nội</w:t>
            </w:r>
            <w:r/>
          </w:p>
          <w:p>
            <w:pPr>
              <w:pBdr>
                <w:top w:val="none" w:color="000000" w:sz="4" w:space="0"/>
                <w:left w:val="none" w:color="000000" w:sz="4" w:space="0"/>
                <w:bottom w:val="none" w:color="000000" w:sz="4" w:space="0"/>
                <w:right w:val="none" w:color="000000" w:sz="4" w:space="0"/>
              </w:pBdr>
              <w:spacing w:after="0" w:before="0" w:line="276" w:lineRule="auto"/>
              <w:ind w:right="0" w:firstLine="0" w:left="0"/>
              <w:jc w:val="both"/>
              <w:rPr/>
            </w:pPr>
            <w:r>
              <w:rPr>
                <w:rFonts w:ascii="Times New Roman" w:hAnsi="Times New Roman" w:eastAsia="Times New Roman" w:cs="Times New Roman"/>
                <w:color w:val="000000"/>
                <w:sz w:val="24"/>
              </w:rPr>
              <w:t xml:space="preserve">Điện thoại: 085 329 3333/ 024 2264 4333</w:t>
            </w:r>
            <w:r/>
          </w:p>
          <w:p>
            <w:pPr>
              <w:pBdr>
                <w:top w:val="none" w:color="000000" w:sz="4" w:space="0"/>
                <w:left w:val="none" w:color="000000" w:sz="4" w:space="0"/>
                <w:bottom w:val="none" w:color="000000" w:sz="4" w:space="0"/>
                <w:right w:val="none" w:color="000000" w:sz="4" w:space="0"/>
              </w:pBdr>
              <w:spacing w:after="0" w:before="0" w:line="276" w:lineRule="auto"/>
              <w:ind w:right="0" w:firstLine="0" w:left="0"/>
              <w:jc w:val="both"/>
              <w:rPr/>
            </w:pPr>
            <w:r>
              <w:rPr>
                <w:rFonts w:ascii="Times New Roman" w:hAnsi="Times New Roman" w:eastAsia="Times New Roman" w:cs="Times New Roman"/>
                <w:color w:val="000000"/>
                <w:sz w:val="24"/>
              </w:rPr>
              <w:t xml:space="preserve">Email: </w:t>
            </w:r>
            <w:hyperlink r:id="rId15" w:tooltip="mailto:ilotus.contact@gmail.com" w:history="1">
              <w:r>
                <w:rPr>
                  <w:rStyle w:val="1033"/>
                  <w:rFonts w:ascii="Arial" w:hAnsi="Arial" w:eastAsia="Arial" w:cs="Arial"/>
                  <w:color w:val="0000ff"/>
                  <w:sz w:val="22"/>
                  <w:u w:val="none"/>
                </w:rPr>
                <w:t xml:space="preserve">ilotus.contact@gmail.com</w:t>
              </w:r>
            </w:hyperlink>
            <w:r>
              <w:rPr>
                <w:rFonts w:ascii="Times New Roman" w:hAnsi="Times New Roman" w:eastAsia="Times New Roman" w:cs="Times New Roman"/>
                <w:color w:val="000000"/>
                <w:sz w:val="24"/>
              </w:rPr>
              <w:t xml:space="preserve"> Website: ilotus.com.vn</w:t>
            </w:r>
            <w:r/>
          </w:p>
        </w:tc>
      </w:tr>
      <w:tr>
        <w:trPr>
          <w:trHeight w:val="20"/>
        </w:trPr>
        <w:tc>
          <w:tcPr>
            <w:gridSpan w:val="2"/>
            <w:tcBorders/>
            <w:tcMar>
              <w:left w:w="108" w:type="dxa"/>
              <w:top w:w="0" w:type="dxa"/>
              <w:right w:w="108" w:type="dxa"/>
              <w:bottom w:w="0" w:type="dxa"/>
            </w:tcMar>
            <w:tcW w:w="521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line="276" w:lineRule="auto"/>
              <w:ind w:right="0" w:hanging="108" w:left="0"/>
              <w:rPr/>
            </w:pPr>
            <w:r>
              <w:rPr>
                <w:rFonts w:ascii="Times New Roman" w:hAnsi="Times New Roman" w:eastAsia="Times New Roman" w:cs="Times New Roman"/>
                <w:color w:val="000000"/>
                <w:sz w:val="24"/>
              </w:rPr>
              <w:t xml:space="preserve">Số: 275/2026/0196/VFI-CT.27.A</w:t>
            </w:r>
            <w:r/>
          </w:p>
        </w:tc>
        <w:tc>
          <w:tcPr>
            <w:tcBorders/>
            <w:tcMar>
              <w:left w:w="108" w:type="dxa"/>
              <w:top w:w="0" w:type="dxa"/>
              <w:right w:w="108" w:type="dxa"/>
              <w:bottom w:w="0" w:type="dxa"/>
            </w:tcMar>
            <w:tcW w:w="545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line="276" w:lineRule="auto"/>
              <w:ind w:right="0" w:firstLine="0" w:left="0"/>
              <w:jc w:val="right"/>
              <w:rPr/>
            </w:pPr>
            <w:r>
              <w:rPr>
                <w:rFonts w:ascii="Times New Roman" w:hAnsi="Times New Roman" w:eastAsia="Times New Roman" w:cs="Times New Roman"/>
                <w:i/>
                <w:color w:val="000000"/>
                <w:sz w:val="24"/>
              </w:rPr>
              <w:t xml:space="preserve">TP. Hà Nội, ngày 26 tháng 01 năm 2026</w:t>
            </w:r>
            <w:r/>
          </w:p>
        </w:tc>
      </w:tr>
      <w:tr>
        <w:trPr/>
        <w:tc>
          <w:tcPr>
            <w:tcBorders/>
            <w:tcMar>
              <w:left w:w="0" w:type="dxa"/>
              <w:top w:w="0" w:type="dxa"/>
              <w:right w:w="0" w:type="dxa"/>
              <w:bottom w:w="0" w:type="dxa"/>
            </w:tcMar>
            <w:tcW w:w="2415" w:type="dxa"/>
            <w:vAlign w:val="center"/>
            <w:textDirection w:val="lrTb"/>
            <w:noWrap w:val="false"/>
          </w:tcPr>
          <w:p>
            <w:pPr>
              <w:pBdr/>
              <w:spacing w:after="0" w:before="0" w:line="276" w:lineRule="auto"/>
              <w:ind/>
              <w:rPr/>
            </w:pPr>
            <w:r/>
            <w:r/>
          </w:p>
        </w:tc>
        <w:tc>
          <w:tcPr>
            <w:tcBorders/>
            <w:tcMar>
              <w:left w:w="0" w:type="dxa"/>
              <w:top w:w="0" w:type="dxa"/>
              <w:right w:w="0" w:type="dxa"/>
              <w:bottom w:w="0" w:type="dxa"/>
            </w:tcMar>
            <w:tcW w:w="2796" w:type="dxa"/>
            <w:vAlign w:val="center"/>
            <w:textDirection w:val="lrTb"/>
            <w:noWrap w:val="false"/>
          </w:tcPr>
          <w:p>
            <w:pPr>
              <w:pBdr/>
              <w:spacing w:after="0" w:before="0" w:line="276" w:lineRule="auto"/>
              <w:ind/>
              <w:rPr/>
            </w:pPr>
            <w:r/>
            <w:r/>
          </w:p>
        </w:tc>
        <w:tc>
          <w:tcPr>
            <w:tcBorders/>
            <w:tcMar>
              <w:left w:w="0" w:type="dxa"/>
              <w:top w:w="0" w:type="dxa"/>
              <w:right w:w="0" w:type="dxa"/>
              <w:bottom w:w="0" w:type="dxa"/>
            </w:tcMar>
            <w:tcW w:w="5455" w:type="dxa"/>
            <w:vAlign w:val="center"/>
            <w:textDirection w:val="lrTb"/>
            <w:noWrap w:val="false"/>
          </w:tcPr>
          <w:p>
            <w:pPr>
              <w:pBdr/>
              <w:spacing w:after="0" w:before="0" w:line="276" w:lineRule="auto"/>
              <w:ind/>
              <w:rPr/>
            </w:pPr>
            <w:r/>
            <w:r/>
          </w:p>
        </w:tc>
      </w:tr>
    </w:tbl>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b/>
          <w:color w:val="000000"/>
          <w:sz w:val="30"/>
        </w:rPr>
        <w:t xml:space="preserve">CHỨNG THƯ THẨM ĐỊNH GIÁ</w:t>
      </w:r>
      <w:r/>
    </w:p>
    <w:p>
      <w:pPr>
        <w:pBdr>
          <w:top w:val="none" w:color="000000" w:sz="4" w:space="0"/>
          <w:left w:val="none" w:color="000000" w:sz="4" w:space="0"/>
          <w:bottom w:val="none" w:color="000000" w:sz="4" w:space="0"/>
          <w:right w:val="none" w:color="000000" w:sz="4" w:space="0"/>
        </w:pBdr>
        <w:spacing w:after="240" w:line="276" w:lineRule="auto"/>
        <w:ind w:right="0" w:firstLine="0" w:left="0"/>
        <w:jc w:val="center"/>
        <w:rPr/>
      </w:pPr>
      <w:r>
        <w:rPr>
          <w:rFonts w:ascii="Times New Roman" w:hAnsi="Times New Roman" w:eastAsia="Times New Roman" w:cs="Times New Roman"/>
          <w:b/>
          <w:color w:val="000000"/>
          <w:sz w:val="24"/>
          <w:u w:val="single"/>
        </w:rPr>
        <w:t xml:space="preserve">Kính gửi</w:t>
      </w:r>
      <w:r>
        <w:rPr>
          <w:rFonts w:ascii="Times New Roman" w:hAnsi="Times New Roman" w:eastAsia="Times New Roman" w:cs="Times New Roman"/>
          <w:b/>
          <w:color w:val="000000"/>
          <w:sz w:val="24"/>
        </w:rPr>
        <w:t xml:space="preserve">: ÔNG BÙI ĐỨC TOÀN</w:t>
      </w:r>
      <w:r/>
    </w:p>
    <w:p>
      <w:pPr>
        <w:pBdr>
          <w:top w:val="none" w:color="000000" w:sz="4" w:space="0"/>
          <w:left w:val="none" w:color="000000" w:sz="4" w:space="0"/>
          <w:bottom w:val="none" w:color="000000" w:sz="4" w:space="0"/>
          <w:right w:val="none" w:color="000000" w:sz="4" w:space="0"/>
        </w:pBdr>
        <w:spacing w:after="0" w:line="276" w:lineRule="auto"/>
        <w:ind w:right="0" w:firstLine="426" w:left="0"/>
        <w:jc w:val="both"/>
        <w:rPr/>
      </w:pPr>
      <w:r>
        <w:rPr>
          <w:rFonts w:ascii="Times New Roman" w:hAnsi="Times New Roman" w:eastAsia="Times New Roman" w:cs="Times New Roman"/>
          <w:color w:val="000000"/>
          <w:sz w:val="24"/>
        </w:rPr>
        <w:t xml:space="preserve">Căn cứ Hợp đồng thẩm định giá số 275/2026/0196/VFI-HĐTĐ.27.A ký ngày 25/01/2026 giữa ông Bùi Đức Toàn với Công ty Cổ phần Thẩm định và Đầu tư Tài chính Hoa Sen; </w:t>
      </w:r>
      <w:r/>
    </w:p>
    <w:p>
      <w:pPr>
        <w:pBdr>
          <w:top w:val="none" w:color="000000" w:sz="4" w:space="0"/>
          <w:left w:val="none" w:color="000000" w:sz="4" w:space="0"/>
          <w:bottom w:val="none" w:color="000000" w:sz="4" w:space="0"/>
          <w:right w:val="none" w:color="000000" w:sz="4" w:space="0"/>
        </w:pBdr>
        <w:spacing w:after="0" w:before="120" w:line="276" w:lineRule="auto"/>
        <w:ind w:right="0" w:firstLine="426" w:left="0"/>
        <w:jc w:val="both"/>
        <w:rPr/>
      </w:pPr>
      <w:r>
        <w:rPr>
          <w:rFonts w:ascii="Times New Roman" w:hAnsi="Times New Roman" w:eastAsia="Times New Roman" w:cs="Times New Roman"/>
          <w:color w:val="000000"/>
          <w:sz w:val="24"/>
        </w:rPr>
        <w:t xml:space="preserve">Căn cứ Báo cáo thẩm định giá số 275/2026/0196/VFI-BC.27.A ngày 26/01/2026 của Công ty Cổ phần Thẩm định và Đầu tư Tài chính Hoa Sen;</w:t>
      </w:r>
      <w:r/>
    </w:p>
    <w:p>
      <w:pPr>
        <w:pBdr>
          <w:top w:val="none" w:color="000000" w:sz="4" w:space="0"/>
          <w:left w:val="none" w:color="000000" w:sz="4" w:space="0"/>
          <w:bottom w:val="none" w:color="000000" w:sz="4" w:space="0"/>
          <w:right w:val="none" w:color="000000" w:sz="4" w:space="0"/>
        </w:pBdr>
        <w:spacing w:after="0" w:before="120" w:line="276" w:lineRule="auto"/>
        <w:ind w:right="0" w:firstLine="426" w:left="0"/>
        <w:jc w:val="both"/>
        <w:rPr/>
      </w:pPr>
      <w:r>
        <w:rPr>
          <w:rFonts w:ascii="Times New Roman" w:hAnsi="Times New Roman" w:eastAsia="Times New Roman" w:cs="Times New Roman"/>
          <w:color w:val="000000"/>
          <w:sz w:val="24"/>
        </w:rPr>
        <w:t xml:space="preserve">Công ty Cổ phần Thẩm định và Đầu tư Tài chính Hoa Sen cung cấp Chứng thư thẩm định giá tài sản với nội dung sau:</w:t>
      </w:r>
      <w:r/>
    </w:p>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pPr>
      <w:r>
        <w:rPr>
          <w:rFonts w:ascii="Times New Roman" w:hAnsi="Times New Roman" w:eastAsia="Times New Roman" w:cs="Times New Roman"/>
          <w:b/>
          <w:color w:val="000000"/>
          <w:sz w:val="24"/>
        </w:rPr>
        <w:t xml:space="preserve">1. Khách hàng yêu cầu thẩm định giá:</w:t>
      </w:r>
      <w:r/>
    </w:p>
    <w:tbl>
      <w:tblPr>
        <w:tblStyle w:val="1047"/>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1951"/>
        <w:gridCol w:w="283"/>
        <w:gridCol w:w="7230"/>
      </w:tblGrid>
      <w:tr>
        <w:trPr>
          <w:trHeight w:val="284"/>
        </w:trPr>
        <w:tc>
          <w:tcPr>
            <w:tcBorders/>
            <w:tcMar>
              <w:left w:w="108" w:type="dxa"/>
              <w:top w:w="0" w:type="dxa"/>
              <w:right w:w="108" w:type="dxa"/>
              <w:bottom w:w="0" w:type="dxa"/>
            </w:tcMar>
            <w:tcW w:w="1951" w:type="dxa"/>
            <w:vAlign w:val="center"/>
            <w:textDirection w:val="lrTb"/>
            <w:noWrap w:val="false"/>
          </w:tcPr>
          <w:p>
            <w:pPr>
              <w:pBdr>
                <w:top w:val="none" w:color="000000" w:sz="4" w:space="0"/>
                <w:left w:val="none" w:color="000000" w:sz="4" w:space="0"/>
                <w:bottom w:val="none" w:color="000000" w:sz="4" w:space="0"/>
                <w:right w:val="none" w:color="000000" w:sz="4" w:space="0"/>
              </w:pBdr>
              <w:spacing w:before="120" w:line="276" w:lineRule="auto"/>
              <w:ind w:right="0" w:firstLine="0" w:left="0"/>
              <w:rPr/>
            </w:pPr>
            <w:r>
              <w:rPr>
                <w:rFonts w:ascii="Times New Roman" w:hAnsi="Times New Roman" w:eastAsia="Times New Roman" w:cs="Times New Roman"/>
                <w:color w:val="000000"/>
                <w:sz w:val="24"/>
              </w:rPr>
              <w:t xml:space="preserve">Tên khách hàng</w:t>
            </w:r>
            <w:r/>
          </w:p>
        </w:tc>
        <w:tc>
          <w:tcPr>
            <w:tcBorders/>
            <w:tcMar>
              <w:left w:w="108" w:type="dxa"/>
              <w:top w:w="0" w:type="dxa"/>
              <w:right w:w="108" w:type="dxa"/>
              <w:bottom w:w="0" w:type="dxa"/>
            </w:tcMar>
            <w:tcW w:w="283" w:type="dxa"/>
            <w:vAlign w:val="center"/>
            <w:textDirection w:val="lrTb"/>
            <w:noWrap w:val="false"/>
          </w:tcPr>
          <w:p>
            <w:pPr>
              <w:pBdr>
                <w:top w:val="none" w:color="000000" w:sz="4" w:space="0"/>
                <w:left w:val="none" w:color="000000" w:sz="4" w:space="0"/>
                <w:bottom w:val="none" w:color="000000" w:sz="4" w:space="0"/>
                <w:right w:val="none" w:color="000000" w:sz="4" w:space="0"/>
              </w:pBdr>
              <w:spacing w:before="120" w:line="276" w:lineRule="auto"/>
              <w:ind w:right="0" w:firstLine="0" w:left="0"/>
              <w:jc w:val="both"/>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7230" w:type="dxa"/>
            <w:vAlign w:val="center"/>
            <w:textDirection w:val="lrTb"/>
            <w:noWrap w:val="false"/>
          </w:tcPr>
          <w:p>
            <w:pPr>
              <w:pBdr>
                <w:top w:val="none" w:color="000000" w:sz="4" w:space="0"/>
                <w:left w:val="none" w:color="000000" w:sz="4" w:space="0"/>
                <w:bottom w:val="none" w:color="000000" w:sz="4" w:space="0"/>
                <w:right w:val="none" w:color="000000" w:sz="4" w:space="0"/>
              </w:pBdr>
              <w:spacing w:before="120" w:line="276" w:lineRule="auto"/>
              <w:ind w:right="0" w:firstLine="0" w:left="0"/>
              <w:rPr/>
            </w:pPr>
            <w:r>
              <w:rPr>
                <w:rFonts w:ascii="Times New Roman" w:hAnsi="Times New Roman" w:eastAsia="Times New Roman" w:cs="Times New Roman"/>
                <w:b/>
                <w:color w:val="000000"/>
                <w:sz w:val="24"/>
              </w:rPr>
              <w:t xml:space="preserve">ÔNG BÙI ĐỨC TOÀN</w:t>
            </w:r>
            <w:r/>
          </w:p>
        </w:tc>
      </w:tr>
      <w:tr>
        <w:trPr>
          <w:trHeight w:val="284"/>
        </w:trPr>
        <w:tc>
          <w:tcPr>
            <w:tcBorders/>
            <w:tcMar>
              <w:left w:w="108" w:type="dxa"/>
              <w:top w:w="0" w:type="dxa"/>
              <w:right w:w="108" w:type="dxa"/>
              <w:bottom w:w="0" w:type="dxa"/>
            </w:tcMar>
            <w:tcW w:w="1951" w:type="dxa"/>
            <w:vAlign w:val="center"/>
            <w:textDirection w:val="lrTb"/>
            <w:noWrap w:val="false"/>
          </w:tcPr>
          <w:p>
            <w:pPr>
              <w:pBdr>
                <w:top w:val="none" w:color="000000" w:sz="4" w:space="0"/>
                <w:left w:val="none" w:color="000000" w:sz="4" w:space="0"/>
                <w:bottom w:val="none" w:color="000000" w:sz="4" w:space="0"/>
                <w:right w:val="none" w:color="000000" w:sz="4" w:space="0"/>
              </w:pBdr>
              <w:spacing w:before="120" w:line="276" w:lineRule="auto"/>
              <w:ind w:right="0" w:firstLine="0" w:left="0"/>
              <w:jc w:val="both"/>
              <w:rPr>
                <w:color w:val="000000" w:themeColor="text1"/>
              </w:rPr>
            </w:pPr>
            <w:r>
              <w:rPr>
                <w:rFonts w:ascii="Times New Roman" w:hAnsi="Times New Roman" w:eastAsia="Times New Roman" w:cs="Times New Roman"/>
                <w:color w:val="000000" w:themeColor="text1"/>
                <w:sz w:val="24"/>
              </w:rPr>
              <w:t xml:space="preserve">Năm sinh</w:t>
            </w:r>
            <w:r>
              <w:rPr>
                <w:color w:val="000000" w:themeColor="text1"/>
              </w:rPr>
            </w:r>
            <w:r>
              <w:rPr>
                <w:color w:val="000000" w:themeColor="text1"/>
              </w:rPr>
            </w:r>
          </w:p>
        </w:tc>
        <w:tc>
          <w:tcPr>
            <w:tcBorders/>
            <w:tcMar>
              <w:left w:w="108" w:type="dxa"/>
              <w:top w:w="0" w:type="dxa"/>
              <w:right w:w="108" w:type="dxa"/>
              <w:bottom w:w="0" w:type="dxa"/>
            </w:tcMar>
            <w:tcW w:w="283" w:type="dxa"/>
            <w:vAlign w:val="center"/>
            <w:textDirection w:val="lrTb"/>
            <w:noWrap w:val="false"/>
          </w:tcPr>
          <w:p>
            <w:pPr>
              <w:pBdr>
                <w:top w:val="none" w:color="000000" w:sz="4" w:space="0"/>
                <w:left w:val="none" w:color="000000" w:sz="4" w:space="0"/>
                <w:bottom w:val="none" w:color="000000" w:sz="4" w:space="0"/>
                <w:right w:val="none" w:color="000000" w:sz="4" w:space="0"/>
              </w:pBdr>
              <w:spacing w:before="120" w:line="276" w:lineRule="auto"/>
              <w:ind w:right="0" w:firstLine="0" w:left="0"/>
              <w:jc w:val="both"/>
              <w:rPr>
                <w:color w:val="000000" w:themeColor="text1"/>
              </w:rPr>
            </w:pPr>
            <w:r>
              <w:rPr>
                <w:rFonts w:ascii="Times New Roman" w:hAnsi="Times New Roman" w:eastAsia="Times New Roman" w:cs="Times New Roman"/>
                <w:color w:val="000000" w:themeColor="text1"/>
                <w:sz w:val="24"/>
              </w:rPr>
              <w:t xml:space="preserve">:</w:t>
            </w:r>
            <w:r>
              <w:rPr>
                <w:color w:val="000000" w:themeColor="text1"/>
              </w:rPr>
            </w:r>
            <w:r>
              <w:rPr>
                <w:color w:val="000000" w:themeColor="text1"/>
              </w:rPr>
            </w:r>
          </w:p>
        </w:tc>
        <w:tc>
          <w:tcPr>
            <w:tcBorders/>
            <w:tcMar>
              <w:left w:w="108" w:type="dxa"/>
              <w:top w:w="0" w:type="dxa"/>
              <w:right w:w="108" w:type="dxa"/>
              <w:bottom w:w="0" w:type="dxa"/>
            </w:tcMar>
            <w:tcW w:w="7230" w:type="dxa"/>
            <w:vAlign w:val="center"/>
            <w:textDirection w:val="lrTb"/>
            <w:noWrap w:val="false"/>
          </w:tcPr>
          <w:p>
            <w:pPr>
              <w:pBdr>
                <w:top w:val="none" w:color="000000" w:sz="4" w:space="0"/>
                <w:left w:val="none" w:color="000000" w:sz="4" w:space="0"/>
                <w:bottom w:val="none" w:color="000000" w:sz="4" w:space="0"/>
                <w:right w:val="none" w:color="000000" w:sz="4" w:space="0"/>
              </w:pBdr>
              <w:spacing w:before="120" w:line="276" w:lineRule="auto"/>
              <w:ind w:right="0" w:firstLine="0" w:left="0"/>
              <w:jc w:val="both"/>
              <w:rPr>
                <w:color w:val="000000" w:themeColor="text1"/>
              </w:rPr>
            </w:pPr>
            <w:r>
              <w:rPr>
                <w:rFonts w:ascii="Times New Roman" w:hAnsi="Times New Roman" w:eastAsia="Times New Roman" w:cs="Times New Roman"/>
                <w:color w:val="000000" w:themeColor="text1"/>
                <w:sz w:val="24"/>
              </w:rPr>
              <w:t xml:space="preserve">1966</w:t>
            </w:r>
            <w:r>
              <w:rPr>
                <w:color w:val="000000" w:themeColor="text1"/>
              </w:rPr>
            </w:r>
            <w:r>
              <w:rPr>
                <w:color w:val="000000" w:themeColor="text1"/>
              </w:rPr>
            </w:r>
          </w:p>
        </w:tc>
      </w:tr>
      <w:tr>
        <w:trPr>
          <w:trHeight w:val="284"/>
        </w:trPr>
        <w:tc>
          <w:tcPr>
            <w:tcBorders/>
            <w:tcMar>
              <w:left w:w="108" w:type="dxa"/>
              <w:top w:w="0" w:type="dxa"/>
              <w:right w:w="108" w:type="dxa"/>
              <w:bottom w:w="0" w:type="dxa"/>
            </w:tcMar>
            <w:tcW w:w="1951" w:type="dxa"/>
            <w:vAlign w:val="center"/>
            <w:textDirection w:val="lrTb"/>
            <w:noWrap w:val="false"/>
          </w:tcPr>
          <w:p>
            <w:pPr>
              <w:pBdr>
                <w:top w:val="none" w:color="000000" w:sz="4" w:space="0"/>
                <w:left w:val="none" w:color="000000" w:sz="4" w:space="0"/>
                <w:bottom w:val="none" w:color="000000" w:sz="4" w:space="0"/>
                <w:right w:val="none" w:color="000000" w:sz="4" w:space="0"/>
              </w:pBdr>
              <w:spacing w:before="120" w:line="276" w:lineRule="auto"/>
              <w:ind w:right="0" w:firstLine="0" w:left="0"/>
              <w:jc w:val="both"/>
              <w:rPr>
                <w:color w:val="000000" w:themeColor="text1"/>
              </w:rPr>
            </w:pPr>
            <w:r>
              <w:rPr>
                <w:rFonts w:ascii="Times New Roman" w:hAnsi="Times New Roman" w:eastAsia="Times New Roman" w:cs="Times New Roman"/>
                <w:color w:val="000000" w:themeColor="text1"/>
                <w:sz w:val="24"/>
              </w:rPr>
              <w:t xml:space="preserve">CCCD số</w:t>
            </w:r>
            <w:r>
              <w:rPr>
                <w:color w:val="000000" w:themeColor="text1"/>
              </w:rPr>
            </w:r>
            <w:r>
              <w:rPr>
                <w:color w:val="000000" w:themeColor="text1"/>
              </w:rPr>
            </w:r>
          </w:p>
        </w:tc>
        <w:tc>
          <w:tcPr>
            <w:tcBorders/>
            <w:tcMar>
              <w:left w:w="108" w:type="dxa"/>
              <w:top w:w="0" w:type="dxa"/>
              <w:right w:w="108" w:type="dxa"/>
              <w:bottom w:w="0" w:type="dxa"/>
            </w:tcMar>
            <w:tcW w:w="283" w:type="dxa"/>
            <w:vAlign w:val="center"/>
            <w:textDirection w:val="lrTb"/>
            <w:noWrap w:val="false"/>
          </w:tcPr>
          <w:p>
            <w:pPr>
              <w:pBdr>
                <w:top w:val="none" w:color="000000" w:sz="4" w:space="0"/>
                <w:left w:val="none" w:color="000000" w:sz="4" w:space="0"/>
                <w:bottom w:val="none" w:color="000000" w:sz="4" w:space="0"/>
                <w:right w:val="none" w:color="000000" w:sz="4" w:space="0"/>
              </w:pBdr>
              <w:spacing w:before="120" w:line="276" w:lineRule="auto"/>
              <w:ind w:right="0" w:firstLine="0" w:left="0"/>
              <w:jc w:val="both"/>
              <w:rPr>
                <w:color w:val="000000" w:themeColor="text1"/>
              </w:rPr>
            </w:pPr>
            <w:r>
              <w:rPr>
                <w:rFonts w:ascii="Times New Roman" w:hAnsi="Times New Roman" w:eastAsia="Times New Roman" w:cs="Times New Roman"/>
                <w:color w:val="000000" w:themeColor="text1"/>
                <w:sz w:val="24"/>
              </w:rPr>
              <w:t xml:space="preserve">:</w:t>
            </w:r>
            <w:r>
              <w:rPr>
                <w:color w:val="000000" w:themeColor="text1"/>
              </w:rPr>
            </w:r>
            <w:r>
              <w:rPr>
                <w:color w:val="000000" w:themeColor="text1"/>
              </w:rPr>
            </w:r>
          </w:p>
        </w:tc>
        <w:tc>
          <w:tcPr>
            <w:tcBorders/>
            <w:tcMar>
              <w:left w:w="108" w:type="dxa"/>
              <w:top w:w="0" w:type="dxa"/>
              <w:right w:w="108" w:type="dxa"/>
              <w:bottom w:w="0" w:type="dxa"/>
            </w:tcMar>
            <w:tcW w:w="7230" w:type="dxa"/>
            <w:vAlign w:val="center"/>
            <w:textDirection w:val="lrTb"/>
            <w:noWrap w:val="false"/>
          </w:tcPr>
          <w:p>
            <w:pPr>
              <w:pBdr>
                <w:top w:val="none" w:color="000000" w:sz="4" w:space="0"/>
                <w:left w:val="none" w:color="000000" w:sz="4" w:space="0"/>
                <w:bottom w:val="none" w:color="000000" w:sz="4" w:space="0"/>
                <w:right w:val="none" w:color="000000" w:sz="4" w:space="0"/>
              </w:pBdr>
              <w:spacing w:before="120" w:line="276" w:lineRule="auto"/>
              <w:ind w:right="0" w:firstLine="0" w:left="0"/>
              <w:jc w:val="both"/>
              <w:rPr>
                <w:color w:val="000000" w:themeColor="text1"/>
              </w:rPr>
            </w:pPr>
            <w:r>
              <w:rPr>
                <w:rFonts w:ascii="Times New Roman" w:hAnsi="Times New Roman" w:eastAsia="Times New Roman" w:cs="Times New Roman"/>
                <w:color w:val="000000" w:themeColor="text1"/>
                <w:sz w:val="24"/>
              </w:rPr>
              <w:t xml:space="preserve">034066017095</w:t>
            </w:r>
            <w:r>
              <w:rPr>
                <w:color w:val="000000" w:themeColor="text1"/>
              </w:rPr>
            </w:r>
            <w:r>
              <w:rPr>
                <w:color w:val="000000" w:themeColor="text1"/>
              </w:rPr>
            </w:r>
          </w:p>
        </w:tc>
      </w:tr>
      <w:tr>
        <w:trPr>
          <w:trHeight w:val="284"/>
        </w:trPr>
        <w:tc>
          <w:tcPr>
            <w:tcBorders/>
            <w:tcMar>
              <w:left w:w="108" w:type="dxa"/>
              <w:top w:w="0" w:type="dxa"/>
              <w:right w:w="108" w:type="dxa"/>
              <w:bottom w:w="0" w:type="dxa"/>
            </w:tcMar>
            <w:tcW w:w="1951" w:type="dxa"/>
            <w:vAlign w:val="center"/>
            <w:textDirection w:val="lrTb"/>
            <w:noWrap w:val="false"/>
          </w:tcPr>
          <w:p>
            <w:pPr>
              <w:pBdr>
                <w:top w:val="none" w:color="000000" w:sz="4" w:space="0"/>
                <w:left w:val="none" w:color="000000" w:sz="4" w:space="0"/>
                <w:bottom w:val="none" w:color="000000" w:sz="4" w:space="0"/>
                <w:right w:val="none" w:color="000000" w:sz="4" w:space="0"/>
              </w:pBdr>
              <w:spacing w:before="120" w:line="276" w:lineRule="auto"/>
              <w:ind w:right="0" w:firstLine="0" w:left="0"/>
              <w:jc w:val="both"/>
              <w:rPr>
                <w:color w:val="000000" w:themeColor="text1"/>
              </w:rPr>
            </w:pPr>
            <w:r>
              <w:rPr>
                <w:rFonts w:ascii="Times New Roman" w:hAnsi="Times New Roman" w:eastAsia="Times New Roman" w:cs="Times New Roman"/>
                <w:color w:val="000000" w:themeColor="text1"/>
                <w:spacing w:val="-6"/>
                <w:sz w:val="24"/>
              </w:rPr>
              <w:t xml:space="preserve">Địa chỉ</w:t>
            </w:r>
            <w:r>
              <w:rPr>
                <w:color w:val="000000" w:themeColor="text1"/>
              </w:rPr>
            </w:r>
            <w:r>
              <w:rPr>
                <w:color w:val="000000" w:themeColor="text1"/>
              </w:rPr>
            </w:r>
          </w:p>
        </w:tc>
        <w:tc>
          <w:tcPr>
            <w:tcBorders/>
            <w:tcMar>
              <w:left w:w="108" w:type="dxa"/>
              <w:top w:w="0" w:type="dxa"/>
              <w:right w:w="108" w:type="dxa"/>
              <w:bottom w:w="0" w:type="dxa"/>
            </w:tcMar>
            <w:tcW w:w="283" w:type="dxa"/>
            <w:vAlign w:val="center"/>
            <w:textDirection w:val="lrTb"/>
            <w:noWrap w:val="false"/>
          </w:tcPr>
          <w:p>
            <w:pPr>
              <w:pBdr>
                <w:top w:val="none" w:color="000000" w:sz="4" w:space="0"/>
                <w:left w:val="none" w:color="000000" w:sz="4" w:space="0"/>
                <w:bottom w:val="none" w:color="000000" w:sz="4" w:space="0"/>
                <w:right w:val="none" w:color="000000" w:sz="4" w:space="0"/>
              </w:pBdr>
              <w:spacing w:before="120" w:line="276" w:lineRule="auto"/>
              <w:ind w:right="0" w:firstLine="0" w:left="0"/>
              <w:jc w:val="both"/>
              <w:rPr>
                <w:color w:val="000000" w:themeColor="text1"/>
              </w:rPr>
            </w:pPr>
            <w:r>
              <w:rPr>
                <w:rFonts w:ascii="Times New Roman" w:hAnsi="Times New Roman" w:eastAsia="Times New Roman" w:cs="Times New Roman"/>
                <w:color w:val="000000" w:themeColor="text1"/>
                <w:sz w:val="24"/>
              </w:rPr>
              <w:t xml:space="preserve">:</w:t>
            </w:r>
            <w:r>
              <w:rPr>
                <w:color w:val="000000" w:themeColor="text1"/>
              </w:rPr>
            </w:r>
            <w:r>
              <w:rPr>
                <w:color w:val="000000" w:themeColor="text1"/>
              </w:rPr>
            </w:r>
          </w:p>
        </w:tc>
        <w:tc>
          <w:tcPr>
            <w:tcBorders/>
            <w:tcMar>
              <w:left w:w="108" w:type="dxa"/>
              <w:top w:w="0" w:type="dxa"/>
              <w:right w:w="108" w:type="dxa"/>
              <w:bottom w:w="0" w:type="dxa"/>
            </w:tcMar>
            <w:tcW w:w="7230" w:type="dxa"/>
            <w:vAlign w:val="center"/>
            <w:textDirection w:val="lrTb"/>
            <w:noWrap w:val="false"/>
          </w:tcPr>
          <w:p>
            <w:pPr>
              <w:pBdr>
                <w:top w:val="none" w:color="000000" w:sz="4" w:space="0"/>
                <w:left w:val="none" w:color="000000" w:sz="4" w:space="0"/>
                <w:bottom w:val="none" w:color="000000" w:sz="4" w:space="0"/>
                <w:right w:val="none" w:color="000000" w:sz="4" w:space="0"/>
              </w:pBdr>
              <w:spacing w:before="120" w:line="276" w:lineRule="auto"/>
              <w:ind w:right="0" w:firstLine="0" w:left="0"/>
              <w:jc w:val="both"/>
              <w:rPr>
                <w:color w:val="000000" w:themeColor="text1"/>
              </w:rPr>
            </w:pPr>
            <w:r>
              <w:rPr>
                <w:rFonts w:ascii="Times New Roman" w:hAnsi="Times New Roman" w:eastAsia="Times New Roman" w:cs="Times New Roman"/>
                <w:color w:val="000000" w:themeColor="text1"/>
                <w:sz w:val="24"/>
              </w:rPr>
              <w:t xml:space="preserve">Tổ 21, phường Kim Tân, thành phố Lào Cai, </w:t>
            </w:r>
            <w:r>
              <w:rPr>
                <w:rFonts w:ascii="Times New Roman" w:hAnsi="Times New Roman" w:eastAsia="Times New Roman" w:cs="Times New Roman"/>
                <w:color w:val="000000" w:themeColor="text1"/>
                <w:sz w:val="24"/>
              </w:rPr>
              <w:t xml:space="preserve">tỉnh Lào Cai.</w:t>
            </w:r>
            <w:r>
              <w:rPr>
                <w:color w:val="000000" w:themeColor="text1"/>
              </w:rPr>
            </w:r>
            <w:r>
              <w:rPr>
                <w:color w:val="000000" w:themeColor="text1"/>
              </w:rPr>
            </w:r>
          </w:p>
        </w:tc>
      </w:tr>
    </w:tbl>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color w:val="000000" w:themeColor="text1"/>
        </w:rPr>
      </w:pPr>
      <w:r>
        <w:rPr>
          <w:rFonts w:ascii="Times New Roman" w:hAnsi="Times New Roman" w:eastAsia="Times New Roman" w:cs="Times New Roman"/>
          <w:b/>
          <w:color w:val="000000" w:themeColor="text1"/>
          <w:sz w:val="24"/>
        </w:rPr>
        <w:t xml:space="preserve">2. Thông tin về doanh nghiệp thẩm định giá:</w:t>
      </w:r>
      <w:r>
        <w:rPr>
          <w:color w:val="000000" w:themeColor="text1"/>
        </w:rPr>
      </w:r>
      <w:r>
        <w:rPr>
          <w:color w:val="000000" w:themeColor="text1"/>
        </w:rPr>
      </w:r>
    </w:p>
    <w:tbl>
      <w:tblPr>
        <w:tblStyle w:val="1047"/>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1951"/>
        <w:gridCol w:w="307"/>
        <w:gridCol w:w="7348"/>
      </w:tblGrid>
      <w:tr>
        <w:trPr/>
        <w:tc>
          <w:tcPr>
            <w:tcBorders/>
            <w:tcMar>
              <w:left w:w="108" w:type="dxa"/>
              <w:top w:w="0" w:type="dxa"/>
              <w:right w:w="108" w:type="dxa"/>
              <w:bottom w:w="0" w:type="dxa"/>
            </w:tcMar>
            <w:tcW w:w="1951"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120" w:line="276" w:lineRule="auto"/>
              <w:ind w:right="0" w:firstLine="0" w:left="0"/>
              <w:rPr>
                <w:color w:val="000000" w:themeColor="text1"/>
              </w:rPr>
            </w:pPr>
            <w:r>
              <w:rPr>
                <w:rFonts w:ascii="Times New Roman" w:hAnsi="Times New Roman" w:eastAsia="Times New Roman" w:cs="Times New Roman"/>
                <w:color w:val="000000" w:themeColor="text1"/>
                <w:sz w:val="24"/>
              </w:rPr>
              <w:t xml:space="preserve">Đơn vị thẩm định</w:t>
            </w:r>
            <w:r>
              <w:rPr>
                <w:color w:val="000000" w:themeColor="text1"/>
              </w:rPr>
            </w:r>
            <w:r>
              <w:rPr>
                <w:color w:val="000000" w:themeColor="text1"/>
              </w:rPr>
            </w:r>
          </w:p>
        </w:tc>
        <w:tc>
          <w:tcPr>
            <w:tcBorders/>
            <w:tcMar>
              <w:left w:w="108" w:type="dxa"/>
              <w:top w:w="0" w:type="dxa"/>
              <w:right w:w="108" w:type="dxa"/>
              <w:bottom w:w="0" w:type="dxa"/>
            </w:tcMar>
            <w:tcW w:w="307"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120" w:line="276" w:lineRule="auto"/>
              <w:ind w:right="0" w:firstLine="0" w:left="0"/>
              <w:rPr>
                <w:color w:val="000000" w:themeColor="text1"/>
              </w:rPr>
            </w:pPr>
            <w:r>
              <w:rPr>
                <w:rFonts w:ascii="Times New Roman" w:hAnsi="Times New Roman" w:eastAsia="Times New Roman" w:cs="Times New Roman"/>
                <w:color w:val="000000" w:themeColor="text1"/>
                <w:sz w:val="24"/>
              </w:rPr>
              <w:t xml:space="preserve">:</w:t>
            </w:r>
            <w:r>
              <w:rPr>
                <w:color w:val="000000" w:themeColor="text1"/>
              </w:rPr>
            </w:r>
            <w:r>
              <w:rPr>
                <w:color w:val="000000" w:themeColor="text1"/>
              </w:rPr>
            </w:r>
          </w:p>
        </w:tc>
        <w:tc>
          <w:tcPr>
            <w:tcBorders/>
            <w:tcMar>
              <w:left w:w="108" w:type="dxa"/>
              <w:top w:w="0" w:type="dxa"/>
              <w:right w:w="108" w:type="dxa"/>
              <w:bottom w:w="0" w:type="dxa"/>
            </w:tcMar>
            <w:tcW w:w="7348"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120" w:line="276" w:lineRule="auto"/>
              <w:ind w:right="0" w:firstLine="0" w:left="0"/>
              <w:rPr>
                <w:color w:val="000000" w:themeColor="text1"/>
              </w:rPr>
            </w:pPr>
            <w:r>
              <w:rPr>
                <w:rFonts w:ascii="Times New Roman" w:hAnsi="Times New Roman" w:eastAsia="Times New Roman" w:cs="Times New Roman"/>
                <w:b/>
                <w:color w:val="000000" w:themeColor="text1"/>
                <w:spacing w:val="-12"/>
                <w:sz w:val="24"/>
              </w:rPr>
              <w:t xml:space="preserve">CÔNG TY CỔ PHẦN THẨM ĐỊNH VÀ ĐẦU TƯ TÀI CHÍNH HOA SEN</w:t>
            </w:r>
            <w:r>
              <w:rPr>
                <w:color w:val="000000" w:themeColor="text1"/>
              </w:rPr>
            </w:r>
            <w:r>
              <w:rPr>
                <w:color w:val="000000" w:themeColor="text1"/>
              </w:rPr>
            </w:r>
          </w:p>
        </w:tc>
      </w:tr>
      <w:tr>
        <w:trPr/>
        <w:tc>
          <w:tcPr>
            <w:tcBorders/>
            <w:tcMar>
              <w:left w:w="108" w:type="dxa"/>
              <w:top w:w="0" w:type="dxa"/>
              <w:right w:w="108" w:type="dxa"/>
              <w:bottom w:w="0" w:type="dxa"/>
            </w:tcMar>
            <w:tcW w:w="1951"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120" w:line="276" w:lineRule="auto"/>
              <w:ind w:right="0" w:firstLine="0" w:left="0"/>
              <w:rPr>
                <w:color w:val="000000" w:themeColor="text1"/>
              </w:rPr>
            </w:pPr>
            <w:r>
              <w:rPr>
                <w:rFonts w:ascii="Times New Roman" w:hAnsi="Times New Roman" w:eastAsia="Times New Roman" w:cs="Times New Roman"/>
                <w:color w:val="000000" w:themeColor="text1"/>
                <w:sz w:val="24"/>
              </w:rPr>
              <w:t xml:space="preserve">Địa chỉ trụ sở</w:t>
            </w:r>
            <w:r>
              <w:rPr>
                <w:color w:val="000000" w:themeColor="text1"/>
              </w:rPr>
            </w:r>
            <w:r>
              <w:rPr>
                <w:color w:val="000000" w:themeColor="text1"/>
              </w:rPr>
            </w:r>
          </w:p>
        </w:tc>
        <w:tc>
          <w:tcPr>
            <w:tcBorders/>
            <w:tcMar>
              <w:left w:w="108" w:type="dxa"/>
              <w:top w:w="0" w:type="dxa"/>
              <w:right w:w="108" w:type="dxa"/>
              <w:bottom w:w="0" w:type="dxa"/>
            </w:tcMar>
            <w:tcW w:w="307"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120" w:line="276" w:lineRule="auto"/>
              <w:ind w:right="0" w:firstLine="0" w:left="0"/>
              <w:rPr>
                <w:color w:val="000000" w:themeColor="text1"/>
              </w:rPr>
            </w:pPr>
            <w:r>
              <w:rPr>
                <w:rFonts w:ascii="Times New Roman" w:hAnsi="Times New Roman" w:eastAsia="Times New Roman" w:cs="Times New Roman"/>
                <w:color w:val="000000" w:themeColor="text1"/>
                <w:sz w:val="24"/>
              </w:rPr>
              <w:t xml:space="preserve">:</w:t>
            </w:r>
            <w:r>
              <w:rPr>
                <w:color w:val="000000" w:themeColor="text1"/>
              </w:rPr>
            </w:r>
            <w:r>
              <w:rPr>
                <w:color w:val="000000" w:themeColor="text1"/>
              </w:rPr>
            </w:r>
          </w:p>
        </w:tc>
        <w:tc>
          <w:tcPr>
            <w:tcBorders/>
            <w:tcMar>
              <w:left w:w="108" w:type="dxa"/>
              <w:top w:w="0" w:type="dxa"/>
              <w:right w:w="108" w:type="dxa"/>
              <w:bottom w:w="0" w:type="dxa"/>
            </w:tcMar>
            <w:tcW w:w="7348" w:type="dxa"/>
            <w:vAlign w:val="top"/>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both"/>
              <w:rPr>
                <w:color w:val="000000" w:themeColor="text1"/>
              </w:rPr>
            </w:pPr>
            <w:r>
              <w:rPr>
                <w:rFonts w:ascii="Times New Roman" w:hAnsi="Times New Roman" w:eastAsia="Times New Roman" w:cs="Times New Roman"/>
                <w:color w:val="000000" w:themeColor="text1"/>
                <w:sz w:val="24"/>
              </w:rPr>
              <w:t xml:space="preserve">BT5-23 khu đô thị mới Văn Phú, P. Kiến Hưng, TP. Hà Nội</w:t>
            </w:r>
            <w:r>
              <w:rPr>
                <w:color w:val="000000" w:themeColor="text1"/>
              </w:rPr>
            </w:r>
            <w:r>
              <w:rPr>
                <w:color w:val="000000" w:themeColor="text1"/>
              </w:rPr>
            </w:r>
          </w:p>
        </w:tc>
      </w:tr>
      <w:tr>
        <w:trPr/>
        <w:tc>
          <w:tcPr>
            <w:tcBorders/>
            <w:tcMar>
              <w:left w:w="108" w:type="dxa"/>
              <w:top w:w="0" w:type="dxa"/>
              <w:right w:w="108" w:type="dxa"/>
              <w:bottom w:w="0" w:type="dxa"/>
            </w:tcMar>
            <w:tcW w:w="1951"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120" w:line="276" w:lineRule="auto"/>
              <w:ind w:right="0" w:firstLine="0" w:left="0"/>
              <w:rPr/>
            </w:pPr>
            <w:r>
              <w:rPr>
                <w:rFonts w:ascii="Times New Roman" w:hAnsi="Times New Roman" w:eastAsia="Times New Roman" w:cs="Times New Roman"/>
                <w:color w:val="000000"/>
                <w:sz w:val="24"/>
              </w:rPr>
              <w:t xml:space="preserve">Điện thoại</w:t>
            </w:r>
            <w:r/>
          </w:p>
        </w:tc>
        <w:tc>
          <w:tcPr>
            <w:tcBorders/>
            <w:tcMar>
              <w:left w:w="108" w:type="dxa"/>
              <w:top w:w="0" w:type="dxa"/>
              <w:right w:w="108" w:type="dxa"/>
              <w:bottom w:w="0" w:type="dxa"/>
            </w:tcMar>
            <w:tcW w:w="307"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12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7348"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120" w:line="276" w:lineRule="auto"/>
              <w:ind w:right="0" w:firstLine="0" w:left="0"/>
              <w:rPr/>
            </w:pPr>
            <w:r>
              <w:rPr>
                <w:rFonts w:ascii="Times New Roman" w:hAnsi="Times New Roman" w:eastAsia="Times New Roman" w:cs="Times New Roman"/>
                <w:color w:val="000000"/>
                <w:sz w:val="24"/>
              </w:rPr>
              <w:t xml:space="preserve">024.22644333</w:t>
            </w:r>
            <w:r/>
          </w:p>
        </w:tc>
      </w:tr>
      <w:tr>
        <w:trPr/>
        <w:tc>
          <w:tcPr>
            <w:tcBorders/>
            <w:tcMar>
              <w:left w:w="108" w:type="dxa"/>
              <w:top w:w="0" w:type="dxa"/>
              <w:right w:w="108" w:type="dxa"/>
              <w:bottom w:w="0" w:type="dxa"/>
            </w:tcMar>
            <w:tcW w:w="1951"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120" w:line="276" w:lineRule="auto"/>
              <w:ind w:right="0" w:firstLine="0" w:left="0"/>
              <w:rPr/>
            </w:pPr>
            <w:r>
              <w:rPr>
                <w:rFonts w:ascii="Times New Roman" w:hAnsi="Times New Roman" w:eastAsia="Times New Roman" w:cs="Times New Roman"/>
                <w:color w:val="000000"/>
                <w:sz w:val="24"/>
              </w:rPr>
              <w:t xml:space="preserve">Mã số thuế</w:t>
            </w:r>
            <w:r/>
          </w:p>
        </w:tc>
        <w:tc>
          <w:tcPr>
            <w:tcBorders/>
            <w:tcMar>
              <w:left w:w="108" w:type="dxa"/>
              <w:top w:w="0" w:type="dxa"/>
              <w:right w:w="108" w:type="dxa"/>
              <w:bottom w:w="0" w:type="dxa"/>
            </w:tcMar>
            <w:tcW w:w="307"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12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7348"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120" w:line="276" w:lineRule="auto"/>
              <w:ind w:right="0" w:firstLine="0" w:left="0"/>
              <w:rPr/>
            </w:pPr>
            <w:r>
              <w:rPr>
                <w:rFonts w:ascii="Times New Roman" w:hAnsi="Times New Roman" w:eastAsia="Times New Roman" w:cs="Times New Roman"/>
                <w:color w:val="000000"/>
                <w:sz w:val="24"/>
              </w:rPr>
              <w:t xml:space="preserve">0102708994</w:t>
            </w:r>
            <w:r/>
          </w:p>
        </w:tc>
      </w:tr>
      <w:tr>
        <w:trPr/>
        <w:tc>
          <w:tcPr>
            <w:tcBorders/>
            <w:tcMar>
              <w:left w:w="108" w:type="dxa"/>
              <w:top w:w="0" w:type="dxa"/>
              <w:right w:w="108" w:type="dxa"/>
              <w:bottom w:w="0" w:type="dxa"/>
            </w:tcMar>
            <w:tcW w:w="195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120" w:line="276" w:lineRule="auto"/>
              <w:ind w:right="0" w:firstLine="0" w:left="0"/>
              <w:rPr/>
            </w:pPr>
            <w:r>
              <w:rPr>
                <w:rFonts w:ascii="Times New Roman" w:hAnsi="Times New Roman" w:eastAsia="Times New Roman" w:cs="Times New Roman"/>
                <w:color w:val="000000"/>
                <w:sz w:val="24"/>
              </w:rPr>
              <w:t xml:space="preserve">GCN đủ điều kiện hành nghề</w:t>
            </w:r>
            <w:r/>
          </w:p>
        </w:tc>
        <w:tc>
          <w:tcPr>
            <w:tcBorders/>
            <w:tcMar>
              <w:left w:w="108" w:type="dxa"/>
              <w:top w:w="0" w:type="dxa"/>
              <w:right w:w="108" w:type="dxa"/>
              <w:bottom w:w="0" w:type="dxa"/>
            </w:tcMar>
            <w:tcW w:w="30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12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734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120" w:line="276" w:lineRule="auto"/>
              <w:ind w:right="0" w:firstLine="0" w:left="0"/>
              <w:rPr/>
            </w:pPr>
            <w:r>
              <w:rPr>
                <w:rFonts w:ascii="Times New Roman" w:hAnsi="Times New Roman" w:eastAsia="Times New Roman" w:cs="Times New Roman"/>
                <w:color w:val="000000"/>
                <w:sz w:val="24"/>
              </w:rPr>
              <w:t xml:space="preserve">275/TĐG</w:t>
            </w:r>
            <w:r/>
          </w:p>
        </w:tc>
      </w:tr>
      <w:tr>
        <w:trPr/>
        <w:tc>
          <w:tcPr>
            <w:tcBorders/>
            <w:tcMar>
              <w:left w:w="108" w:type="dxa"/>
              <w:top w:w="0" w:type="dxa"/>
              <w:right w:w="108" w:type="dxa"/>
              <w:bottom w:w="0" w:type="dxa"/>
            </w:tcMar>
            <w:tcW w:w="195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120" w:line="276" w:lineRule="auto"/>
              <w:ind w:right="0" w:firstLine="0" w:left="0"/>
              <w:rPr/>
            </w:pPr>
            <w:r>
              <w:rPr>
                <w:rFonts w:ascii="Times New Roman" w:hAnsi="Times New Roman" w:eastAsia="Times New Roman" w:cs="Times New Roman"/>
                <w:color w:val="000000"/>
                <w:sz w:val="24"/>
              </w:rPr>
              <w:t xml:space="preserve">Thông báo</w:t>
            </w:r>
            <w:r/>
          </w:p>
        </w:tc>
        <w:tc>
          <w:tcPr>
            <w:tcBorders/>
            <w:tcMar>
              <w:left w:w="108" w:type="dxa"/>
              <w:top w:w="0" w:type="dxa"/>
              <w:right w:w="108" w:type="dxa"/>
              <w:bottom w:w="0" w:type="dxa"/>
            </w:tcMar>
            <w:tcW w:w="30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12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734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120" w:line="276" w:lineRule="auto"/>
              <w:ind w:right="0" w:firstLine="0" w:left="0"/>
              <w:rPr/>
            </w:pPr>
            <w:r>
              <w:rPr>
                <w:rFonts w:ascii="Times New Roman" w:hAnsi="Times New Roman" w:eastAsia="Times New Roman" w:cs="Times New Roman"/>
                <w:color w:val="292a2e"/>
                <w:sz w:val="24"/>
              </w:rPr>
              <w:t xml:space="preserve">Số 1294/TB-BTC ngày 25/12/2025 </w:t>
            </w:r>
            <w:r>
              <w:rPr>
                <w:rFonts w:ascii="Times New Roman" w:hAnsi="Times New Roman" w:eastAsia="Times New Roman" w:cs="Times New Roman"/>
                <w:color w:val="000000"/>
                <w:sz w:val="24"/>
              </w:rPr>
              <w:t xml:space="preserve">về việc doanh nghiệp đủ điều kiện kinh doanh Dịch vụ thẩm định giá.</w:t>
            </w:r>
            <w:r/>
          </w:p>
        </w:tc>
      </w:tr>
      <w:tr>
        <w:trPr/>
        <w:tc>
          <w:tcPr>
            <w:tcBorders/>
            <w:tcMar>
              <w:left w:w="108" w:type="dxa"/>
              <w:top w:w="0" w:type="dxa"/>
              <w:right w:w="108" w:type="dxa"/>
              <w:bottom w:w="0" w:type="dxa"/>
            </w:tcMar>
            <w:tcW w:w="1951"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120" w:line="276" w:lineRule="auto"/>
              <w:ind w:right="0" w:firstLine="0" w:left="0"/>
              <w:rPr/>
            </w:pPr>
            <w:r>
              <w:rPr>
                <w:rFonts w:ascii="Times New Roman" w:hAnsi="Times New Roman" w:eastAsia="Times New Roman" w:cs="Times New Roman"/>
                <w:color w:val="000000"/>
                <w:sz w:val="24"/>
              </w:rPr>
              <w:t xml:space="preserve">Tài khoản số</w:t>
            </w:r>
            <w:r/>
          </w:p>
        </w:tc>
        <w:tc>
          <w:tcPr>
            <w:tcBorders/>
            <w:tcMar>
              <w:left w:w="108" w:type="dxa"/>
              <w:top w:w="0" w:type="dxa"/>
              <w:right w:w="108" w:type="dxa"/>
              <w:bottom w:w="0" w:type="dxa"/>
            </w:tcMar>
            <w:tcW w:w="307"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12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7348"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120" w:line="276" w:lineRule="auto"/>
              <w:ind w:right="0" w:firstLine="0" w:left="0"/>
              <w:rPr/>
            </w:pPr>
            <w:r>
              <w:rPr>
                <w:rFonts w:ascii="Times New Roman" w:hAnsi="Times New Roman" w:eastAsia="Times New Roman" w:cs="Times New Roman"/>
                <w:color w:val="000000"/>
                <w:sz w:val="24"/>
              </w:rPr>
              <w:t xml:space="preserve">1505112366666 tại Ngân hàng Agribank - Chi nhánh Hà Nội II</w:t>
            </w:r>
            <w:r>
              <w:rPr>
                <w:rFonts w:ascii="Times New Roman" w:hAnsi="Times New Roman" w:eastAsia="Times New Roman" w:cs="Times New Roman"/>
                <w:color w:val="000000"/>
                <w:spacing w:val="-4"/>
                <w:sz w:val="24"/>
              </w:rPr>
              <w:t xml:space="preserve"> </w:t>
            </w:r>
            <w:r/>
          </w:p>
        </w:tc>
      </w:tr>
      <w:tr>
        <w:trPr/>
        <w:tc>
          <w:tcPr>
            <w:tcBorders/>
            <w:tcMar>
              <w:left w:w="108" w:type="dxa"/>
              <w:top w:w="0" w:type="dxa"/>
              <w:right w:w="108" w:type="dxa"/>
              <w:bottom w:w="0" w:type="dxa"/>
            </w:tcMar>
            <w:tcW w:w="1951"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120" w:line="276" w:lineRule="auto"/>
              <w:ind w:right="0" w:firstLine="0" w:left="0"/>
              <w:rPr/>
            </w:pPr>
            <w:r>
              <w:rPr>
                <w:rFonts w:ascii="Times New Roman" w:hAnsi="Times New Roman" w:eastAsia="Times New Roman" w:cs="Times New Roman"/>
                <w:color w:val="000000"/>
                <w:sz w:val="24"/>
              </w:rPr>
              <w:t xml:space="preserve">Đại diện</w:t>
            </w:r>
            <w:r/>
          </w:p>
        </w:tc>
        <w:tc>
          <w:tcPr>
            <w:tcBorders/>
            <w:tcMar>
              <w:left w:w="108" w:type="dxa"/>
              <w:top w:w="0" w:type="dxa"/>
              <w:right w:w="108" w:type="dxa"/>
              <w:bottom w:w="0" w:type="dxa"/>
            </w:tcMar>
            <w:tcW w:w="307"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12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7348" w:type="dxa"/>
            <w:vAlign w:val="top"/>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Ông Vũ Văn Quân           Chức vụ: Chủ tịch HĐQT kiêm Tổng Giám đốc</w:t>
            </w:r>
            <w:r/>
          </w:p>
        </w:tc>
      </w:tr>
    </w:tbl>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pPr>
      <w:r>
        <w:rPr>
          <w:rFonts w:ascii="Times New Roman" w:hAnsi="Times New Roman" w:eastAsia="Times New Roman" w:cs="Times New Roman"/>
          <w:b/>
          <w:color w:val="000000"/>
          <w:sz w:val="24"/>
        </w:rPr>
        <w:t xml:space="preserve">3. Tài sản thẩm định: </w:t>
      </w:r>
      <w:r/>
    </w:p>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pPr>
      <w:r>
        <w:rPr>
          <w:rFonts w:ascii="Times New Roman" w:hAnsi="Times New Roman" w:eastAsia="Times New Roman" w:cs="Times New Roman"/>
          <w:b/>
          <w:color w:val="000000"/>
          <w:sz w:val="24"/>
        </w:rPr>
        <w:t xml:space="preserve">Tài sản 1: </w:t>
      </w:r>
      <w:r>
        <w:rPr>
          <w:rFonts w:ascii="Times New Roman" w:hAnsi="Times New Roman" w:eastAsia="Times New Roman" w:cs="Times New Roman"/>
          <w:color w:val="000000"/>
          <w:sz w:val="24"/>
        </w:rPr>
        <w:t xml:space="preserve">Quyền sử dụng đất tại thửa đất số: 560, tờ bản đồ số: P6-18 có địa chỉ: Tổ dân phố 6, thị trấn Tằng Loỏng, huyện Bảo Thắng, tỉnh Lào Cai (này là xã Tằng Loỏng, tỉnh Lào Cai) theo Giấy chứng nhận quyền sử dụng đất quyền sở hữu tài sản gắn liền với đất số: B</w:t>
      </w:r>
      <w:r>
        <w:rPr>
          <w:rFonts w:ascii="Times New Roman" w:hAnsi="Times New Roman" w:eastAsia="Times New Roman" w:cs="Times New Roman"/>
          <w:color w:val="000000"/>
          <w:sz w:val="24"/>
        </w:rPr>
        <w:t xml:space="preserve">K 713663, số vào sổ cấp GCN: CH 01114 do UBND huyện Bảo Thắng cấp ngày 12/4/2012 cho ông Bùi Đức Toàn</w:t>
      </w:r>
      <w:r/>
    </w:p>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pPr>
      <w:r>
        <w:rPr>
          <w:rFonts w:ascii="Times New Roman" w:hAnsi="Times New Roman" w:eastAsia="Times New Roman" w:cs="Times New Roman"/>
          <w:b/>
          <w:color w:val="000000"/>
          <w:sz w:val="24"/>
        </w:rPr>
        <w:t xml:space="preserve">Tài sản 2: </w:t>
      </w:r>
      <w:r>
        <w:rPr>
          <w:rFonts w:ascii="Times New Roman" w:hAnsi="Times New Roman" w:eastAsia="Times New Roman" w:cs="Times New Roman"/>
          <w:color w:val="000000"/>
          <w:sz w:val="24"/>
        </w:rPr>
        <w:t xml:space="preserve">Quyền sử dụng đất tại thửa đất số: 561, tờ bản đồ số: P6-18 có địa chỉ: Tổ dân phố 6, thị trấn Tằng Loỏng, huyện Bảo Thắng, tỉnh Lào Cai (này là xã Tằng Loỏng, tỉnh Lào Cai) theo Giấy chứng nhận quyền sử dụng đất quyền sở hữu tài sản gắn liền với đất số: B</w:t>
      </w:r>
      <w:r>
        <w:rPr>
          <w:rFonts w:ascii="Times New Roman" w:hAnsi="Times New Roman" w:eastAsia="Times New Roman" w:cs="Times New Roman"/>
          <w:color w:val="000000"/>
          <w:sz w:val="24"/>
        </w:rPr>
        <w:t xml:space="preserve">K 713664, số vào sổ cấp GCN: CH 01114 do UBND huyện Bảo Thắng cấp ngày 12/4/2012 cho ông Bùi Đức Toàn</w:t>
      </w:r>
      <w:r/>
    </w:p>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pPr>
      <w:r>
        <w:rPr>
          <w:rFonts w:ascii="Times New Roman" w:hAnsi="Times New Roman" w:eastAsia="Times New Roman" w:cs="Times New Roman"/>
          <w:b/>
          <w:color w:val="000000"/>
          <w:sz w:val="24"/>
        </w:rPr>
        <w:t xml:space="preserve">Tài sản 3:</w:t>
      </w:r>
      <w:r>
        <w:rPr>
          <w:rFonts w:ascii="Times New Roman" w:hAnsi="Times New Roman" w:eastAsia="Times New Roman" w:cs="Times New Roman"/>
          <w:color w:val="000000"/>
          <w:sz w:val="24"/>
        </w:rPr>
        <w:t xml:space="preserve"> Quyền sử dụng đất tại thửa đất số: 562, tờ bản đồ số: P6-18 có địa chỉ: Tổ dân phố 6, thị trấn Tằng Loỏng, huyện Bảo Thắng, tỉnh Lào Cai (này là xã Tằng Loỏng, tỉnh Lào Cai) theo Giấy chứng nhận quyền sử dụng đất quyền sở hữu tài sản gắn liền với đất số: </w:t>
      </w:r>
      <w:r>
        <w:rPr>
          <w:rFonts w:ascii="Times New Roman" w:hAnsi="Times New Roman" w:eastAsia="Times New Roman" w:cs="Times New Roman"/>
          <w:color w:val="000000"/>
          <w:sz w:val="24"/>
        </w:rPr>
        <w:t xml:space="preserve">BK 711045, số vào sổ cấp GCN: CH01348 do UBND huyện Bảo Thắng cấp ngày 12/4/2012 cho ông Bùi Đức Toàn.</w:t>
      </w:r>
      <w:r/>
    </w:p>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pPr>
      <w:r>
        <w:rPr>
          <w:rFonts w:ascii="Times New Roman" w:hAnsi="Times New Roman" w:eastAsia="Times New Roman" w:cs="Times New Roman"/>
          <w:b/>
          <w:color w:val="000000"/>
          <w:sz w:val="24"/>
        </w:rPr>
        <w:t xml:space="preserve">4. Thời điểm thẩm định giá:</w:t>
      </w:r>
      <w:r>
        <w:rPr>
          <w:rFonts w:ascii="Times New Roman" w:hAnsi="Times New Roman" w:eastAsia="Times New Roman" w:cs="Times New Roman"/>
          <w:color w:val="000000"/>
          <w:sz w:val="24"/>
        </w:rPr>
        <w:t xml:space="preserve"> tháng 01/2026.</w:t>
      </w:r>
      <w:r/>
    </w:p>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pPr>
      <w:r>
        <w:rPr>
          <w:rFonts w:ascii="Times New Roman" w:hAnsi="Times New Roman" w:eastAsia="Times New Roman" w:cs="Times New Roman"/>
          <w:b/>
          <w:color w:val="000000"/>
          <w:sz w:val="24"/>
        </w:rPr>
        <w:t xml:space="preserve">5. Mục đích thẩm định giá</w:t>
      </w:r>
      <w:r>
        <w:rPr>
          <w:rFonts w:ascii="Times New Roman" w:hAnsi="Times New Roman" w:eastAsia="Times New Roman" w:cs="Times New Roman"/>
          <w:color w:val="000000"/>
          <w:sz w:val="24"/>
        </w:rPr>
        <w:t xml:space="preserve">: Kết quả thẩm định giá để khách hàng tham khảo giá trị tài sản phục vụ công tác vay vốn tại tổ chức tín dụng.</w:t>
      </w:r>
      <w:r/>
    </w:p>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pPr>
      <w:r>
        <w:rPr>
          <w:rFonts w:ascii="Times New Roman" w:hAnsi="Times New Roman" w:eastAsia="Times New Roman" w:cs="Times New Roman"/>
          <w:b/>
          <w:color w:val="000000"/>
          <w:sz w:val="24"/>
        </w:rPr>
        <w:t xml:space="preserve">6. Cơ sở giá trị của tài sản thẩm định giá:</w:t>
      </w:r>
      <w:r/>
    </w:p>
    <w:p>
      <w:pPr>
        <w:pBdr>
          <w:top w:val="none" w:color="000000" w:sz="4" w:space="0"/>
          <w:left w:val="none" w:color="000000" w:sz="4" w:space="0"/>
          <w:bottom w:val="none" w:color="000000" w:sz="4" w:space="0"/>
          <w:right w:val="none" w:color="000000" w:sz="4" w:space="0"/>
        </w:pBdr>
        <w:spacing w:after="0" w:before="120" w:line="276" w:lineRule="auto"/>
        <w:ind w:right="0" w:firstLine="426" w:left="0"/>
        <w:jc w:val="both"/>
        <w:rPr/>
      </w:pPr>
      <w:r>
        <w:rPr>
          <w:rFonts w:ascii="Times New Roman" w:hAnsi="Times New Roman" w:eastAsia="Times New Roman" w:cs="Times New Roman"/>
          <w:i/>
          <w:color w:val="000000"/>
          <w:sz w:val="24"/>
        </w:rPr>
        <w:t xml:space="preserve">Chi tiết như Báo cáo kèm theo.</w:t>
      </w:r>
      <w:r/>
    </w:p>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pPr>
      <w:r>
        <w:rPr>
          <w:rFonts w:ascii="Times New Roman" w:hAnsi="Times New Roman" w:eastAsia="Times New Roman" w:cs="Times New Roman"/>
          <w:b/>
          <w:color w:val="000000"/>
          <w:sz w:val="24"/>
        </w:rPr>
        <w:t xml:space="preserve">7. Giả thiết và giả thiết đặc biệt:</w:t>
      </w:r>
      <w:r/>
    </w:p>
    <w:p>
      <w:pPr>
        <w:pBdr>
          <w:top w:val="none" w:color="000000" w:sz="4" w:space="0"/>
          <w:left w:val="none" w:color="000000" w:sz="4" w:space="0"/>
          <w:bottom w:val="none" w:color="000000" w:sz="4" w:space="0"/>
          <w:right w:val="none" w:color="000000" w:sz="4" w:space="0"/>
        </w:pBdr>
        <w:spacing w:after="0" w:before="120" w:line="276" w:lineRule="auto"/>
        <w:ind w:right="0" w:firstLine="426" w:left="0"/>
        <w:jc w:val="both"/>
        <w:rPr/>
      </w:pPr>
      <w:r>
        <w:rPr>
          <w:rFonts w:ascii="Times New Roman" w:hAnsi="Times New Roman" w:eastAsia="Times New Roman" w:cs="Times New Roman"/>
          <w:i/>
          <w:color w:val="000000"/>
          <w:sz w:val="24"/>
        </w:rPr>
        <w:t xml:space="preserve">Chi tiết như Báo cáo kèm theo</w:t>
      </w:r>
      <w:r>
        <w:rPr>
          <w:rFonts w:ascii="Times New Roman" w:hAnsi="Times New Roman" w:eastAsia="Times New Roman" w:cs="Times New Roman"/>
          <w:color w:val="000000"/>
          <w:sz w:val="24"/>
        </w:rPr>
        <w:t xml:space="preserve">.</w:t>
      </w:r>
      <w:r/>
    </w:p>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pPr>
      <w:r>
        <w:rPr>
          <w:rFonts w:ascii="Times New Roman" w:hAnsi="Times New Roman" w:eastAsia="Times New Roman" w:cs="Times New Roman"/>
          <w:b/>
          <w:color w:val="000000"/>
          <w:sz w:val="24"/>
        </w:rPr>
        <w:t xml:space="preserve">8. Cách tiếp cận, phương pháp thẩm định giá:</w:t>
      </w:r>
      <w:r/>
    </w:p>
    <w:p>
      <w:pPr>
        <w:pBdr>
          <w:top w:val="none" w:color="000000" w:sz="4" w:space="0"/>
          <w:left w:val="none" w:color="000000" w:sz="4" w:space="0"/>
          <w:bottom w:val="none" w:color="000000" w:sz="4" w:space="0"/>
          <w:right w:val="none" w:color="000000" w:sz="4" w:space="0"/>
        </w:pBdr>
        <w:spacing w:after="0" w:before="120" w:line="276" w:lineRule="auto"/>
        <w:ind w:right="0" w:firstLine="426" w:left="0"/>
        <w:jc w:val="both"/>
        <w:rPr/>
      </w:pPr>
      <w:r>
        <w:rPr>
          <w:rFonts w:ascii="Times New Roman" w:hAnsi="Times New Roman" w:eastAsia="Times New Roman" w:cs="Times New Roman"/>
          <w:i/>
          <w:color w:val="000000"/>
          <w:sz w:val="24"/>
        </w:rPr>
        <w:t xml:space="preserve">Chi tiết như Báo cáo kèm theo.</w:t>
      </w:r>
      <w:r/>
    </w:p>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pPr>
      <w:r>
        <w:rPr>
          <w:rFonts w:ascii="Times New Roman" w:hAnsi="Times New Roman" w:eastAsia="Times New Roman" w:cs="Times New Roman"/>
          <w:b/>
          <w:color w:val="000000"/>
          <w:sz w:val="24"/>
        </w:rPr>
        <w:t xml:space="preserve">9. Kết quả thẩm định giá:</w:t>
      </w:r>
      <w:r/>
    </w:p>
    <w:p>
      <w:pPr>
        <w:pBdr>
          <w:top w:val="none" w:color="000000" w:sz="4" w:space="0"/>
          <w:left w:val="none" w:color="000000" w:sz="4" w:space="0"/>
          <w:bottom w:val="none" w:color="000000" w:sz="4" w:space="0"/>
          <w:right w:val="none" w:color="000000" w:sz="4" w:space="0"/>
        </w:pBdr>
        <w:spacing w:after="240" w:before="120" w:line="276" w:lineRule="auto"/>
        <w:ind w:right="0" w:firstLine="0" w:left="0"/>
        <w:jc w:val="both"/>
        <w:rPr/>
      </w:pPr>
      <w:r>
        <w:rPr>
          <w:rFonts w:ascii="Times New Roman" w:hAnsi="Times New Roman" w:eastAsia="Times New Roman" w:cs="Times New Roman"/>
          <w:color w:val="000000"/>
          <w:sz w:val="24"/>
        </w:rPr>
        <w:t xml:space="preserve">Trên cơ sở các hồ sơ, tài liệu do Khách hàng cung cấp, qua điều tra thông tin thực tế trên thị trường với cách tiếp cận và phương pháp thẩm định được áp dụng trong tính toán, Công ty Cổ phần Thẩm định và Đầu tư Tài chính Hoa Sen thông báo giá trị tài sản c</w:t>
      </w:r>
      <w:r>
        <w:rPr>
          <w:rFonts w:ascii="Times New Roman" w:hAnsi="Times New Roman" w:eastAsia="Times New Roman" w:cs="Times New Roman"/>
          <w:color w:val="000000"/>
          <w:sz w:val="24"/>
        </w:rPr>
        <w:t xml:space="preserve">hưa bao gồm các loại thuế, phí và lệ phí liên quan đến việc chuyển nhượng tài sản của Quý khách hàng tại thời điểm tháng 01/2026 được ước tính như sau: </w:t>
      </w:r>
      <w:r/>
    </w:p>
    <w:tbl>
      <w:tblPr>
        <w:tblStyle w:val="1047"/>
        <w:tblInd w:w="113"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540"/>
        <w:gridCol w:w="4040"/>
        <w:gridCol w:w="1220"/>
        <w:gridCol w:w="1680"/>
        <w:gridCol w:w="2020"/>
      </w:tblGrid>
      <w:tr>
        <w:trPr>
          <w:trHeight w:val="57"/>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4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TT</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404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Tài sản</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2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Diện tích (m²)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8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Đơn giá (đồng/m²)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Thành tiền (đồng)</w:t>
            </w:r>
            <w:r/>
          </w:p>
        </w:tc>
      </w:tr>
      <w:tr>
        <w:trPr>
          <w:trHeight w:val="57"/>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4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I</w:t>
            </w:r>
            <w:r/>
          </w:p>
        </w:tc>
        <w:tc>
          <w:tcPr>
            <w:gridSpan w:val="3"/>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94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both"/>
              <w:rPr/>
            </w:pPr>
            <w:r>
              <w:rPr>
                <w:rFonts w:ascii="Times New Roman" w:hAnsi="Times New Roman" w:eastAsia="Times New Roman" w:cs="Times New Roman"/>
                <w:b/>
                <w:color w:val="000000"/>
                <w:sz w:val="24"/>
              </w:rPr>
              <w:t xml:space="preserve">Quyền sử dụng đất tại thửa đất số: 560, tờ bản đồ số: P6-18 có địa chỉ: Tổ dân phố 6, thị trấn Tằng Loỏng, huyện Bảo Thắng, tỉnh Lào Cai (này là xã Tằng Loỏng, tỉnh Lào Cai) theo Giấy chứng nhận quyền sử dụng đất quyền sở hữu tài sản gắn liền với đất số: B</w:t>
            </w:r>
            <w:r>
              <w:rPr>
                <w:rFonts w:ascii="Times New Roman" w:hAnsi="Times New Roman" w:eastAsia="Times New Roman" w:cs="Times New Roman"/>
                <w:b/>
                <w:color w:val="000000"/>
                <w:sz w:val="24"/>
              </w:rPr>
              <w:t xml:space="preserve">K 713663, số vào sổ cấp GCN: CH 01114 do UBND huyện Bảo Thắng cấp ngày 12/4/2012 cho ông Bùi Đức Toàn</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right"/>
              <w:rPr/>
            </w:pPr>
            <w:r>
              <w:rPr>
                <w:rFonts w:ascii="Times New Roman" w:hAnsi="Times New Roman" w:eastAsia="Times New Roman" w:cs="Times New Roman"/>
                <w:b/>
                <w:color w:val="000000"/>
                <w:sz w:val="24"/>
              </w:rPr>
              <w:t xml:space="preserve"> </w:t>
            </w:r>
            <w:r/>
          </w:p>
        </w:tc>
      </w:tr>
      <w:tr>
        <w:trPr>
          <w:trHeight w:val="57"/>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4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highlight w:val="none"/>
              </w:rPr>
            </w:pPr>
            <w:r>
              <w:rPr>
                <w:rFonts w:ascii="Times New Roman" w:hAnsi="Times New Roman" w:eastAsia="Times New Roman" w:cs="Times New Roman"/>
                <w:color w:val="000000"/>
                <w:sz w:val="24"/>
                <w:highlight w:val="none"/>
              </w:rPr>
              <w:t xml:space="preserve">1</w:t>
            </w:r>
            <w:r>
              <w:rPr>
                <w:highlight w:val="none"/>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404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tabs>
                <w:tab w:val="center" w:leader="none" w:pos="1892"/>
              </w:tabs>
              <w:spacing w:after="0" w:line="276" w:lineRule="auto"/>
              <w:ind w:right="0" w:firstLine="0" w:left="0"/>
              <w:rPr>
                <w:highlight w:val="none"/>
              </w:rPr>
            </w:pPr>
            <w:r>
              <w:rPr>
                <w:rFonts w:ascii="Times New Roman" w:hAnsi="Times New Roman" w:eastAsia="Times New Roman" w:cs="Times New Roman"/>
                <w:color w:val="000000"/>
                <w:sz w:val="24"/>
                <w:highlight w:val="none"/>
              </w:rPr>
              <w:t xml:space="preserve">Đất ở tại </w:t>
            </w:r>
            <w:r>
              <w:rPr>
                <w:rFonts w:ascii="Times New Roman" w:hAnsi="Times New Roman" w:eastAsia="Times New Roman" w:cs="Times New Roman"/>
                <w:color w:val="000000"/>
                <w:sz w:val="24"/>
                <w:highlight w:val="none"/>
              </w:rPr>
              <w:t xml:space="preserve">đô thị</w:t>
            </w:r>
            <w:r>
              <w:rPr>
                <w:highlight w:val="none"/>
              </w:rPr>
              <w:tab/>
            </w:r>
            <w:r>
              <w:rPr>
                <w:highlight w:val="none"/>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220"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       100,0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8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4"/>
              </w:rPr>
              <w:t xml:space="preserve">9.000.000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right"/>
              <w:rPr/>
            </w:pPr>
            <w:r>
              <w:rPr>
                <w:rFonts w:ascii="Times New Roman" w:hAnsi="Times New Roman" w:eastAsia="Times New Roman" w:cs="Times New Roman"/>
                <w:color w:val="000000"/>
                <w:sz w:val="24"/>
              </w:rPr>
              <w:t xml:space="preserve">900.000.000</w:t>
            </w:r>
            <w:r/>
          </w:p>
        </w:tc>
      </w:tr>
      <w:tr>
        <w:trPr>
          <w:trHeight w:val="57"/>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4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4"/>
              </w:rPr>
              <w:t xml:space="preserve">2</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404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pPr>
            <w:r>
              <w:rPr>
                <w:rFonts w:ascii="Times New Roman" w:hAnsi="Times New Roman" w:eastAsia="Times New Roman" w:cs="Times New Roman"/>
                <w:color w:val="000000"/>
                <w:sz w:val="24"/>
              </w:rPr>
              <w:t xml:space="preserve">Đất trồng cây lâu năm</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220"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 27,5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8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4"/>
              </w:rPr>
              <w:t xml:space="preserve">     35.000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right"/>
              <w:rPr/>
            </w:pPr>
            <w:r>
              <w:rPr>
                <w:rFonts w:ascii="Times New Roman" w:hAnsi="Times New Roman" w:eastAsia="Times New Roman" w:cs="Times New Roman"/>
                <w:color w:val="000000"/>
                <w:sz w:val="24"/>
              </w:rPr>
              <w:t xml:space="preserve">962.500</w:t>
            </w:r>
            <w:r/>
          </w:p>
        </w:tc>
      </w:tr>
      <w:tr>
        <w:trPr>
          <w:trHeight w:val="57"/>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4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II</w:t>
            </w:r>
            <w:r/>
          </w:p>
        </w:tc>
        <w:tc>
          <w:tcPr>
            <w:gridSpan w:val="3"/>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94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both"/>
              <w:rPr/>
            </w:pPr>
            <w:r>
              <w:rPr>
                <w:rFonts w:ascii="Times New Roman" w:hAnsi="Times New Roman" w:eastAsia="Times New Roman" w:cs="Times New Roman"/>
                <w:b/>
                <w:color w:val="000000"/>
                <w:sz w:val="24"/>
              </w:rPr>
              <w:t xml:space="preserve">Quyền sử dụng đất tại thửa đất số: 561, tờ bản đồ số: P6-18 có địa chỉ: Tổ dân phố 6, thị trấn Tằng Loỏng, huyện Bảo Thắng, tỉnh Lào Cai (này là xã Tằng Loỏng, tỉnh Lào Cai) theo Giấy chứng nhận quyền sử dụng đất quyền sở hữu tài sản gắn liền với đất số: B</w:t>
            </w:r>
            <w:r>
              <w:rPr>
                <w:rFonts w:ascii="Times New Roman" w:hAnsi="Times New Roman" w:eastAsia="Times New Roman" w:cs="Times New Roman"/>
                <w:b/>
                <w:color w:val="000000"/>
                <w:sz w:val="24"/>
              </w:rPr>
              <w:t xml:space="preserve">K 713664, số vào sổ cấp GCN: CH 01114 do UBND huyện Bảo Thắng cấp ngày 12/4/2012 cho ông Bùi Đức Toàn</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right"/>
              <w:rPr/>
            </w:pPr>
            <w:r>
              <w:rPr>
                <w:rFonts w:ascii="Times New Roman" w:hAnsi="Times New Roman" w:eastAsia="Times New Roman" w:cs="Times New Roman"/>
                <w:b/>
                <w:color w:val="000000"/>
                <w:sz w:val="24"/>
              </w:rPr>
              <w:t xml:space="preserve"> </w:t>
            </w:r>
            <w:r/>
          </w:p>
        </w:tc>
      </w:tr>
      <w:tr>
        <w:trPr>
          <w:trHeight w:val="57"/>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4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4"/>
              </w:rPr>
              <w:t xml:space="preserve">1</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404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tabs>
                <w:tab w:val="center" w:leader="none" w:pos="1892"/>
              </w:tabs>
              <w:spacing w:after="0" w:line="276" w:lineRule="auto"/>
              <w:ind w:right="0" w:firstLine="0" w:left="0"/>
              <w:rPr>
                <w:highlight w:val="none"/>
              </w:rPr>
            </w:pPr>
            <w:r>
              <w:rPr>
                <w:rFonts w:ascii="Times New Roman" w:hAnsi="Times New Roman" w:eastAsia="Times New Roman" w:cs="Times New Roman"/>
                <w:color w:val="000000"/>
                <w:sz w:val="24"/>
                <w:highlight w:val="none"/>
              </w:rPr>
              <w:t xml:space="preserve">Đất ở tại </w:t>
            </w:r>
            <w:r>
              <w:rPr>
                <w:rFonts w:ascii="Times New Roman" w:hAnsi="Times New Roman" w:eastAsia="Times New Roman" w:cs="Times New Roman"/>
                <w:color w:val="000000"/>
                <w:sz w:val="24"/>
                <w:highlight w:val="none"/>
              </w:rPr>
              <w:t xml:space="preserve">đô thị</w:t>
            </w:r>
            <w:r>
              <w:rPr>
                <w:highlight w:val="none"/>
              </w:rPr>
              <w:tab/>
            </w:r>
            <w:r>
              <w:rPr>
                <w:highlight w:val="none"/>
              </w:rPr>
            </w:r>
            <w:r>
              <w:rPr>
                <w:highlight w:val="none"/>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220"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100,0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8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4"/>
              </w:rPr>
              <w:t xml:space="preserve">9.000.000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right"/>
              <w:rPr/>
            </w:pPr>
            <w:r>
              <w:rPr>
                <w:rFonts w:ascii="Times New Roman" w:hAnsi="Times New Roman" w:eastAsia="Times New Roman" w:cs="Times New Roman"/>
                <w:color w:val="000000"/>
                <w:sz w:val="24"/>
              </w:rPr>
              <w:t xml:space="preserve">900.000.000</w:t>
            </w:r>
            <w:r/>
          </w:p>
        </w:tc>
      </w:tr>
      <w:tr>
        <w:trPr>
          <w:trHeight w:val="57"/>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4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4"/>
              </w:rPr>
              <w:t xml:space="preserve">2</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404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pPr>
            <w:r>
              <w:rPr>
                <w:rFonts w:ascii="Times New Roman" w:hAnsi="Times New Roman" w:eastAsia="Times New Roman" w:cs="Times New Roman"/>
                <w:color w:val="000000"/>
                <w:sz w:val="24"/>
              </w:rPr>
              <w:t xml:space="preserve">Đất trồng cây lâu năm</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220"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27,5</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8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4"/>
              </w:rPr>
              <w:t xml:space="preserve">     35.000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right"/>
              <w:rPr/>
            </w:pPr>
            <w:r>
              <w:rPr>
                <w:rFonts w:ascii="Times New Roman" w:hAnsi="Times New Roman" w:eastAsia="Times New Roman" w:cs="Times New Roman"/>
                <w:color w:val="000000"/>
                <w:sz w:val="24"/>
              </w:rPr>
              <w:t xml:space="preserve">962.500</w:t>
            </w:r>
            <w:r/>
          </w:p>
        </w:tc>
      </w:tr>
      <w:tr>
        <w:trPr>
          <w:trHeight w:val="57"/>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4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III</w:t>
            </w:r>
            <w:r/>
          </w:p>
        </w:tc>
        <w:tc>
          <w:tcPr>
            <w:gridSpan w:val="3"/>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94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both"/>
              <w:rPr/>
            </w:pPr>
            <w:r>
              <w:rPr>
                <w:rFonts w:ascii="Times New Roman" w:hAnsi="Times New Roman" w:eastAsia="Times New Roman" w:cs="Times New Roman"/>
                <w:b/>
                <w:color w:val="000000"/>
                <w:sz w:val="24"/>
              </w:rPr>
              <w:t xml:space="preserve">Quyền sử dụng đất tại thửa đất số: 562, tờ bản đồ số: P6-18 có địa chỉ: Tổ dân phố 6, thị trấn Tằng Loỏng, huyện Bảo Thắng, tỉnh Lào Cai (này là xã Tằng Loỏng, tỉnh Lào Cai) theo Giấy chứng nhận quyền sử dụng đất quyền sở hữu tài sản gắn liền với đất số: B</w:t>
            </w:r>
            <w:r>
              <w:rPr>
                <w:rFonts w:ascii="Times New Roman" w:hAnsi="Times New Roman" w:eastAsia="Times New Roman" w:cs="Times New Roman"/>
                <w:b/>
                <w:color w:val="000000"/>
                <w:sz w:val="24"/>
              </w:rPr>
              <w:t xml:space="preserve">K 711045, số vào sổ cấp GCN: CH01348 do UBND huyện Bảo Thắng cấp ngày 12/4/2012 cho ông Bùi Đức Toàn</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right"/>
              <w:rPr/>
            </w:pPr>
            <w:r>
              <w:rPr>
                <w:rFonts w:ascii="Times New Roman" w:hAnsi="Times New Roman" w:eastAsia="Times New Roman" w:cs="Times New Roman"/>
                <w:b/>
                <w:color w:val="000000"/>
                <w:sz w:val="24"/>
              </w:rPr>
              <w:t xml:space="preserve"> </w:t>
            </w:r>
            <w:r/>
          </w:p>
        </w:tc>
      </w:tr>
      <w:tr>
        <w:trPr>
          <w:trHeight w:val="57"/>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4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4"/>
              </w:rPr>
              <w:t xml:space="preserve">1</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404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tabs>
                <w:tab w:val="center" w:leader="none" w:pos="1892"/>
              </w:tabs>
              <w:spacing w:after="0" w:line="276" w:lineRule="auto"/>
              <w:ind w:right="0" w:firstLine="0" w:left="0"/>
              <w:rPr>
                <w:highlight w:val="none"/>
              </w:rPr>
            </w:pPr>
            <w:r>
              <w:rPr>
                <w:rFonts w:ascii="Times New Roman" w:hAnsi="Times New Roman" w:eastAsia="Times New Roman" w:cs="Times New Roman"/>
                <w:color w:val="000000"/>
                <w:sz w:val="24"/>
                <w:highlight w:val="none"/>
              </w:rPr>
              <w:t xml:space="preserve">Đất ở tại </w:t>
            </w:r>
            <w:r>
              <w:rPr>
                <w:rFonts w:ascii="Times New Roman" w:hAnsi="Times New Roman" w:eastAsia="Times New Roman" w:cs="Times New Roman"/>
                <w:color w:val="000000"/>
                <w:sz w:val="24"/>
                <w:highlight w:val="none"/>
              </w:rPr>
              <w:t xml:space="preserve">đô thị</w:t>
            </w:r>
            <w:r>
              <w:rPr>
                <w:highlight w:val="none"/>
              </w:rPr>
              <w:tab/>
            </w:r>
            <w:r>
              <w:rPr>
                <w:highlight w:val="none"/>
              </w:rPr>
            </w:r>
            <w:r>
              <w:rPr>
                <w:highlight w:val="none"/>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220"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100,0</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8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right"/>
              <w:rPr/>
            </w:pPr>
            <w:r>
              <w:rPr>
                <w:rFonts w:ascii="Times New Roman" w:hAnsi="Times New Roman" w:eastAsia="Times New Roman" w:cs="Times New Roman"/>
                <w:color w:val="000000"/>
                <w:sz w:val="24"/>
              </w:rPr>
              <w:t xml:space="preserve">9.000.000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right"/>
              <w:rPr/>
            </w:pPr>
            <w:r>
              <w:rPr>
                <w:rFonts w:ascii="Times New Roman" w:hAnsi="Times New Roman" w:eastAsia="Times New Roman" w:cs="Times New Roman"/>
                <w:color w:val="000000"/>
                <w:sz w:val="24"/>
              </w:rPr>
              <w:t xml:space="preserve">900.000.000</w:t>
            </w:r>
            <w:r/>
          </w:p>
        </w:tc>
      </w:tr>
      <w:tr>
        <w:trPr>
          <w:trHeight w:val="57"/>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4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4"/>
              </w:rPr>
              <w:t xml:space="preserve">2</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404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pPr>
            <w:r>
              <w:rPr>
                <w:rFonts w:ascii="Times New Roman" w:hAnsi="Times New Roman" w:eastAsia="Times New Roman" w:cs="Times New Roman"/>
                <w:color w:val="000000"/>
                <w:sz w:val="24"/>
              </w:rPr>
              <w:t xml:space="preserve">Đất trồng cây lâu năm</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220"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27,5</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8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right"/>
              <w:rPr/>
            </w:pPr>
            <w:r>
              <w:rPr>
                <w:rFonts w:ascii="Times New Roman" w:hAnsi="Times New Roman" w:eastAsia="Times New Roman" w:cs="Times New Roman"/>
                <w:color w:val="000000"/>
                <w:sz w:val="24"/>
              </w:rPr>
              <w:t xml:space="preserve">     35.000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right"/>
              <w:rPr/>
            </w:pPr>
            <w:r>
              <w:rPr>
                <w:rFonts w:ascii="Times New Roman" w:hAnsi="Times New Roman" w:eastAsia="Times New Roman" w:cs="Times New Roman"/>
                <w:color w:val="000000"/>
                <w:sz w:val="24"/>
              </w:rPr>
              <w:t xml:space="preserve">962.500</w:t>
            </w:r>
            <w:r/>
          </w:p>
        </w:tc>
      </w:tr>
      <w:tr>
        <w:trPr>
          <w:trHeight w:val="57"/>
        </w:trPr>
        <w:tc>
          <w:tcPr>
            <w:gridSpan w:val="4"/>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480"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b/>
                <w:color w:val="000000"/>
                <w:sz w:val="24"/>
              </w:rPr>
              <w:t xml:space="preserve">Tổng cộng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20"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right"/>
              <w:rPr/>
            </w:pPr>
            <w:r>
              <w:rPr>
                <w:rFonts w:ascii="Times New Roman" w:hAnsi="Times New Roman" w:eastAsia="Times New Roman" w:cs="Times New Roman"/>
                <w:b/>
                <w:color w:val="000000"/>
                <w:sz w:val="24"/>
              </w:rPr>
              <w:t xml:space="preserve">2.702.887.500 </w:t>
            </w:r>
            <w:r/>
          </w:p>
        </w:tc>
      </w:tr>
      <w:tr>
        <w:trPr>
          <w:trHeight w:val="57"/>
        </w:trPr>
        <w:tc>
          <w:tcPr>
            <w:gridSpan w:val="5"/>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950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b/>
                <w:i/>
                <w:color w:val="000000"/>
                <w:sz w:val="24"/>
              </w:rPr>
              <w:t xml:space="preserve">(Bằng chữ: Hai tỷ bảy trăm linh hai triệu tám trăm tám mươi bảy nghìn năm trăm đồng./.)</w:t>
            </w:r>
            <w:r/>
          </w:p>
        </w:tc>
      </w:tr>
    </w:tbl>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pPr>
      <w:r>
        <w:rPr>
          <w:rFonts w:ascii="Times New Roman" w:hAnsi="Times New Roman" w:eastAsia="Times New Roman" w:cs="Times New Roman"/>
          <w:b/>
          <w:color w:val="000000"/>
          <w:sz w:val="24"/>
        </w:rPr>
        <w:t xml:space="preserve"> </w:t>
      </w:r>
      <w:r/>
    </w:p>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pPr>
      <w:r>
        <w:rPr>
          <w:rFonts w:ascii="Times New Roman" w:hAnsi="Times New Roman" w:eastAsia="Times New Roman" w:cs="Times New Roman"/>
          <w:b/>
          <w:color w:val="000000"/>
          <w:sz w:val="24"/>
        </w:rPr>
        <w:t xml:space="preserve">10. Thời hạn hiệu lực của kết quả thẩm định giá:</w:t>
      </w:r>
      <w:r/>
    </w:p>
    <w:p>
      <w:pPr>
        <w:pBdr>
          <w:top w:val="none" w:color="000000" w:sz="4" w:space="0"/>
          <w:left w:val="none" w:color="000000" w:sz="4" w:space="0"/>
          <w:bottom w:val="none" w:color="000000" w:sz="4" w:space="0"/>
          <w:right w:val="none" w:color="000000" w:sz="4" w:space="0"/>
        </w:pBdr>
        <w:spacing w:after="0" w:before="120" w:line="276" w:lineRule="auto"/>
        <w:ind w:right="0" w:firstLine="0" w:left="426"/>
        <w:jc w:val="both"/>
        <w:rPr/>
      </w:pPr>
      <w:r>
        <w:rPr>
          <w:rFonts w:ascii="Times New Roman" w:hAnsi="Times New Roman" w:eastAsia="Times New Roman" w:cs="Times New Roman"/>
          <w:color w:val="000000"/>
          <w:sz w:val="24"/>
        </w:rPr>
        <w:t xml:space="preserve">- Tối đa 03 (ba) tháng tính từ ngày ký đối với tài sản là Động sản.</w:t>
      </w:r>
      <w:r/>
    </w:p>
    <w:p>
      <w:pPr>
        <w:pBdr>
          <w:top w:val="none" w:color="000000" w:sz="4" w:space="0"/>
          <w:left w:val="none" w:color="000000" w:sz="4" w:space="0"/>
          <w:bottom w:val="none" w:color="000000" w:sz="4" w:space="0"/>
          <w:right w:val="none" w:color="000000" w:sz="4" w:space="0"/>
        </w:pBdr>
        <w:spacing w:after="0" w:before="120" w:line="276" w:lineRule="auto"/>
        <w:ind w:right="0" w:firstLine="0" w:left="426"/>
        <w:jc w:val="both"/>
        <w:rPr/>
      </w:pPr>
      <w:r>
        <w:rPr>
          <w:rFonts w:ascii="Times New Roman" w:hAnsi="Times New Roman" w:eastAsia="Times New Roman" w:cs="Times New Roman"/>
          <w:color w:val="000000"/>
          <w:sz w:val="24"/>
        </w:rPr>
        <w:t xml:space="preserve">- Tối đa 06 (sáu) tháng tính từ ngày ký đối với tài sản là Bất động sản.</w:t>
      </w:r>
      <w:r/>
    </w:p>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pPr>
      <w:r>
        <w:rPr>
          <w:rFonts w:ascii="Times New Roman" w:hAnsi="Times New Roman" w:eastAsia="Times New Roman" w:cs="Times New Roman"/>
          <w:b/>
          <w:color w:val="000000"/>
          <w:sz w:val="24"/>
        </w:rPr>
        <w:t xml:space="preserve">11. Những điều khoản loại trừ và hạn chế của kết quả thẩm định giá:</w:t>
      </w:r>
      <w:r/>
    </w:p>
    <w:p>
      <w:pPr>
        <w:pBdr>
          <w:top w:val="none" w:color="000000" w:sz="4" w:space="0"/>
          <w:left w:val="none" w:color="000000" w:sz="4" w:space="0"/>
          <w:bottom w:val="none" w:color="000000" w:sz="4" w:space="0"/>
          <w:right w:val="none" w:color="000000" w:sz="4" w:space="0"/>
        </w:pBdr>
        <w:spacing w:after="0" w:before="120" w:line="276" w:lineRule="auto"/>
        <w:ind w:right="0" w:firstLine="0" w:left="426"/>
        <w:jc w:val="both"/>
        <w:rPr/>
      </w:pPr>
      <w:r>
        <w:rPr>
          <w:rFonts w:ascii="Times New Roman" w:hAnsi="Times New Roman" w:eastAsia="Times New Roman" w:cs="Times New Roman"/>
          <w:i/>
          <w:color w:val="000000"/>
          <w:sz w:val="24"/>
        </w:rPr>
        <w:t xml:space="preserve">Chi tiết như Báo cáo kèm theo.</w:t>
      </w:r>
      <w:r/>
    </w:p>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pPr>
      <w:r>
        <w:rPr>
          <w:rFonts w:ascii="Times New Roman" w:hAnsi="Times New Roman" w:eastAsia="Times New Roman" w:cs="Times New Roman"/>
          <w:b/>
          <w:color w:val="000000"/>
          <w:sz w:val="24"/>
        </w:rPr>
        <w:t xml:space="preserve">12. Các tài liệu kèm theo:</w:t>
      </w:r>
      <w:r/>
    </w:p>
    <w:p>
      <w:pPr>
        <w:pBdr>
          <w:top w:val="none" w:color="000000" w:sz="4" w:space="0"/>
          <w:left w:val="none" w:color="000000" w:sz="4" w:space="0"/>
          <w:bottom w:val="none" w:color="000000" w:sz="4" w:space="0"/>
          <w:right w:val="none" w:color="000000" w:sz="4" w:space="0"/>
        </w:pBdr>
        <w:spacing w:after="0" w:before="120" w:line="276" w:lineRule="auto"/>
        <w:ind w:right="0" w:firstLine="284" w:left="142"/>
        <w:jc w:val="both"/>
        <w:rPr/>
      </w:pPr>
      <w:r>
        <w:rPr>
          <w:rFonts w:ascii="Times New Roman" w:hAnsi="Times New Roman" w:eastAsia="Times New Roman" w:cs="Times New Roman"/>
          <w:color w:val="000000"/>
          <w:sz w:val="24"/>
        </w:rPr>
        <w:t xml:space="preserve">- Báo cáo kết quả thẩm định giá.</w:t>
      </w:r>
      <w:r/>
    </w:p>
    <w:p>
      <w:pPr>
        <w:pBdr>
          <w:top w:val="none" w:color="000000" w:sz="4" w:space="0"/>
          <w:left w:val="none" w:color="000000" w:sz="4" w:space="0"/>
          <w:bottom w:val="none" w:color="000000" w:sz="4" w:space="0"/>
          <w:right w:val="none" w:color="000000" w:sz="4" w:space="0"/>
        </w:pBdr>
        <w:spacing w:after="0" w:before="120" w:line="276" w:lineRule="auto"/>
        <w:ind w:right="0" w:firstLine="284" w:left="142"/>
        <w:jc w:val="both"/>
        <w:rPr/>
      </w:pPr>
      <w:r>
        <w:rPr>
          <w:rFonts w:ascii="Times New Roman" w:hAnsi="Times New Roman" w:eastAsia="Times New Roman" w:cs="Times New Roman"/>
          <w:color w:val="000000"/>
          <w:sz w:val="24"/>
        </w:rPr>
        <w:t xml:space="preserve">- Các phụ lục chi tiết kèm theo.</w:t>
      </w:r>
      <w:r/>
    </w:p>
    <w:p>
      <w:pPr>
        <w:pBdr>
          <w:top w:val="none" w:color="000000" w:sz="4" w:space="0"/>
          <w:left w:val="none" w:color="000000" w:sz="4" w:space="0"/>
          <w:bottom w:val="none" w:color="000000" w:sz="4" w:space="0"/>
          <w:right w:val="none" w:color="000000" w:sz="4" w:space="0"/>
        </w:pBdr>
        <w:spacing w:after="0" w:before="120" w:line="276" w:lineRule="auto"/>
        <w:ind w:right="0" w:firstLine="284" w:left="142"/>
        <w:jc w:val="both"/>
        <w:rPr/>
      </w:pPr>
      <w:r>
        <w:rPr>
          <w:rFonts w:ascii="Times New Roman" w:hAnsi="Times New Roman" w:eastAsia="Times New Roman" w:cs="Times New Roman"/>
          <w:color w:val="000000"/>
          <w:sz w:val="24"/>
        </w:rPr>
        <w:t xml:space="preserve">- Chứng thư và báo cáo thẩm định giá được phát hành 03 (ba) bản chính bằng tiếng Việt, cấp cho quý khách hàng 02 (hai) bản, lưu lại Công ty Cổ phần Thẩm định và Đầu tư Tài chính Hoa Sen 01 (một) bản có giá trị pháp lý như nhau.</w:t>
      </w:r>
      <w:r/>
    </w:p>
    <w:p>
      <w:pPr>
        <w:pBdr>
          <w:top w:val="none" w:color="000000" w:sz="4" w:space="0"/>
          <w:left w:val="none" w:color="000000" w:sz="4" w:space="0"/>
          <w:bottom w:val="none" w:color="000000" w:sz="4" w:space="0"/>
          <w:right w:val="none" w:color="000000" w:sz="4" w:space="0"/>
        </w:pBdr>
        <w:spacing w:after="0" w:before="120" w:line="276" w:lineRule="auto"/>
        <w:ind w:right="0" w:firstLine="284" w:left="142"/>
        <w:jc w:val="both"/>
        <w:rPr/>
      </w:pPr>
      <w:r>
        <w:rPr>
          <w:rFonts w:ascii="Times New Roman" w:hAnsi="Times New Roman" w:eastAsia="Times New Roman" w:cs="Times New Roman"/>
          <w:color w:val="000000"/>
          <w:sz w:val="24"/>
        </w:rPr>
        <w:t xml:space="preserve">- Mọi hình thức sao chép báo cáo và chứng thư thẩm định giá không có sự đồng ý bằng văn bản của Công ty Cổ phần Thẩm định và Đầu tư Tài chính Hoa Sen đều là hành vi vi phạm pháp luật.</w:t>
      </w:r>
      <w:r/>
    </w:p>
    <w:tbl>
      <w:tblPr>
        <w:tblStyle w:val="1047"/>
        <w:tblInd w:w="-176"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4732"/>
        <w:gridCol w:w="5157"/>
      </w:tblGrid>
      <w:tr>
        <w:trPr/>
        <w:tc>
          <w:tcPr>
            <w:tcBorders/>
            <w:tcMar>
              <w:left w:w="108" w:type="dxa"/>
              <w:top w:w="0" w:type="dxa"/>
              <w:right w:w="108" w:type="dxa"/>
              <w:bottom w:w="0" w:type="dxa"/>
            </w:tcMar>
            <w:tcW w:w="4732" w:type="dxa"/>
            <w:vAlign w:val="bottom"/>
            <w:textDirection w:val="lrTb"/>
            <w:noWrap w:val="false"/>
          </w:tcPr>
          <w:p>
            <w:pPr>
              <w:pBdr>
                <w:top w:val="none" w:color="000000" w:sz="4" w:space="0"/>
                <w:left w:val="none" w:color="000000" w:sz="4" w:space="0"/>
                <w:bottom w:val="none" w:color="000000" w:sz="4" w:space="0"/>
                <w:right w:val="none" w:color="000000" w:sz="4" w:space="0"/>
              </w:pBdr>
              <w:spacing w:after="0" w:before="120" w:line="276" w:lineRule="auto"/>
              <w:ind w:right="0" w:firstLine="0" w:left="0"/>
              <w:jc w:val="center"/>
              <w:rPr/>
            </w:pPr>
            <w:r>
              <w:rPr>
                <w:rFonts w:ascii="Times New Roman" w:hAnsi="Times New Roman" w:eastAsia="Times New Roman" w:cs="Times New Roman"/>
                <w:b/>
                <w:color w:val="000000"/>
                <w:spacing w:val="3"/>
                <w:sz w:val="24"/>
              </w:rPr>
              <w:t xml:space="preserve">THẨM ĐỊNH VIÊN VỀ GIÁ</w:t>
            </w:r>
            <w:r/>
          </w:p>
        </w:tc>
        <w:tc>
          <w:tcPr>
            <w:tcBorders/>
            <w:tcMar>
              <w:left w:w="108" w:type="dxa"/>
              <w:top w:w="0" w:type="dxa"/>
              <w:right w:w="108" w:type="dxa"/>
              <w:bottom w:w="0" w:type="dxa"/>
            </w:tcMar>
            <w:tcW w:w="5157" w:type="dxa"/>
            <w:vAlign w:val="bottom"/>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pacing w:val="3"/>
                <w:sz w:val="24"/>
              </w:rPr>
              <w:t xml:space="preserve">CÔNG TY CỔ PHẦN THẨM ĐỊNH VÀ ĐẦU TƯ TÀI CHÍNH HOA SEN</w:t>
            </w:r>
            <w:r/>
          </w:p>
          <w:p>
            <w:pPr>
              <w:pBdr>
                <w:top w:val="none" w:color="000000" w:sz="4" w:space="0"/>
                <w:left w:val="none" w:color="000000" w:sz="4" w:space="0"/>
                <w:bottom w:val="none" w:color="000000" w:sz="4" w:space="0"/>
                <w:right w:val="none" w:color="000000" w:sz="4" w:space="0"/>
              </w:pBdr>
              <w:shd w:val="clear" w:color="ffffff" w:fill="ffffff"/>
              <w:spacing w:after="0" w:before="0" w:line="276" w:lineRule="auto"/>
              <w:ind w:right="0" w:firstLine="338" w:left="-338"/>
              <w:jc w:val="center"/>
              <w:rPr/>
            </w:pPr>
            <w:r>
              <w:rPr>
                <w:rFonts w:ascii="Times New Roman" w:hAnsi="Times New Roman" w:eastAsia="Times New Roman" w:cs="Times New Roman"/>
                <w:b/>
                <w:color w:val="000000"/>
                <w:sz w:val="24"/>
              </w:rPr>
              <w:t xml:space="preserve">Chủ tịch HĐQT kiêm Tổng Giám đốc</w:t>
            </w:r>
            <w:r/>
          </w:p>
        </w:tc>
      </w:tr>
      <w:tr>
        <w:trPr/>
        <w:tc>
          <w:tcPr>
            <w:tcBorders/>
            <w:tcMar>
              <w:left w:w="108" w:type="dxa"/>
              <w:top w:w="0" w:type="dxa"/>
              <w:right w:w="108" w:type="dxa"/>
              <w:bottom w:w="0" w:type="dxa"/>
            </w:tcMar>
            <w:tcW w:w="4732"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120" w:line="276" w:lineRule="auto"/>
              <w:ind w:right="0" w:firstLine="0" w:left="0"/>
              <w:jc w:val="center"/>
              <w:rPr/>
            </w:pPr>
            <w:r>
              <w:rPr>
                <w:rFonts w:ascii="Times New Roman" w:hAnsi="Times New Roman" w:eastAsia="Times New Roman" w:cs="Times New Roman"/>
                <w:b/>
                <w:color w:val="000000"/>
                <w:spacing w:val="3"/>
                <w:sz w:val="24"/>
              </w:rPr>
              <w:t xml:space="preserve"> </w:t>
            </w:r>
            <w:r/>
          </w:p>
          <w:p>
            <w:pPr>
              <w:pBdr>
                <w:top w:val="none" w:color="000000" w:sz="4" w:space="0"/>
                <w:left w:val="none" w:color="000000" w:sz="4" w:space="0"/>
                <w:bottom w:val="none" w:color="000000" w:sz="4" w:space="0"/>
                <w:right w:val="none" w:color="000000" w:sz="4" w:space="0"/>
              </w:pBdr>
              <w:spacing w:after="0" w:before="120" w:line="276" w:lineRule="auto"/>
              <w:ind w:right="0" w:firstLine="0" w:left="0"/>
              <w:rPr/>
            </w:pPr>
            <w:r>
              <w:rPr>
                <w:rFonts w:ascii="Times New Roman" w:hAnsi="Times New Roman" w:eastAsia="Times New Roman" w:cs="Times New Roman"/>
                <w:b/>
                <w:color w:val="000000"/>
                <w:spacing w:val="3"/>
                <w:sz w:val="24"/>
              </w:rPr>
              <w:t xml:space="preserve"> </w:t>
            </w:r>
            <w:r/>
          </w:p>
          <w:p>
            <w:pPr>
              <w:pBdr>
                <w:top w:val="none" w:color="000000" w:sz="4" w:space="0"/>
                <w:left w:val="none" w:color="000000" w:sz="4" w:space="0"/>
                <w:bottom w:val="none" w:color="000000" w:sz="4" w:space="0"/>
                <w:right w:val="none" w:color="000000" w:sz="4" w:space="0"/>
              </w:pBdr>
              <w:spacing w:after="0" w:before="120" w:line="276" w:lineRule="auto"/>
              <w:ind w:right="0" w:firstLine="0" w:left="0"/>
              <w:jc w:val="center"/>
              <w:rPr/>
            </w:pPr>
            <w:r>
              <w:rPr>
                <w:rFonts w:ascii="Times New Roman" w:hAnsi="Times New Roman" w:eastAsia="Times New Roman" w:cs="Times New Roman"/>
                <w:b/>
                <w:color w:val="000000"/>
                <w:spacing w:val="3"/>
                <w:sz w:val="24"/>
              </w:rPr>
              <w:t xml:space="preserve"> </w:t>
            </w:r>
            <w:r/>
          </w:p>
        </w:tc>
        <w:tc>
          <w:tcPr>
            <w:tcBorders/>
            <w:tcMar>
              <w:left w:w="108" w:type="dxa"/>
              <w:top w:w="0" w:type="dxa"/>
              <w:right w:w="108" w:type="dxa"/>
              <w:bottom w:w="0" w:type="dxa"/>
            </w:tcMar>
            <w:tcW w:w="5157" w:type="dxa"/>
            <w:vAlign w:val="top"/>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pacing w:val="3"/>
                <w:sz w:val="24"/>
              </w:rPr>
              <w:t xml:space="preserve"> </w:t>
            </w:r>
            <w:r/>
          </w:p>
        </w:tc>
      </w:tr>
      <w:tr>
        <w:trPr/>
        <w:tc>
          <w:tcPr>
            <w:tcBorders/>
            <w:tcMar>
              <w:left w:w="108" w:type="dxa"/>
              <w:top w:w="0" w:type="dxa"/>
              <w:right w:w="108" w:type="dxa"/>
              <w:bottom w:w="0" w:type="dxa"/>
            </w:tcMar>
            <w:tcW w:w="4732" w:type="dxa"/>
            <w:vAlign w:val="top"/>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b/>
                <w:color w:val="000000"/>
                <w:sz w:val="24"/>
              </w:rPr>
              <w:t xml:space="preserve">Nguyễn Thị Thùy Dương</w:t>
            </w:r>
            <w:r/>
          </w:p>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pacing w:val="3"/>
                <w:sz w:val="24"/>
                <w:highlight w:val="white"/>
              </w:rPr>
              <w:t xml:space="preserve">Số thẻ thẩm định viên về giá: </w:t>
            </w:r>
            <w:r>
              <w:rPr>
                <w:rFonts w:ascii="Times New Roman" w:hAnsi="Times New Roman" w:eastAsia="Times New Roman" w:cs="Times New Roman"/>
                <w:color w:val="000000"/>
                <w:sz w:val="24"/>
              </w:rPr>
              <w:t xml:space="preserve">XVI25TS.2576</w:t>
            </w:r>
            <w:r/>
          </w:p>
        </w:tc>
        <w:tc>
          <w:tcPr>
            <w:tcBorders/>
            <w:tcMar>
              <w:left w:w="108" w:type="dxa"/>
              <w:top w:w="0" w:type="dxa"/>
              <w:right w:w="108" w:type="dxa"/>
              <w:bottom w:w="0" w:type="dxa"/>
            </w:tcMar>
            <w:tcW w:w="5157" w:type="dxa"/>
            <w:vAlign w:val="top"/>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Vũ Văn Quân</w:t>
            </w:r>
            <w:r/>
          </w:p>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pacing w:val="3"/>
                <w:sz w:val="24"/>
              </w:rPr>
              <w:t xml:space="preserve">Số thẻ thẩm định viên về giá: </w:t>
            </w:r>
            <w:r>
              <w:rPr>
                <w:rFonts w:ascii="Times New Roman" w:hAnsi="Times New Roman" w:eastAsia="Times New Roman" w:cs="Times New Roman"/>
                <w:color w:val="000000"/>
                <w:sz w:val="24"/>
              </w:rPr>
              <w:t xml:space="preserve"> XII17.1825 </w:t>
            </w:r>
            <w:r/>
          </w:p>
        </w:tc>
      </w:tr>
    </w:tbl>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pPr>
      <w:r>
        <w:rPr>
          <w:rFonts w:ascii="Times New Roman" w:hAnsi="Times New Roman" w:eastAsia="Times New Roman" w:cs="Times New Roman"/>
          <w:color w:val="000000"/>
          <w:sz w:val="24"/>
        </w:rPr>
        <w:t xml:space="preserve"> </w:t>
      </w:r>
      <w:r/>
    </w:p>
    <w:p>
      <w:pPr>
        <w:pBdr>
          <w:top w:val="none" w:color="000000" w:sz="4" w:space="0"/>
          <w:left w:val="none" w:color="000000" w:sz="4" w:space="0"/>
          <w:bottom w:val="none" w:color="000000" w:sz="4" w:space="0"/>
          <w:right w:val="none" w:color="000000" w:sz="4" w:space="0"/>
        </w:pBdr>
        <w:spacing w:line="276" w:lineRule="auto"/>
        <w:ind w:right="0" w:firstLine="0" w:left="0"/>
        <w:rPr/>
      </w:pPr>
      <w:r>
        <w:br w:type="page" w:clear="all"/>
      </w:r>
      <w:r/>
    </w:p>
    <w:tbl>
      <w:tblPr>
        <w:tblStyle w:val="1047"/>
        <w:tblInd w:w="-93"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1833"/>
        <w:gridCol w:w="2671"/>
        <w:gridCol w:w="5374"/>
      </w:tblGrid>
      <w:tr>
        <w:trPr>
          <w:trHeight w:val="20"/>
        </w:trPr>
        <w:tc>
          <w:tcPr>
            <w:tcBorders/>
            <w:tcMar>
              <w:left w:w="108" w:type="dxa"/>
              <w:top w:w="0" w:type="dxa"/>
              <w:right w:w="108" w:type="dxa"/>
              <w:bottom w:w="0" w:type="dxa"/>
            </w:tcMar>
            <w:tcW w:w="1833"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0" w:line="276" w:lineRule="auto"/>
              <w:ind w:right="0" w:hanging="108" w:left="0"/>
              <w:rPr/>
            </w:pPr>
            <w:r>
              <w:rPr>
                <w:rFonts w:ascii="Times New Roman" w:hAnsi="Times New Roman" w:eastAsia="Times New Roman" w:cs="Times New Roman"/>
                <w:color w:val="000000"/>
                <w:sz w:val="24"/>
              </w:rPr>
              <w:t xml:space="preserve"> </w:t>
            </w:r>
            <w:r>
              <w:rPr>
                <w:rFonts w:ascii="Times New Roman" w:hAnsi="Times New Roman" w:eastAsia="Times New Roman" w:cs="Times New Roman"/>
                <w:color w:val="000000"/>
                <w:sz w:val="24"/>
              </w:rPr>
              <w:t xml:space="preserve"> </w:t>
            </w:r>
            <w:r>
              <mc:AlternateContent>
                <mc:Choice Requires="wpg">
                  <w:drawing>
                    <wp:inline xmlns:wp="http://schemas.openxmlformats.org/drawingml/2006/wordprocessingDrawing" distT="0" distB="0" distL="0" distR="0">
                      <wp:extent cx="1095375" cy="1038225"/>
                      <wp:effectExtent l="0" t="0" r="0" b="0"/>
                      <wp:docPr id="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2875713" name=""/>
                              <pic:cNvPicPr>
                                <a:picLocks noChangeAspect="1"/>
                              </pic:cNvPicPr>
                              <pic:nvPr/>
                            </pic:nvPicPr>
                            <pic:blipFill rotWithShape="1">
                              <a:blip r:embed="rId14"/>
                              <a:stretch/>
                            </pic:blipFill>
                            <pic:spPr bwMode="auto">
                              <a:xfrm>
                                <a:off x="0" y="0"/>
                                <a:ext cx="1095374" cy="103822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6.25pt;height:81.75pt;mso-wrap-distance-left:0.00pt;mso-wrap-distance-top:0.00pt;mso-wrap-distance-right:0.00pt;mso-wrap-distance-bottom:0.00pt;z-index:1;" stroked="false">
                      <v:imagedata r:id="rId14" o:title=""/>
                      <o:lock v:ext="edit" rotation="t"/>
                    </v:shape>
                  </w:pict>
                </mc:Fallback>
              </mc:AlternateContent>
            </w:r>
            <w:r/>
          </w:p>
        </w:tc>
        <w:tc>
          <w:tcPr>
            <w:gridSpan w:val="2"/>
            <w:tcBorders/>
            <w:tcMar>
              <w:left w:w="108" w:type="dxa"/>
              <w:top w:w="0" w:type="dxa"/>
              <w:right w:w="108" w:type="dxa"/>
              <w:bottom w:w="0" w:type="dxa"/>
            </w:tcMar>
            <w:tcW w:w="8045"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0" w:line="276" w:lineRule="auto"/>
              <w:ind w:right="0" w:firstLine="0" w:left="0"/>
              <w:jc w:val="both"/>
              <w:rPr/>
            </w:pPr>
            <w:r>
              <w:rPr>
                <w:rFonts w:ascii="Times New Roman" w:hAnsi="Times New Roman" w:eastAsia="Times New Roman" w:cs="Times New Roman"/>
                <w:b/>
                <w:color w:val="000000"/>
                <w:sz w:val="24"/>
              </w:rPr>
              <w:t xml:space="preserve">CÔNG TY CỔ PHẦN THẨM ĐỊNH VÀ ĐẦU TƯ TÀI CHÍNH HOA SEN</w:t>
            </w:r>
            <w:r/>
          </w:p>
          <w:p>
            <w:pPr>
              <w:pBdr>
                <w:top w:val="none" w:color="000000" w:sz="4" w:space="0"/>
                <w:left w:val="none" w:color="000000" w:sz="4" w:space="0"/>
                <w:bottom w:val="none" w:color="000000" w:sz="4" w:space="0"/>
                <w:right w:val="none" w:color="000000" w:sz="4" w:space="0"/>
              </w:pBdr>
              <w:spacing w:after="0" w:before="0" w:line="276" w:lineRule="auto"/>
              <w:ind w:right="0" w:firstLine="0" w:left="0"/>
              <w:jc w:val="both"/>
              <w:rPr/>
            </w:pPr>
            <w:r>
              <w:rPr>
                <w:rFonts w:ascii="Times New Roman" w:hAnsi="Times New Roman" w:eastAsia="Times New Roman" w:cs="Times New Roman"/>
                <w:color w:val="000000"/>
                <w:sz w:val="24"/>
              </w:rPr>
              <w:t xml:space="preserve">Trụ sở: BT5-23 khu đô thị mới Văn Phú, P. Kiến Hưng, TP. Hà Nội</w:t>
            </w:r>
            <w:r/>
          </w:p>
          <w:p>
            <w:pPr>
              <w:pBdr>
                <w:top w:val="none" w:color="000000" w:sz="4" w:space="0"/>
                <w:left w:val="none" w:color="000000" w:sz="4" w:space="0"/>
                <w:bottom w:val="none" w:color="000000" w:sz="4" w:space="0"/>
                <w:right w:val="none" w:color="000000" w:sz="4" w:space="0"/>
              </w:pBdr>
              <w:spacing w:after="0" w:before="0" w:line="276" w:lineRule="auto"/>
              <w:ind w:right="0" w:firstLine="0" w:left="0"/>
              <w:jc w:val="both"/>
              <w:rPr/>
            </w:pPr>
            <w:r>
              <w:rPr>
                <w:rFonts w:ascii="Times New Roman" w:hAnsi="Times New Roman" w:eastAsia="Times New Roman" w:cs="Times New Roman"/>
                <w:color w:val="000000"/>
                <w:sz w:val="24"/>
              </w:rPr>
              <w:t xml:space="preserve">Điện thoại: 085 329 3333/ 024 2264 4333</w:t>
            </w:r>
            <w:r/>
          </w:p>
          <w:p>
            <w:pPr>
              <w:pBdr>
                <w:top w:val="none" w:color="000000" w:sz="4" w:space="0"/>
                <w:left w:val="none" w:color="000000" w:sz="4" w:space="0"/>
                <w:bottom w:val="none" w:color="000000" w:sz="4" w:space="0"/>
                <w:right w:val="none" w:color="000000" w:sz="4" w:space="0"/>
              </w:pBdr>
              <w:spacing w:after="0" w:before="0" w:line="276" w:lineRule="auto"/>
              <w:ind w:right="0" w:firstLine="0" w:left="0"/>
              <w:jc w:val="both"/>
              <w:rPr/>
            </w:pPr>
            <w:r>
              <w:rPr>
                <w:rFonts w:ascii="Times New Roman" w:hAnsi="Times New Roman" w:eastAsia="Times New Roman" w:cs="Times New Roman"/>
                <w:color w:val="000000"/>
                <w:sz w:val="24"/>
              </w:rPr>
              <w:t xml:space="preserve">Email: </w:t>
            </w:r>
            <w:hyperlink r:id="rId16" w:tooltip="mailto:ilotus.contact@gmail.com" w:history="1">
              <w:r>
                <w:rPr>
                  <w:rStyle w:val="1033"/>
                  <w:rFonts w:ascii="Arial" w:hAnsi="Arial" w:eastAsia="Arial" w:cs="Arial"/>
                  <w:color w:val="0000ff"/>
                  <w:sz w:val="22"/>
                  <w:u w:val="none"/>
                </w:rPr>
                <w:t xml:space="preserve">ilotus.contact@gmail.com</w:t>
              </w:r>
            </w:hyperlink>
            <w:r>
              <w:rPr>
                <w:rFonts w:ascii="Times New Roman" w:hAnsi="Times New Roman" w:eastAsia="Times New Roman" w:cs="Times New Roman"/>
                <w:color w:val="000000"/>
                <w:sz w:val="24"/>
              </w:rPr>
              <w:t xml:space="preserve"> Website: ilotus.com.vn</w:t>
            </w:r>
            <w:r/>
          </w:p>
        </w:tc>
      </w:tr>
      <w:tr>
        <w:trPr>
          <w:trHeight w:val="20"/>
        </w:trPr>
        <w:tc>
          <w:tcPr>
            <w:gridSpan w:val="2"/>
            <w:tcBorders/>
            <w:tcMar>
              <w:left w:w="108" w:type="dxa"/>
              <w:top w:w="0" w:type="dxa"/>
              <w:right w:w="108" w:type="dxa"/>
              <w:bottom w:w="0" w:type="dxa"/>
            </w:tcMar>
            <w:tcW w:w="450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line="276" w:lineRule="auto"/>
              <w:ind w:right="0" w:hanging="108" w:left="0"/>
              <w:rPr/>
            </w:pPr>
            <w:r>
              <w:rPr>
                <w:rFonts w:ascii="Times New Roman" w:hAnsi="Times New Roman" w:eastAsia="Times New Roman" w:cs="Times New Roman"/>
                <w:color w:val="000000"/>
                <w:spacing w:val="3"/>
                <w:sz w:val="24"/>
                <w:highlight w:val="white"/>
              </w:rPr>
              <w:t xml:space="preserve">Số: </w:t>
            </w:r>
            <w:r>
              <w:rPr>
                <w:rFonts w:ascii="Times New Roman" w:hAnsi="Times New Roman" w:eastAsia="Times New Roman" w:cs="Times New Roman"/>
                <w:color w:val="000000"/>
                <w:sz w:val="24"/>
              </w:rPr>
              <w:t xml:space="preserve">275/2026/0196/VFI-BC.27.A</w:t>
            </w:r>
            <w:r/>
          </w:p>
        </w:tc>
        <w:tc>
          <w:tcPr>
            <w:tcBorders/>
            <w:tcMar>
              <w:left w:w="108" w:type="dxa"/>
              <w:top w:w="0" w:type="dxa"/>
              <w:right w:w="108" w:type="dxa"/>
              <w:bottom w:w="0" w:type="dxa"/>
            </w:tcMar>
            <w:tcW w:w="5374"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0" w:line="276" w:lineRule="auto"/>
              <w:ind w:right="0" w:firstLine="0" w:left="0"/>
              <w:jc w:val="right"/>
              <w:rPr/>
            </w:pPr>
            <w:r>
              <w:rPr>
                <w:rFonts w:ascii="Times New Roman" w:hAnsi="Times New Roman" w:eastAsia="Times New Roman" w:cs="Times New Roman"/>
                <w:i/>
                <w:color w:val="000000"/>
                <w:sz w:val="24"/>
              </w:rPr>
              <w:t xml:space="preserve">TP. Hà Nội, ngày 26 tháng 01 năm 2026</w:t>
            </w:r>
            <w:r/>
          </w:p>
        </w:tc>
      </w:tr>
      <w:tr>
        <w:trPr/>
        <w:tc>
          <w:tcPr>
            <w:tcBorders/>
            <w:tcMar>
              <w:left w:w="0" w:type="dxa"/>
              <w:top w:w="0" w:type="dxa"/>
              <w:right w:w="0" w:type="dxa"/>
              <w:bottom w:w="0" w:type="dxa"/>
            </w:tcMar>
            <w:tcW w:w="1833" w:type="dxa"/>
            <w:vAlign w:val="center"/>
            <w:textDirection w:val="lrTb"/>
            <w:noWrap w:val="false"/>
          </w:tcPr>
          <w:p>
            <w:pPr>
              <w:pBdr/>
              <w:spacing w:after="0" w:before="0" w:line="276" w:lineRule="auto"/>
              <w:ind/>
              <w:rPr/>
            </w:pPr>
            <w:r/>
            <w:r/>
          </w:p>
        </w:tc>
        <w:tc>
          <w:tcPr>
            <w:tcBorders/>
            <w:tcMar>
              <w:left w:w="0" w:type="dxa"/>
              <w:top w:w="0" w:type="dxa"/>
              <w:right w:w="0" w:type="dxa"/>
              <w:bottom w:w="0" w:type="dxa"/>
            </w:tcMar>
            <w:tcW w:w="2671" w:type="dxa"/>
            <w:vAlign w:val="center"/>
            <w:textDirection w:val="lrTb"/>
            <w:noWrap w:val="false"/>
          </w:tcPr>
          <w:p>
            <w:pPr>
              <w:pBdr/>
              <w:spacing w:after="0" w:before="0" w:line="276" w:lineRule="auto"/>
              <w:ind/>
              <w:rPr/>
            </w:pPr>
            <w:r/>
            <w:r/>
          </w:p>
        </w:tc>
        <w:tc>
          <w:tcPr>
            <w:tcBorders/>
            <w:tcMar>
              <w:left w:w="0" w:type="dxa"/>
              <w:top w:w="0" w:type="dxa"/>
              <w:right w:w="0" w:type="dxa"/>
              <w:bottom w:w="0" w:type="dxa"/>
            </w:tcMar>
            <w:tcW w:w="5374" w:type="dxa"/>
            <w:vAlign w:val="center"/>
            <w:textDirection w:val="lrTb"/>
            <w:noWrap w:val="false"/>
          </w:tcPr>
          <w:p>
            <w:pPr>
              <w:pBdr/>
              <w:spacing w:after="0" w:before="0" w:line="276" w:lineRule="auto"/>
              <w:ind/>
              <w:rPr/>
            </w:pPr>
            <w:r/>
            <w:r/>
          </w:p>
        </w:tc>
      </w:tr>
    </w:tbl>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b/>
          <w:color w:val="000000"/>
          <w:sz w:val="30"/>
        </w:rPr>
        <w:t xml:space="preserve">BÁO CÁO KẾT QUẢ THẨM ĐỊNH GIÁ</w:t>
      </w:r>
      <w:r/>
    </w:p>
    <w:p>
      <w:pPr>
        <w:pBdr>
          <w:top w:val="none" w:color="000000" w:sz="4" w:space="0"/>
          <w:left w:val="none" w:color="000000" w:sz="4" w:space="0"/>
          <w:bottom w:val="none" w:color="000000" w:sz="4" w:space="0"/>
          <w:right w:val="none" w:color="000000" w:sz="4" w:space="0"/>
        </w:pBdr>
        <w:spacing w:after="0" w:before="120" w:line="276" w:lineRule="auto"/>
        <w:ind w:right="-250" w:firstLine="0" w:left="0"/>
        <w:jc w:val="both"/>
        <w:rPr/>
      </w:pPr>
      <w:r>
        <w:rPr>
          <w:rFonts w:ascii="Times New Roman" w:hAnsi="Times New Roman" w:eastAsia="Times New Roman" w:cs="Times New Roman"/>
          <w:i/>
          <w:color w:val="000000"/>
          <w:sz w:val="24"/>
        </w:rPr>
        <w:t xml:space="preserve">(Kèm theo Chứng thư thẩm định giá số: 275/2026/0196/VFI-CT.27.A ngày 26 tháng 01 năm 2026)</w:t>
      </w:r>
      <w:r/>
    </w:p>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pPr>
      <w:r>
        <w:rPr>
          <w:rFonts w:ascii="Times New Roman" w:hAnsi="Times New Roman" w:eastAsia="Times New Roman" w:cs="Times New Roman"/>
          <w:b/>
          <w:color w:val="000000"/>
          <w:sz w:val="24"/>
        </w:rPr>
        <w:t xml:space="preserve">I. THÔNG TIN VỀ DOANH NGHIỆP THẨM ĐỊNH GIÁ </w:t>
      </w:r>
      <w:r/>
    </w:p>
    <w:tbl>
      <w:tblPr>
        <w:tblStyle w:val="1047"/>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1892"/>
        <w:gridCol w:w="305"/>
        <w:gridCol w:w="7620"/>
      </w:tblGrid>
      <w:tr>
        <w:trPr/>
        <w:tc>
          <w:tcPr>
            <w:tcBorders/>
            <w:tcMar>
              <w:left w:w="108" w:type="dxa"/>
              <w:top w:w="0" w:type="dxa"/>
              <w:right w:w="108" w:type="dxa"/>
              <w:bottom w:w="0" w:type="dxa"/>
            </w:tcMar>
            <w:tcW w:w="1892"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60" w:line="276" w:lineRule="auto"/>
              <w:ind w:right="0" w:firstLine="0" w:left="0"/>
              <w:rPr/>
            </w:pPr>
            <w:r>
              <w:rPr>
                <w:rFonts w:ascii="Times New Roman" w:hAnsi="Times New Roman" w:eastAsia="Times New Roman" w:cs="Times New Roman"/>
                <w:color w:val="000000"/>
                <w:sz w:val="24"/>
              </w:rPr>
              <w:t xml:space="preserve">Đơn vị thẩm định</w:t>
            </w:r>
            <w:r/>
          </w:p>
        </w:tc>
        <w:tc>
          <w:tcPr>
            <w:tcBorders/>
            <w:tcMar>
              <w:left w:w="108" w:type="dxa"/>
              <w:top w:w="0" w:type="dxa"/>
              <w:right w:w="108" w:type="dxa"/>
              <w:bottom w:w="0" w:type="dxa"/>
            </w:tcMar>
            <w:tcW w:w="305"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6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7620"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60" w:line="276" w:lineRule="auto"/>
              <w:ind w:right="0" w:firstLine="0" w:left="0"/>
              <w:rPr/>
            </w:pPr>
            <w:r>
              <w:rPr>
                <w:rFonts w:ascii="Times New Roman" w:hAnsi="Times New Roman" w:eastAsia="Times New Roman" w:cs="Times New Roman"/>
                <w:b/>
                <w:color w:val="000000"/>
                <w:spacing w:val="-6"/>
                <w:sz w:val="24"/>
              </w:rPr>
              <w:t xml:space="preserve">CÔNG TY CỔ PHẦN THẨM ĐỊNH VÀ ĐẦU TƯ TÀI CHÍNH HOA SEN</w:t>
            </w:r>
            <w:r/>
          </w:p>
        </w:tc>
      </w:tr>
      <w:tr>
        <w:trPr/>
        <w:tc>
          <w:tcPr>
            <w:tcBorders/>
            <w:tcMar>
              <w:left w:w="108" w:type="dxa"/>
              <w:top w:w="0" w:type="dxa"/>
              <w:right w:w="108" w:type="dxa"/>
              <w:bottom w:w="0" w:type="dxa"/>
            </w:tcMar>
            <w:tcW w:w="1892"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60" w:line="276" w:lineRule="auto"/>
              <w:ind w:right="0" w:firstLine="0" w:left="0"/>
              <w:rPr/>
            </w:pPr>
            <w:r>
              <w:rPr>
                <w:rFonts w:ascii="Times New Roman" w:hAnsi="Times New Roman" w:eastAsia="Times New Roman" w:cs="Times New Roman"/>
                <w:color w:val="000000"/>
                <w:sz w:val="24"/>
              </w:rPr>
              <w:t xml:space="preserve">Địa chỉ trụ sở</w:t>
            </w:r>
            <w:r/>
          </w:p>
        </w:tc>
        <w:tc>
          <w:tcPr>
            <w:tcBorders/>
            <w:tcMar>
              <w:left w:w="108" w:type="dxa"/>
              <w:top w:w="0" w:type="dxa"/>
              <w:right w:w="108" w:type="dxa"/>
              <w:bottom w:w="0" w:type="dxa"/>
            </w:tcMar>
            <w:tcW w:w="305"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6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7620" w:type="dxa"/>
            <w:vAlign w:val="top"/>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60" w:line="276" w:lineRule="auto"/>
              <w:ind w:right="0" w:firstLine="0" w:left="0"/>
              <w:jc w:val="both"/>
              <w:rPr/>
            </w:pPr>
            <w:r>
              <w:rPr>
                <w:rFonts w:ascii="Times New Roman" w:hAnsi="Times New Roman" w:eastAsia="Times New Roman" w:cs="Times New Roman"/>
                <w:color w:val="000000"/>
                <w:sz w:val="24"/>
              </w:rPr>
              <w:t xml:space="preserve">BT5-23 khu đô thị mới Văn Phú, P. Kiến Hưng, TP. Hà Nội</w:t>
            </w:r>
            <w:r/>
          </w:p>
        </w:tc>
      </w:tr>
      <w:tr>
        <w:trPr/>
        <w:tc>
          <w:tcPr>
            <w:tcBorders/>
            <w:tcMar>
              <w:left w:w="108" w:type="dxa"/>
              <w:top w:w="0" w:type="dxa"/>
              <w:right w:w="108" w:type="dxa"/>
              <w:bottom w:w="0" w:type="dxa"/>
            </w:tcMar>
            <w:tcW w:w="1892"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60" w:line="276" w:lineRule="auto"/>
              <w:ind w:right="0" w:firstLine="0" w:left="0"/>
              <w:rPr/>
            </w:pPr>
            <w:r>
              <w:rPr>
                <w:rFonts w:ascii="Times New Roman" w:hAnsi="Times New Roman" w:eastAsia="Times New Roman" w:cs="Times New Roman"/>
                <w:color w:val="000000"/>
                <w:sz w:val="24"/>
              </w:rPr>
              <w:t xml:space="preserve">Điện thoại</w:t>
            </w:r>
            <w:r/>
          </w:p>
        </w:tc>
        <w:tc>
          <w:tcPr>
            <w:tcBorders/>
            <w:tcMar>
              <w:left w:w="108" w:type="dxa"/>
              <w:top w:w="0" w:type="dxa"/>
              <w:right w:w="108" w:type="dxa"/>
              <w:bottom w:w="0" w:type="dxa"/>
            </w:tcMar>
            <w:tcW w:w="305"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6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7620"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60" w:line="276" w:lineRule="auto"/>
              <w:ind w:right="0" w:firstLine="0" w:left="0"/>
              <w:rPr/>
            </w:pPr>
            <w:r>
              <w:rPr>
                <w:rFonts w:ascii="Times New Roman" w:hAnsi="Times New Roman" w:eastAsia="Times New Roman" w:cs="Times New Roman"/>
                <w:color w:val="000000"/>
                <w:sz w:val="24"/>
              </w:rPr>
              <w:t xml:space="preserve">024.22644333</w:t>
            </w:r>
            <w:r/>
          </w:p>
        </w:tc>
      </w:tr>
      <w:tr>
        <w:trPr/>
        <w:tc>
          <w:tcPr>
            <w:tcBorders/>
            <w:tcMar>
              <w:left w:w="108" w:type="dxa"/>
              <w:top w:w="0" w:type="dxa"/>
              <w:right w:w="108" w:type="dxa"/>
              <w:bottom w:w="0" w:type="dxa"/>
            </w:tcMar>
            <w:tcW w:w="1892"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60" w:line="276" w:lineRule="auto"/>
              <w:ind w:right="0" w:firstLine="0" w:left="0"/>
              <w:rPr/>
            </w:pPr>
            <w:r>
              <w:rPr>
                <w:rFonts w:ascii="Times New Roman" w:hAnsi="Times New Roman" w:eastAsia="Times New Roman" w:cs="Times New Roman"/>
                <w:color w:val="000000"/>
                <w:sz w:val="24"/>
              </w:rPr>
              <w:t xml:space="preserve">Mã số thuế</w:t>
            </w:r>
            <w:r/>
          </w:p>
        </w:tc>
        <w:tc>
          <w:tcPr>
            <w:tcBorders/>
            <w:tcMar>
              <w:left w:w="108" w:type="dxa"/>
              <w:top w:w="0" w:type="dxa"/>
              <w:right w:w="108" w:type="dxa"/>
              <w:bottom w:w="0" w:type="dxa"/>
            </w:tcMar>
            <w:tcW w:w="305"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6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7620"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60" w:line="276" w:lineRule="auto"/>
              <w:ind w:right="0" w:firstLine="0" w:left="0"/>
              <w:rPr/>
            </w:pPr>
            <w:r>
              <w:rPr>
                <w:rFonts w:ascii="Times New Roman" w:hAnsi="Times New Roman" w:eastAsia="Times New Roman" w:cs="Times New Roman"/>
                <w:color w:val="000000"/>
                <w:sz w:val="24"/>
              </w:rPr>
              <w:t xml:space="preserve">0102708994</w:t>
            </w:r>
            <w:r/>
          </w:p>
        </w:tc>
      </w:tr>
      <w:tr>
        <w:trPr>
          <w:trHeight w:val="505"/>
        </w:trPr>
        <w:tc>
          <w:tcPr>
            <w:tcBorders/>
            <w:tcMar>
              <w:left w:w="108" w:type="dxa"/>
              <w:top w:w="0" w:type="dxa"/>
              <w:right w:w="108" w:type="dxa"/>
              <w:bottom w:w="0" w:type="dxa"/>
            </w:tcMar>
            <w:tcW w:w="189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60" w:line="276" w:lineRule="auto"/>
              <w:ind w:right="0" w:firstLine="0" w:left="0"/>
              <w:rPr/>
            </w:pPr>
            <w:r>
              <w:rPr>
                <w:rFonts w:ascii="Times New Roman" w:hAnsi="Times New Roman" w:eastAsia="Times New Roman" w:cs="Times New Roman"/>
                <w:color w:val="000000"/>
                <w:sz w:val="22"/>
              </w:rPr>
              <w:t xml:space="preserve">GCN đủ điều kiện hành nghề</w:t>
            </w:r>
            <w:r/>
          </w:p>
        </w:tc>
        <w:tc>
          <w:tcPr>
            <w:tcBorders/>
            <w:tcMar>
              <w:left w:w="108" w:type="dxa"/>
              <w:top w:w="0" w:type="dxa"/>
              <w:right w:w="108" w:type="dxa"/>
              <w:bottom w:w="0" w:type="dxa"/>
            </w:tcMar>
            <w:tcW w:w="30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60" w:line="276" w:lineRule="auto"/>
              <w:ind w:right="0" w:firstLine="0" w:left="0"/>
              <w:rPr/>
            </w:pPr>
            <w:r>
              <w:rPr>
                <w:rFonts w:ascii="Times New Roman" w:hAnsi="Times New Roman" w:eastAsia="Times New Roman" w:cs="Times New Roman"/>
                <w:color w:val="000000"/>
                <w:sz w:val="22"/>
              </w:rPr>
              <w:t xml:space="preserve">:</w:t>
            </w:r>
            <w:r/>
          </w:p>
        </w:tc>
        <w:tc>
          <w:tcPr>
            <w:tcBorders/>
            <w:tcMar>
              <w:left w:w="108" w:type="dxa"/>
              <w:top w:w="0" w:type="dxa"/>
              <w:right w:w="108" w:type="dxa"/>
              <w:bottom w:w="0" w:type="dxa"/>
            </w:tcMar>
            <w:tcW w:w="762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60" w:line="276" w:lineRule="auto"/>
              <w:ind w:right="0" w:firstLine="0" w:left="0"/>
              <w:rPr/>
            </w:pPr>
            <w:r>
              <w:rPr>
                <w:rFonts w:ascii="Times New Roman" w:hAnsi="Times New Roman" w:eastAsia="Times New Roman" w:cs="Times New Roman"/>
                <w:color w:val="000000"/>
                <w:sz w:val="22"/>
              </w:rPr>
              <w:t xml:space="preserve">275/TĐG</w:t>
            </w:r>
            <w:r/>
          </w:p>
        </w:tc>
      </w:tr>
      <w:tr>
        <w:trPr/>
        <w:tc>
          <w:tcPr>
            <w:tcBorders/>
            <w:tcMar>
              <w:left w:w="108" w:type="dxa"/>
              <w:top w:w="0" w:type="dxa"/>
              <w:right w:w="108" w:type="dxa"/>
              <w:bottom w:w="0" w:type="dxa"/>
            </w:tcMar>
            <w:tcW w:w="189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60" w:line="276" w:lineRule="auto"/>
              <w:ind w:right="0" w:firstLine="0" w:left="0"/>
              <w:rPr/>
            </w:pPr>
            <w:r>
              <w:rPr>
                <w:rFonts w:ascii="Times New Roman" w:hAnsi="Times New Roman" w:eastAsia="Times New Roman" w:cs="Times New Roman"/>
                <w:color w:val="000000"/>
                <w:sz w:val="22"/>
              </w:rPr>
              <w:t xml:space="preserve">Thông báo</w:t>
            </w:r>
            <w:r/>
          </w:p>
        </w:tc>
        <w:tc>
          <w:tcPr>
            <w:tcBorders/>
            <w:tcMar>
              <w:left w:w="108" w:type="dxa"/>
              <w:top w:w="0" w:type="dxa"/>
              <w:right w:w="108" w:type="dxa"/>
              <w:bottom w:w="0" w:type="dxa"/>
            </w:tcMar>
            <w:tcW w:w="30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60" w:line="276" w:lineRule="auto"/>
              <w:ind w:right="0" w:firstLine="0" w:left="0"/>
              <w:rPr/>
            </w:pPr>
            <w:r>
              <w:rPr>
                <w:rFonts w:ascii="Times New Roman" w:hAnsi="Times New Roman" w:eastAsia="Times New Roman" w:cs="Times New Roman"/>
                <w:color w:val="000000"/>
                <w:sz w:val="22"/>
              </w:rPr>
              <w:t xml:space="preserve">:</w:t>
            </w:r>
            <w:r/>
          </w:p>
        </w:tc>
        <w:tc>
          <w:tcPr>
            <w:tcBorders/>
            <w:tcMar>
              <w:left w:w="108" w:type="dxa"/>
              <w:top w:w="0" w:type="dxa"/>
              <w:right w:w="108" w:type="dxa"/>
              <w:bottom w:w="0" w:type="dxa"/>
            </w:tcMar>
            <w:tcW w:w="762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60" w:line="276" w:lineRule="auto"/>
              <w:ind w:right="0" w:firstLine="0" w:left="0"/>
              <w:rPr/>
            </w:pPr>
            <w:r>
              <w:rPr>
                <w:rFonts w:ascii="Times New Roman" w:hAnsi="Times New Roman" w:eastAsia="Times New Roman" w:cs="Times New Roman"/>
                <w:color w:val="292a2e"/>
                <w:sz w:val="22"/>
              </w:rPr>
              <w:t xml:space="preserve">Số 1294/TB-BTC ngày 25/12/2025</w:t>
            </w:r>
            <w:r>
              <w:rPr>
                <w:rFonts w:ascii="Times New Roman" w:hAnsi="Times New Roman" w:eastAsia="Times New Roman" w:cs="Times New Roman"/>
                <w:color w:val="292a2e"/>
                <w:sz w:val="21"/>
              </w:rPr>
              <w:t xml:space="preserve"> </w:t>
            </w:r>
            <w:r>
              <w:rPr>
                <w:rFonts w:ascii="Times New Roman" w:hAnsi="Times New Roman" w:eastAsia="Times New Roman" w:cs="Times New Roman"/>
                <w:color w:val="000000"/>
                <w:sz w:val="22"/>
              </w:rPr>
              <w:t xml:space="preserve">về việc doanh nghiệp đủ điều kiện kinh doanh Dịch vụ thẩm định giá.</w:t>
            </w:r>
            <w:r/>
          </w:p>
        </w:tc>
      </w:tr>
      <w:tr>
        <w:trPr/>
        <w:tc>
          <w:tcPr>
            <w:tcBorders/>
            <w:tcMar>
              <w:left w:w="108" w:type="dxa"/>
              <w:top w:w="0" w:type="dxa"/>
              <w:right w:w="108" w:type="dxa"/>
              <w:bottom w:w="0" w:type="dxa"/>
            </w:tcMar>
            <w:tcW w:w="1892"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60" w:line="276" w:lineRule="auto"/>
              <w:ind w:right="0" w:firstLine="0" w:left="0"/>
              <w:rPr/>
            </w:pPr>
            <w:r>
              <w:rPr>
                <w:rFonts w:ascii="Times New Roman" w:hAnsi="Times New Roman" w:eastAsia="Times New Roman" w:cs="Times New Roman"/>
                <w:color w:val="000000"/>
                <w:sz w:val="24"/>
              </w:rPr>
              <w:t xml:space="preserve">Tài khoản số</w:t>
            </w:r>
            <w:r/>
          </w:p>
        </w:tc>
        <w:tc>
          <w:tcPr>
            <w:tcBorders/>
            <w:tcMar>
              <w:left w:w="108" w:type="dxa"/>
              <w:top w:w="0" w:type="dxa"/>
              <w:right w:w="108" w:type="dxa"/>
              <w:bottom w:w="0" w:type="dxa"/>
            </w:tcMar>
            <w:tcW w:w="305"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6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7620"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60" w:line="276" w:lineRule="auto"/>
              <w:ind w:right="0" w:firstLine="0" w:left="0"/>
              <w:rPr/>
            </w:pPr>
            <w:r>
              <w:rPr>
                <w:rFonts w:ascii="Times New Roman" w:hAnsi="Times New Roman" w:eastAsia="Times New Roman" w:cs="Times New Roman"/>
                <w:color w:val="000000"/>
                <w:sz w:val="24"/>
              </w:rPr>
              <w:t xml:space="preserve">1505112366666 tại Ngân hàng Agribank - Chi nhánh Hà Nội II</w:t>
            </w:r>
            <w:r/>
          </w:p>
        </w:tc>
      </w:tr>
      <w:tr>
        <w:trPr/>
        <w:tc>
          <w:tcPr>
            <w:tcBorders/>
            <w:tcMar>
              <w:left w:w="108" w:type="dxa"/>
              <w:top w:w="0" w:type="dxa"/>
              <w:right w:w="108" w:type="dxa"/>
              <w:bottom w:w="0" w:type="dxa"/>
            </w:tcMar>
            <w:tcW w:w="1892"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60" w:line="276" w:lineRule="auto"/>
              <w:ind w:right="0" w:firstLine="0" w:left="0"/>
              <w:rPr/>
            </w:pPr>
            <w:r>
              <w:rPr>
                <w:rFonts w:ascii="Times New Roman" w:hAnsi="Times New Roman" w:eastAsia="Times New Roman" w:cs="Times New Roman"/>
                <w:color w:val="000000"/>
                <w:sz w:val="24"/>
              </w:rPr>
              <w:t xml:space="preserve">Đại diện</w:t>
            </w:r>
            <w:r/>
          </w:p>
        </w:tc>
        <w:tc>
          <w:tcPr>
            <w:tcBorders/>
            <w:tcMar>
              <w:left w:w="108" w:type="dxa"/>
              <w:top w:w="0" w:type="dxa"/>
              <w:right w:w="108" w:type="dxa"/>
              <w:bottom w:w="0" w:type="dxa"/>
            </w:tcMar>
            <w:tcW w:w="305"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6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7620"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60" w:line="276" w:lineRule="auto"/>
              <w:ind w:right="0" w:firstLine="0" w:left="0"/>
              <w:rPr/>
            </w:pPr>
            <w:r>
              <w:rPr>
                <w:rFonts w:ascii="Times New Roman" w:hAnsi="Times New Roman" w:eastAsia="Times New Roman" w:cs="Times New Roman"/>
                <w:b/>
                <w:color w:val="000000"/>
                <w:sz w:val="24"/>
              </w:rPr>
              <w:t xml:space="preserve">Ông Vũ Văn Quân Chức vụ:</w:t>
            </w:r>
            <w:r>
              <w:rPr>
                <w:rFonts w:ascii="Times New Roman" w:hAnsi="Times New Roman" w:eastAsia="Times New Roman" w:cs="Times New Roman"/>
                <w:color w:val="000000"/>
                <w:sz w:val="24"/>
              </w:rPr>
              <w:t xml:space="preserve"> </w:t>
            </w:r>
            <w:r>
              <w:rPr>
                <w:rFonts w:ascii="Times New Roman" w:hAnsi="Times New Roman" w:eastAsia="Times New Roman" w:cs="Times New Roman"/>
                <w:b/>
                <w:color w:val="000000"/>
                <w:sz w:val="24"/>
              </w:rPr>
              <w:t xml:space="preserve">Chủ tịch HĐQT</w:t>
            </w:r>
            <w:r>
              <w:rPr>
                <w:rFonts w:ascii="Times New Roman" w:hAnsi="Times New Roman" w:eastAsia="Times New Roman" w:cs="Times New Roman"/>
                <w:color w:val="000000"/>
                <w:sz w:val="24"/>
              </w:rPr>
              <w:t xml:space="preserve"> kiêm Tổng Giám đốc</w:t>
            </w:r>
            <w:r/>
          </w:p>
        </w:tc>
      </w:tr>
    </w:tbl>
    <w:p>
      <w:pPr>
        <w:pBdr>
          <w:top w:val="none" w:color="000000" w:sz="4" w:space="0"/>
          <w:left w:val="none" w:color="000000" w:sz="4" w:space="0"/>
          <w:bottom w:val="none" w:color="000000" w:sz="4" w:space="0"/>
          <w:right w:val="none" w:color="000000" w:sz="4" w:space="0"/>
        </w:pBdr>
        <w:tabs>
          <w:tab w:val="left" w:leader="none" w:pos="426"/>
        </w:tabs>
        <w:spacing w:after="0" w:before="240" w:line="276" w:lineRule="auto"/>
        <w:ind w:right="0" w:firstLine="0" w:left="0"/>
        <w:jc w:val="both"/>
        <w:rPr/>
      </w:pPr>
      <w:r>
        <w:rPr>
          <w:rFonts w:ascii="Times New Roman" w:hAnsi="Times New Roman" w:eastAsia="Times New Roman" w:cs="Times New Roman"/>
          <w:b/>
          <w:color w:val="000000"/>
          <w:sz w:val="24"/>
        </w:rPr>
        <w:t xml:space="preserve">II. THÔNG TIN CƠ BẢN VỀ CUỘC THẨM ĐỊNH GIÁ</w:t>
      </w:r>
      <w:r/>
    </w:p>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pPr>
      <w:r>
        <w:rPr>
          <w:rFonts w:ascii="Times New Roman" w:hAnsi="Times New Roman" w:eastAsia="Times New Roman" w:cs="Times New Roman"/>
          <w:b/>
          <w:color w:val="000000"/>
          <w:sz w:val="24"/>
        </w:rPr>
        <w:t xml:space="preserve">1. Thông tin cơ bản về cuộc thẩm định giá:</w:t>
      </w:r>
      <w:r/>
    </w:p>
    <w:tbl>
      <w:tblPr>
        <w:tblStyle w:val="1047"/>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2660"/>
        <w:gridCol w:w="283"/>
        <w:gridCol w:w="6521"/>
      </w:tblGrid>
      <w:tr>
        <w:trPr>
          <w:trHeight w:val="314"/>
        </w:trPr>
        <w:tc>
          <w:tcPr>
            <w:tcBorders/>
            <w:tcMar>
              <w:left w:w="108" w:type="dxa"/>
              <w:top w:w="0" w:type="dxa"/>
              <w:right w:w="108" w:type="dxa"/>
              <w:bottom w:w="0" w:type="dxa"/>
            </w:tcMar>
            <w:tcW w:w="2660" w:type="dxa"/>
            <w:vAlign w:val="top"/>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both"/>
              <w:rPr/>
            </w:pPr>
            <w:r>
              <w:rPr>
                <w:rFonts w:ascii="Times New Roman" w:hAnsi="Times New Roman" w:eastAsia="Times New Roman" w:cs="Times New Roman"/>
                <w:color w:val="000000"/>
                <w:sz w:val="24"/>
              </w:rPr>
              <w:t xml:space="preserve">Tên khách hàng</w:t>
            </w:r>
            <w:r/>
          </w:p>
        </w:tc>
        <w:tc>
          <w:tcPr>
            <w:tcBorders/>
            <w:tcMar>
              <w:left w:w="108" w:type="dxa"/>
              <w:top w:w="0" w:type="dxa"/>
              <w:right w:w="108" w:type="dxa"/>
              <w:bottom w:w="0" w:type="dxa"/>
            </w:tcMar>
            <w:tcW w:w="283" w:type="dxa"/>
            <w:vAlign w:val="top"/>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both"/>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521" w:type="dxa"/>
            <w:vAlign w:val="top"/>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b/>
                <w:color w:val="000000"/>
                <w:sz w:val="24"/>
              </w:rPr>
              <w:t xml:space="preserve">ÔNG BÙI ĐỨC TOÀN</w:t>
            </w:r>
            <w:r/>
          </w:p>
        </w:tc>
      </w:tr>
      <w:tr>
        <w:trPr/>
        <w:tc>
          <w:tcPr>
            <w:tcBorders/>
            <w:tcMar>
              <w:left w:w="108" w:type="dxa"/>
              <w:top w:w="0" w:type="dxa"/>
              <w:right w:w="108" w:type="dxa"/>
              <w:bottom w:w="0" w:type="dxa"/>
            </w:tcMar>
            <w:tcW w:w="2660" w:type="dxa"/>
            <w:vAlign w:val="top"/>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both"/>
              <w:rPr/>
            </w:pPr>
            <w:r>
              <w:rPr>
                <w:rFonts w:ascii="Times New Roman" w:hAnsi="Times New Roman" w:eastAsia="Times New Roman" w:cs="Times New Roman"/>
                <w:color w:val="000000"/>
                <w:sz w:val="24"/>
              </w:rPr>
              <w:t xml:space="preserve">Năm sinh</w:t>
            </w:r>
            <w:r/>
          </w:p>
        </w:tc>
        <w:tc>
          <w:tcPr>
            <w:tcBorders/>
            <w:tcMar>
              <w:left w:w="108" w:type="dxa"/>
              <w:top w:w="0" w:type="dxa"/>
              <w:right w:w="108" w:type="dxa"/>
              <w:bottom w:w="0" w:type="dxa"/>
            </w:tcMar>
            <w:tcW w:w="283" w:type="dxa"/>
            <w:vAlign w:val="top"/>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both"/>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521" w:type="dxa"/>
            <w:vAlign w:val="top"/>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both"/>
              <w:rPr/>
            </w:pPr>
            <w:r>
              <w:rPr>
                <w:rFonts w:ascii="Times New Roman" w:hAnsi="Times New Roman" w:eastAsia="Times New Roman" w:cs="Times New Roman"/>
                <w:color w:val="000000"/>
                <w:sz w:val="24"/>
              </w:rPr>
              <w:t xml:space="preserve">1966</w:t>
            </w:r>
            <w:r/>
          </w:p>
        </w:tc>
      </w:tr>
      <w:tr>
        <w:trPr/>
        <w:tc>
          <w:tcPr>
            <w:tcBorders/>
            <w:tcMar>
              <w:left w:w="108" w:type="dxa"/>
              <w:top w:w="0" w:type="dxa"/>
              <w:right w:w="108" w:type="dxa"/>
              <w:bottom w:w="0" w:type="dxa"/>
            </w:tcMar>
            <w:tcW w:w="2660" w:type="dxa"/>
            <w:vAlign w:val="top"/>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both"/>
              <w:rPr/>
            </w:pPr>
            <w:r>
              <w:rPr>
                <w:rFonts w:ascii="Times New Roman" w:hAnsi="Times New Roman" w:eastAsia="Times New Roman" w:cs="Times New Roman"/>
                <w:color w:val="000000"/>
                <w:sz w:val="24"/>
              </w:rPr>
              <w:t xml:space="preserve">CCCD số</w:t>
            </w:r>
            <w:r/>
          </w:p>
        </w:tc>
        <w:tc>
          <w:tcPr>
            <w:tcBorders/>
            <w:tcMar>
              <w:left w:w="108" w:type="dxa"/>
              <w:top w:w="0" w:type="dxa"/>
              <w:right w:w="108" w:type="dxa"/>
              <w:bottom w:w="0" w:type="dxa"/>
            </w:tcMar>
            <w:tcW w:w="283" w:type="dxa"/>
            <w:vAlign w:val="top"/>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both"/>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521" w:type="dxa"/>
            <w:vAlign w:val="top"/>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both"/>
              <w:rPr/>
            </w:pPr>
            <w:r>
              <w:rPr>
                <w:rFonts w:ascii="Times New Roman" w:hAnsi="Times New Roman" w:eastAsia="Times New Roman" w:cs="Times New Roman"/>
                <w:color w:val="000000"/>
                <w:sz w:val="24"/>
              </w:rPr>
              <w:t xml:space="preserve">034066017095</w:t>
            </w:r>
            <w:r/>
          </w:p>
        </w:tc>
      </w:tr>
      <w:tr>
        <w:trPr>
          <w:trHeight w:val="0"/>
        </w:trPr>
        <w:tc>
          <w:tcPr>
            <w:tcBorders/>
            <w:tcMar>
              <w:left w:w="108" w:type="dxa"/>
              <w:top w:w="0" w:type="dxa"/>
              <w:right w:w="108" w:type="dxa"/>
              <w:bottom w:w="0" w:type="dxa"/>
            </w:tcMar>
            <w:tcW w:w="2660" w:type="dxa"/>
            <w:vAlign w:val="top"/>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both"/>
              <w:rPr/>
            </w:pPr>
            <w:r>
              <w:rPr>
                <w:rFonts w:ascii="Times New Roman" w:hAnsi="Times New Roman" w:eastAsia="Times New Roman" w:cs="Times New Roman"/>
                <w:color w:val="000000"/>
                <w:sz w:val="24"/>
              </w:rPr>
              <w:t xml:space="preserve">Địa chỉ</w:t>
            </w:r>
            <w:r/>
          </w:p>
        </w:tc>
        <w:tc>
          <w:tcPr>
            <w:tcBorders/>
            <w:tcMar>
              <w:left w:w="108" w:type="dxa"/>
              <w:top w:w="0" w:type="dxa"/>
              <w:right w:w="108" w:type="dxa"/>
              <w:bottom w:w="0" w:type="dxa"/>
            </w:tcMar>
            <w:tcW w:w="283" w:type="dxa"/>
            <w:vAlign w:val="top"/>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both"/>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521" w:type="dxa"/>
            <w:vAlign w:val="top"/>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both"/>
              <w:rPr/>
            </w:pPr>
            <w:r>
              <w:rPr>
                <w:rFonts w:ascii="Times New Roman" w:hAnsi="Times New Roman" w:eastAsia="Times New Roman" w:cs="Times New Roman"/>
                <w:color w:val="000000"/>
                <w:sz w:val="24"/>
              </w:rPr>
              <w:t xml:space="preserve">Tổ 21, phường Kim Tân, thành phố Lào Cai, tỉnh Lào Cai.</w:t>
            </w:r>
            <w:r/>
          </w:p>
        </w:tc>
      </w:tr>
      <w:tr>
        <w:trPr/>
        <w:tc>
          <w:tcPr>
            <w:tcBorders/>
            <w:tcMar>
              <w:left w:w="108" w:type="dxa"/>
              <w:top w:w="0" w:type="dxa"/>
              <w:right w:w="108" w:type="dxa"/>
              <w:bottom w:w="0" w:type="dxa"/>
            </w:tcMar>
            <w:tcW w:w="2660" w:type="dxa"/>
            <w:vAlign w:val="top"/>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both"/>
              <w:rPr/>
            </w:pPr>
            <w:r>
              <w:rPr>
                <w:rFonts w:ascii="Times New Roman" w:hAnsi="Times New Roman" w:eastAsia="Times New Roman" w:cs="Times New Roman"/>
                <w:color w:val="000000"/>
                <w:sz w:val="24"/>
              </w:rPr>
              <w:t xml:space="preserve">Hợp đồng số</w:t>
            </w:r>
            <w:r/>
          </w:p>
        </w:tc>
        <w:tc>
          <w:tcPr>
            <w:tcBorders/>
            <w:tcMar>
              <w:left w:w="108" w:type="dxa"/>
              <w:top w:w="0" w:type="dxa"/>
              <w:right w:w="108" w:type="dxa"/>
              <w:bottom w:w="0" w:type="dxa"/>
            </w:tcMar>
            <w:tcW w:w="283" w:type="dxa"/>
            <w:vAlign w:val="top"/>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both"/>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521" w:type="dxa"/>
            <w:vAlign w:val="top"/>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both"/>
              <w:rPr/>
            </w:pPr>
            <w:r>
              <w:rPr>
                <w:rFonts w:ascii="Times New Roman" w:hAnsi="Times New Roman" w:eastAsia="Times New Roman" w:cs="Times New Roman"/>
                <w:color w:val="000000"/>
                <w:sz w:val="24"/>
              </w:rPr>
              <w:t xml:space="preserve">275/2026/0196/VFI-HĐTĐ.27.A</w:t>
            </w:r>
            <w:r/>
          </w:p>
        </w:tc>
      </w:tr>
      <w:tr>
        <w:trPr/>
        <w:tc>
          <w:tcPr>
            <w:tcBorders/>
            <w:tcMar>
              <w:left w:w="108" w:type="dxa"/>
              <w:top w:w="0" w:type="dxa"/>
              <w:right w:w="108" w:type="dxa"/>
              <w:bottom w:w="0" w:type="dxa"/>
            </w:tcMar>
            <w:tcW w:w="2660"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pPr>
            <w:r>
              <w:rPr>
                <w:rFonts w:ascii="Times New Roman" w:hAnsi="Times New Roman" w:eastAsia="Times New Roman" w:cs="Times New Roman"/>
                <w:color w:val="000000"/>
                <w:sz w:val="24"/>
              </w:rPr>
              <w:t xml:space="preserve">Tài sản thẩm định giá</w:t>
            </w:r>
            <w:r/>
          </w:p>
        </w:tc>
        <w:tc>
          <w:tcPr>
            <w:tcBorders/>
            <w:tcMar>
              <w:left w:w="108" w:type="dxa"/>
              <w:top w:w="0" w:type="dxa"/>
              <w:right w:w="108" w:type="dxa"/>
              <w:bottom w:w="0" w:type="dxa"/>
            </w:tcMar>
            <w:tcW w:w="283"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521" w:type="dxa"/>
            <w:vAlign w:val="top"/>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both"/>
              <w:rPr/>
            </w:pPr>
            <w:r>
              <w:rPr>
                <w:rFonts w:ascii="Times New Roman" w:hAnsi="Times New Roman" w:eastAsia="Times New Roman" w:cs="Times New Roman"/>
                <w:b/>
                <w:color w:val="000000"/>
                <w:sz w:val="24"/>
              </w:rPr>
              <w:t xml:space="preserve">Tài sản 1: </w:t>
            </w:r>
            <w:r>
              <w:rPr>
                <w:rFonts w:ascii="Times New Roman" w:hAnsi="Times New Roman" w:eastAsia="Times New Roman" w:cs="Times New Roman"/>
                <w:color w:val="000000"/>
                <w:sz w:val="24"/>
              </w:rPr>
              <w:t xml:space="preserve">Quyền sử dụng đất tại thửa đất số: 560, tờ bản đồ số: P6-18 có địa chỉ: Tổ dân phố 6, thị trấn Tằng Loỏng, huyện Bảo Thắng, tỉnh Lào Cai (này là xã Tằng Loỏng, tỉnh Lào Cai) theo Giấy chứng nhận quyền sử dụng đất quyền sở hữu tài sản gắn liền với đất số: B</w:t>
            </w:r>
            <w:r>
              <w:rPr>
                <w:rFonts w:ascii="Times New Roman" w:hAnsi="Times New Roman" w:eastAsia="Times New Roman" w:cs="Times New Roman"/>
                <w:color w:val="000000"/>
                <w:sz w:val="24"/>
              </w:rPr>
              <w:t xml:space="preserve">K 713663, số vào sổ cấp GCN: CH 01114 do UBND huyện Bảo Thắng cấp ngày 12/4/2012 cho ông Bùi Đức Toàn</w:t>
            </w:r>
            <w:r/>
          </w:p>
          <w:p>
            <w:pPr>
              <w:pBdr>
                <w:top w:val="none" w:color="000000" w:sz="4" w:space="0"/>
                <w:left w:val="none" w:color="000000" w:sz="4" w:space="0"/>
                <w:bottom w:val="none" w:color="000000" w:sz="4" w:space="0"/>
                <w:right w:val="none" w:color="000000" w:sz="4" w:space="0"/>
              </w:pBdr>
              <w:spacing w:after="0" w:line="276" w:lineRule="auto"/>
              <w:ind w:right="0" w:firstLine="0" w:left="0"/>
              <w:jc w:val="both"/>
              <w:rPr/>
            </w:pPr>
            <w:r>
              <w:rPr>
                <w:rFonts w:ascii="Times New Roman" w:hAnsi="Times New Roman" w:eastAsia="Times New Roman" w:cs="Times New Roman"/>
                <w:b/>
                <w:color w:val="000000"/>
                <w:sz w:val="24"/>
              </w:rPr>
              <w:t xml:space="preserve">Tài sản 2: </w:t>
            </w:r>
            <w:r>
              <w:rPr>
                <w:rFonts w:ascii="Times New Roman" w:hAnsi="Times New Roman" w:eastAsia="Times New Roman" w:cs="Times New Roman"/>
                <w:color w:val="000000"/>
                <w:sz w:val="24"/>
              </w:rPr>
              <w:t xml:space="preserve">Quyền sử dụng đất tại thửa đất số: 561, tờ bản đồ số: P6-18 có địa chỉ: Tổ dân phố 6, thị trấn Tằng Loỏng, huyện Bảo Thắng, tỉnh Lào Cai (này là xã Tằng Loỏng, tỉnh Lào Cai) theo Giấy chứng nhận quyền sử dụng đất quyền sở hữu tài sản gắn liền với đất số: B</w:t>
            </w:r>
            <w:r>
              <w:rPr>
                <w:rFonts w:ascii="Times New Roman" w:hAnsi="Times New Roman" w:eastAsia="Times New Roman" w:cs="Times New Roman"/>
                <w:color w:val="000000"/>
                <w:sz w:val="24"/>
              </w:rPr>
              <w:t xml:space="preserve">K 713664, số vào sổ cấp GCN: CH 01114 do UBND huyện Bảo Thắng cấp ngày 12/4/2012 cho ông Bùi Đức Toàn</w:t>
            </w:r>
            <w:r/>
          </w:p>
          <w:p>
            <w:pPr>
              <w:pBdr>
                <w:top w:val="none" w:color="000000" w:sz="4" w:space="0"/>
                <w:left w:val="none" w:color="000000" w:sz="4" w:space="0"/>
                <w:bottom w:val="none" w:color="000000" w:sz="4" w:space="0"/>
                <w:right w:val="none" w:color="000000" w:sz="4" w:space="0"/>
              </w:pBdr>
              <w:spacing w:after="0" w:line="276" w:lineRule="auto"/>
              <w:ind w:right="0" w:firstLine="0" w:left="0"/>
              <w:jc w:val="both"/>
              <w:rPr/>
            </w:pPr>
            <w:r>
              <w:rPr>
                <w:rFonts w:ascii="Times New Roman" w:hAnsi="Times New Roman" w:eastAsia="Times New Roman" w:cs="Times New Roman"/>
                <w:b/>
                <w:color w:val="000000"/>
                <w:sz w:val="24"/>
              </w:rPr>
              <w:t xml:space="preserve">Tài sản 3:</w:t>
            </w:r>
            <w:r>
              <w:rPr>
                <w:rFonts w:ascii="Times New Roman" w:hAnsi="Times New Roman" w:eastAsia="Times New Roman" w:cs="Times New Roman"/>
                <w:color w:val="000000"/>
                <w:sz w:val="24"/>
              </w:rPr>
              <w:t xml:space="preserve"> Quyền sử dụng đất tại thửa đất số: 562, tờ bản đồ số: P6-18 có địa chỉ: Tổ dân phố 6, thị trấn Tằng Loỏng, huyện Bảo Thắng, tỉnh Lào Cai (này là xã Tằng Loỏng, tỉnh Lào Cai) theo Giấy chứng nhận quyền sử dụng đất quyền sở hữu tài sản gắn liền với đất số: </w:t>
            </w:r>
            <w:r>
              <w:rPr>
                <w:rFonts w:ascii="Times New Roman" w:hAnsi="Times New Roman" w:eastAsia="Times New Roman" w:cs="Times New Roman"/>
                <w:color w:val="000000"/>
                <w:sz w:val="24"/>
              </w:rPr>
              <w:t xml:space="preserve">BK 711045, số vào sổ cấp GCN: CH01348 do UBND huyện Bảo Thắng cấp ngày 12/4/2012 cho ông Bùi Đức Toàn.</w:t>
            </w:r>
            <w:r/>
          </w:p>
        </w:tc>
      </w:tr>
      <w:tr>
        <w:trPr/>
        <w:tc>
          <w:tcPr>
            <w:tcBorders/>
            <w:tcMar>
              <w:left w:w="108" w:type="dxa"/>
              <w:top w:w="0" w:type="dxa"/>
              <w:right w:w="108" w:type="dxa"/>
              <w:bottom w:w="0" w:type="dxa"/>
            </w:tcMar>
            <w:tcW w:w="2660"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pPr>
            <w:r>
              <w:rPr>
                <w:rFonts w:ascii="Times New Roman" w:hAnsi="Times New Roman" w:eastAsia="Times New Roman" w:cs="Times New Roman"/>
                <w:color w:val="000000"/>
                <w:sz w:val="24"/>
              </w:rPr>
              <w:t xml:space="preserve">Mục đích thẩm định giá</w:t>
            </w:r>
            <w:r/>
          </w:p>
        </w:tc>
        <w:tc>
          <w:tcPr>
            <w:tcBorders/>
            <w:tcMar>
              <w:left w:w="108" w:type="dxa"/>
              <w:top w:w="0" w:type="dxa"/>
              <w:right w:w="108" w:type="dxa"/>
              <w:bottom w:w="0" w:type="dxa"/>
            </w:tcMar>
            <w:tcW w:w="283"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521" w:type="dxa"/>
            <w:vAlign w:val="top"/>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both"/>
              <w:rPr/>
            </w:pPr>
            <w:r>
              <w:rPr>
                <w:rFonts w:ascii="Times New Roman" w:hAnsi="Times New Roman" w:eastAsia="Times New Roman" w:cs="Times New Roman"/>
                <w:color w:val="000000"/>
                <w:sz w:val="24"/>
              </w:rPr>
              <w:t xml:space="preserve">Kết quả thẩm định giá để khách hàng tham khảo giá trị tài sản phục vụ công tác vay vốn tại tổ chức tín dụng.</w:t>
            </w:r>
            <w:r/>
          </w:p>
        </w:tc>
      </w:tr>
      <w:tr>
        <w:trPr/>
        <w:tc>
          <w:tcPr>
            <w:tcBorders/>
            <w:tcMar>
              <w:left w:w="108" w:type="dxa"/>
              <w:top w:w="0" w:type="dxa"/>
              <w:right w:w="108" w:type="dxa"/>
              <w:bottom w:w="0" w:type="dxa"/>
            </w:tcMar>
            <w:tcW w:w="266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120" w:line="276" w:lineRule="auto"/>
              <w:ind w:right="0" w:firstLine="0" w:left="0"/>
              <w:rPr/>
            </w:pPr>
            <w:r>
              <w:rPr>
                <w:rFonts w:ascii="Times New Roman" w:hAnsi="Times New Roman" w:eastAsia="Times New Roman" w:cs="Times New Roman"/>
                <w:color w:val="000000"/>
                <w:spacing w:val="-12"/>
                <w:sz w:val="24"/>
              </w:rPr>
              <w:t xml:space="preserve">Cơ sở giá trị thẩm định giá</w:t>
            </w:r>
            <w:r/>
          </w:p>
        </w:tc>
        <w:tc>
          <w:tcPr>
            <w:tcBorders/>
            <w:tcMar>
              <w:left w:w="108" w:type="dxa"/>
              <w:top w:w="0" w:type="dxa"/>
              <w:right w:w="108" w:type="dxa"/>
              <w:bottom w:w="0" w:type="dxa"/>
            </w:tcMar>
            <w:tcW w:w="28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12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52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pacing w:val="-4"/>
                <w:sz w:val="24"/>
              </w:rPr>
              <w:t xml:space="preserve">Giá trị thị trường</w:t>
            </w:r>
            <w:r/>
          </w:p>
        </w:tc>
      </w:tr>
      <w:tr>
        <w:trPr/>
        <w:tc>
          <w:tcPr>
            <w:tcBorders/>
            <w:tcMar>
              <w:left w:w="108" w:type="dxa"/>
              <w:top w:w="0" w:type="dxa"/>
              <w:right w:w="108" w:type="dxa"/>
              <w:bottom w:w="0" w:type="dxa"/>
            </w:tcMar>
            <w:tcW w:w="266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120" w:line="276" w:lineRule="auto"/>
              <w:ind w:right="0" w:firstLine="0" w:left="0"/>
              <w:rPr/>
            </w:pPr>
            <w:r>
              <w:rPr>
                <w:rFonts w:ascii="Times New Roman" w:hAnsi="Times New Roman" w:eastAsia="Times New Roman" w:cs="Times New Roman"/>
                <w:color w:val="000000"/>
                <w:sz w:val="24"/>
              </w:rPr>
              <w:t xml:space="preserve">Thời điểm thẩm định giá</w:t>
            </w:r>
            <w:r/>
          </w:p>
        </w:tc>
        <w:tc>
          <w:tcPr>
            <w:tcBorders/>
            <w:tcMar>
              <w:left w:w="108" w:type="dxa"/>
              <w:top w:w="0" w:type="dxa"/>
              <w:right w:w="108" w:type="dxa"/>
              <w:bottom w:w="0" w:type="dxa"/>
            </w:tcMar>
            <w:tcW w:w="28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12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52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Tháng 01/2026.</w:t>
            </w:r>
            <w:r/>
          </w:p>
        </w:tc>
      </w:tr>
      <w:tr>
        <w:trPr/>
        <w:tc>
          <w:tcPr>
            <w:tcBorders/>
            <w:tcMar>
              <w:left w:w="108" w:type="dxa"/>
              <w:top w:w="0" w:type="dxa"/>
              <w:right w:w="108" w:type="dxa"/>
              <w:bottom w:w="0" w:type="dxa"/>
            </w:tcMar>
            <w:tcW w:w="2660"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pPr>
            <w:r>
              <w:rPr>
                <w:rFonts w:ascii="Times New Roman" w:hAnsi="Times New Roman" w:eastAsia="Times New Roman" w:cs="Times New Roman"/>
                <w:color w:val="000000"/>
                <w:sz w:val="24"/>
              </w:rPr>
              <w:t xml:space="preserve">Địa điểm thẩm định giá</w:t>
            </w:r>
            <w:r/>
          </w:p>
        </w:tc>
        <w:tc>
          <w:tcPr>
            <w:tcBorders/>
            <w:tcMar>
              <w:left w:w="108" w:type="dxa"/>
              <w:top w:w="0" w:type="dxa"/>
              <w:right w:w="108" w:type="dxa"/>
              <w:bottom w:w="0" w:type="dxa"/>
            </w:tcMar>
            <w:tcW w:w="283"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521"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pPr>
            <w:r>
              <w:rPr>
                <w:rFonts w:ascii="Times New Roman" w:hAnsi="Times New Roman" w:eastAsia="Times New Roman" w:cs="Times New Roman"/>
                <w:color w:val="000000"/>
                <w:sz w:val="24"/>
              </w:rPr>
              <w:t xml:space="preserve">Thành phố Hà Nội</w:t>
            </w:r>
            <w:r/>
          </w:p>
        </w:tc>
      </w:tr>
      <w:tr>
        <w:trPr/>
        <w:tc>
          <w:tcPr>
            <w:tcBorders/>
            <w:tcMar>
              <w:left w:w="108" w:type="dxa"/>
              <w:top w:w="0" w:type="dxa"/>
              <w:right w:w="108" w:type="dxa"/>
              <w:bottom w:w="0" w:type="dxa"/>
            </w:tcMar>
            <w:tcW w:w="266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both"/>
              <w:rPr/>
            </w:pPr>
            <w:r>
              <w:rPr>
                <w:rFonts w:ascii="Times New Roman" w:hAnsi="Times New Roman" w:eastAsia="Times New Roman" w:cs="Times New Roman"/>
                <w:color w:val="000000"/>
                <w:sz w:val="22"/>
              </w:rPr>
              <w:t xml:space="preserve">Vị trí tài sản thẩm định </w:t>
            </w:r>
            <w:r/>
          </w:p>
        </w:tc>
        <w:tc>
          <w:tcPr>
            <w:tcBorders/>
            <w:tcMar>
              <w:left w:w="108" w:type="dxa"/>
              <w:top w:w="0" w:type="dxa"/>
              <w:right w:w="108" w:type="dxa"/>
              <w:bottom w:w="0" w:type="dxa"/>
            </w:tcMar>
            <w:tcW w:w="28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both"/>
              <w:rPr/>
            </w:pPr>
            <w:r>
              <w:rPr>
                <w:rFonts w:ascii="Times New Roman" w:hAnsi="Times New Roman" w:eastAsia="Times New Roman" w:cs="Times New Roman"/>
                <w:color w:val="000000"/>
                <w:sz w:val="22"/>
              </w:rPr>
              <w:t xml:space="preserve">:</w:t>
            </w:r>
            <w:r/>
          </w:p>
        </w:tc>
        <w:tc>
          <w:tcPr>
            <w:tcBorders/>
            <w:tcMar>
              <w:left w:w="108" w:type="dxa"/>
              <w:top w:w="0" w:type="dxa"/>
              <w:right w:w="108" w:type="dxa"/>
              <w:bottom w:w="0" w:type="dxa"/>
            </w:tcMar>
            <w:tcW w:w="652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b/>
                <w:color w:val="000000"/>
                <w:sz w:val="24"/>
              </w:rPr>
              <w:t xml:space="preserve">(</w:t>
            </w:r>
            <w:r>
              <w:rPr>
                <w:rFonts w:ascii="Times New Roman" w:hAnsi="Times New Roman" w:eastAsia="Times New Roman" w:cs="Times New Roman"/>
                <w:color w:val="000000"/>
                <w:sz w:val="24"/>
              </w:rPr>
              <w:t xml:space="preserve">22.317984, 104.114525)</w:t>
            </w:r>
            <w:r/>
          </w:p>
        </w:tc>
      </w:tr>
      <w:tr>
        <w:trPr/>
        <w:tc>
          <w:tcPr>
            <w:tcBorders/>
            <w:tcMar>
              <w:left w:w="108" w:type="dxa"/>
              <w:top w:w="0" w:type="dxa"/>
              <w:right w:w="108" w:type="dxa"/>
              <w:bottom w:w="0" w:type="dxa"/>
            </w:tcMar>
            <w:tcW w:w="266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pPr>
            <w:r>
              <w:rPr>
                <w:rFonts w:ascii="Times New Roman" w:hAnsi="Times New Roman" w:eastAsia="Times New Roman" w:cs="Times New Roman"/>
                <w:color w:val="000000"/>
                <w:spacing w:val="-6"/>
                <w:sz w:val="24"/>
              </w:rPr>
              <w:t xml:space="preserve">Thời điểm khảo sát</w:t>
            </w:r>
            <w:r/>
          </w:p>
        </w:tc>
        <w:tc>
          <w:tcPr>
            <w:tcBorders/>
            <w:tcMar>
              <w:left w:w="108" w:type="dxa"/>
              <w:top w:w="0" w:type="dxa"/>
              <w:right w:w="108" w:type="dxa"/>
              <w:bottom w:w="0" w:type="dxa"/>
            </w:tcMar>
            <w:tcW w:w="28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52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pPr>
            <w:r>
              <w:rPr>
                <w:rFonts w:ascii="Times New Roman" w:hAnsi="Times New Roman" w:eastAsia="Times New Roman" w:cs="Times New Roman"/>
                <w:color w:val="000000"/>
                <w:sz w:val="24"/>
              </w:rPr>
              <w:t xml:space="preserve">Tháng 01/2026</w:t>
            </w:r>
            <w:r/>
          </w:p>
        </w:tc>
      </w:tr>
    </w:tbl>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pPr>
      <w:r>
        <w:rPr>
          <w:rFonts w:ascii="Times New Roman" w:hAnsi="Times New Roman" w:eastAsia="Times New Roman" w:cs="Times New Roman"/>
          <w:b/>
          <w:color w:val="000000"/>
          <w:sz w:val="24"/>
        </w:rPr>
        <w:t xml:space="preserve">2. Các nguồn thông tin được sử dụng trong quá trình thẩm định giá</w:t>
      </w:r>
      <w:r/>
    </w:p>
    <w:p>
      <w:pPr>
        <w:pBdr>
          <w:top w:val="none" w:color="000000" w:sz="4" w:space="0"/>
          <w:left w:val="none" w:color="000000" w:sz="4" w:space="0"/>
          <w:bottom w:val="none" w:color="000000" w:sz="4" w:space="0"/>
          <w:right w:val="none" w:color="000000" w:sz="4" w:space="0"/>
        </w:pBdr>
        <w:spacing w:after="0" w:before="120" w:line="276" w:lineRule="auto"/>
        <w:ind w:right="0" w:firstLine="0" w:left="283"/>
        <w:jc w:val="both"/>
        <w:rPr/>
      </w:pPr>
      <w:r>
        <w:rPr>
          <w:rFonts w:ascii="Times New Roman" w:hAnsi="Times New Roman" w:eastAsia="Times New Roman" w:cs="Times New Roman"/>
          <w:color w:val="000000"/>
          <w:sz w:val="24"/>
        </w:rPr>
        <w:t xml:space="preserve">Tham khảo nguồn thông tin từ các trang giao bán bất động sản qua mạng Internet, gọi điện trực tiếp.</w:t>
      </w:r>
      <w:r/>
    </w:p>
    <w:p>
      <w:pPr>
        <w:pBdr>
          <w:top w:val="none" w:color="000000" w:sz="4" w:space="0"/>
          <w:left w:val="none" w:color="000000" w:sz="4" w:space="0"/>
          <w:bottom w:val="none" w:color="000000" w:sz="4" w:space="0"/>
          <w:right w:val="none" w:color="000000" w:sz="4" w:space="0"/>
        </w:pBdr>
        <w:spacing w:after="0" w:before="120" w:line="276" w:lineRule="auto"/>
        <w:ind w:right="0" w:firstLine="0" w:left="283"/>
        <w:jc w:val="both"/>
        <w:rPr/>
      </w:pPr>
      <w:r>
        <w:rPr>
          <w:rFonts w:ascii="Times New Roman" w:hAnsi="Times New Roman" w:eastAsia="Times New Roman" w:cs="Times New Roman"/>
          <w:color w:val="000000"/>
          <w:sz w:val="24"/>
        </w:rPr>
        <w:t xml:space="preserve">Tham khảo nguồn thông tin trực tiếp từ người dân sống xung quanh trên địa bàn.</w:t>
      </w:r>
      <w:r/>
    </w:p>
    <w:p>
      <w:pPr>
        <w:pBdr>
          <w:top w:val="none" w:color="000000" w:sz="4" w:space="0"/>
          <w:left w:val="none" w:color="000000" w:sz="4" w:space="0"/>
          <w:bottom w:val="none" w:color="000000" w:sz="4" w:space="0"/>
          <w:right w:val="none" w:color="000000" w:sz="4" w:space="0"/>
        </w:pBdr>
        <w:spacing w:after="0" w:before="120" w:line="276" w:lineRule="auto"/>
        <w:ind w:right="0" w:firstLine="0" w:left="283"/>
        <w:jc w:val="both"/>
        <w:rPr/>
      </w:pPr>
      <w:r>
        <w:rPr>
          <w:rFonts w:ascii="Times New Roman" w:hAnsi="Times New Roman" w:eastAsia="Times New Roman" w:cs="Times New Roman"/>
          <w:color w:val="000000"/>
          <w:sz w:val="24"/>
        </w:rPr>
        <w:t xml:space="preserve">Đánh giá nguồn thông tin thu thập: Nguồn thông tin thu thập khách quan và phổ biến trên thị trường.</w:t>
      </w:r>
      <w:r/>
    </w:p>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pPr>
      <w:r>
        <w:rPr>
          <w:rFonts w:ascii="Times New Roman" w:hAnsi="Times New Roman" w:eastAsia="Times New Roman" w:cs="Times New Roman"/>
          <w:b/>
          <w:color w:val="000000"/>
          <w:sz w:val="24"/>
        </w:rPr>
        <w:t xml:space="preserve">3. Căn cứ pháp lý</w:t>
      </w:r>
      <w:r/>
    </w:p>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pPr>
      <w:r>
        <w:rPr>
          <w:rFonts w:ascii="Times New Roman" w:hAnsi="Times New Roman" w:eastAsia="Times New Roman" w:cs="Times New Roman"/>
          <w:b/>
          <w:color w:val="000000"/>
          <w:sz w:val="24"/>
        </w:rPr>
        <w:t xml:space="preserve">3.1. Văn bản pháp quy về thẩm định giá:</w:t>
      </w:r>
      <w:r/>
    </w:p>
    <w:p>
      <w:pPr>
        <w:pBdr>
          <w:top w:val="none" w:color="000000" w:sz="4" w:space="0"/>
          <w:left w:val="none" w:color="000000" w:sz="4" w:space="0"/>
          <w:bottom w:val="none" w:color="000000" w:sz="4" w:space="0"/>
          <w:right w:val="none" w:color="000000" w:sz="4" w:space="0"/>
        </w:pBdr>
        <w:spacing w:after="0" w:before="120" w:line="276" w:lineRule="auto"/>
        <w:ind w:right="0" w:firstLine="0" w:left="283"/>
        <w:jc w:val="both"/>
        <w:rPr/>
      </w:pPr>
      <w:r>
        <w:rPr>
          <w:rFonts w:ascii="Times New Roman" w:hAnsi="Times New Roman" w:eastAsia="Times New Roman" w:cs="Times New Roman"/>
          <w:color w:val="000000"/>
          <w:sz w:val="24"/>
        </w:rPr>
        <w:t xml:space="preserve">Luật Giá số 16/2023/QH15 ngày 19/6/2023;</w:t>
      </w:r>
      <w:r/>
    </w:p>
    <w:p>
      <w:pPr>
        <w:pBdr>
          <w:top w:val="none" w:color="000000" w:sz="4" w:space="0"/>
          <w:left w:val="none" w:color="000000" w:sz="4" w:space="0"/>
          <w:bottom w:val="none" w:color="000000" w:sz="4" w:space="0"/>
          <w:right w:val="none" w:color="000000" w:sz="4" w:space="0"/>
        </w:pBdr>
        <w:spacing w:after="0" w:before="120" w:line="276" w:lineRule="auto"/>
        <w:ind w:right="0" w:firstLine="0" w:left="283"/>
        <w:jc w:val="both"/>
        <w:rPr/>
      </w:pPr>
      <w:r>
        <w:rPr>
          <w:rFonts w:ascii="Times New Roman" w:hAnsi="Times New Roman" w:eastAsia="Times New Roman" w:cs="Times New Roman"/>
          <w:color w:val="000000"/>
          <w:sz w:val="24"/>
        </w:rPr>
        <w:t xml:space="preserve">Luật Đất đai số 31/2024/QH15 đã được Quốc hội nước Cộng hòa xã hội chủ nghĩa Việt Nam khóa XV, kỳ họp bất thường lần thứ 5 thông qua ngày 18 tháng 01 năm 2024;</w:t>
      </w:r>
      <w:r/>
    </w:p>
    <w:p>
      <w:pPr>
        <w:pBdr>
          <w:top w:val="none" w:color="000000" w:sz="4" w:space="0"/>
          <w:left w:val="none" w:color="000000" w:sz="4" w:space="0"/>
          <w:bottom w:val="none" w:color="000000" w:sz="4" w:space="0"/>
          <w:right w:val="none" w:color="000000" w:sz="4" w:space="0"/>
        </w:pBdr>
        <w:spacing w:after="0" w:before="120" w:line="276" w:lineRule="auto"/>
        <w:ind w:right="0" w:firstLine="0" w:left="283"/>
        <w:jc w:val="both"/>
        <w:rPr/>
      </w:pPr>
      <w:r>
        <w:rPr>
          <w:rFonts w:ascii="Times New Roman" w:hAnsi="Times New Roman" w:eastAsia="Times New Roman" w:cs="Times New Roman"/>
          <w:color w:val="000000"/>
          <w:sz w:val="24"/>
        </w:rPr>
        <w:t xml:space="preserve">Luật Xây dựng số 50/2014/QH13 đã được Quốc hội nước Cộng hòa xã hội chủ nghĩa Việt Nam khóa XIII, kỳ họp thứ 7 thông qua ngày 18 tháng 6 năm 2014;</w:t>
      </w:r>
      <w:r/>
    </w:p>
    <w:p>
      <w:pPr>
        <w:pBdr>
          <w:top w:val="none" w:color="000000" w:sz="4" w:space="0"/>
          <w:left w:val="none" w:color="000000" w:sz="4" w:space="0"/>
          <w:bottom w:val="none" w:color="000000" w:sz="4" w:space="0"/>
          <w:right w:val="none" w:color="000000" w:sz="4" w:space="0"/>
        </w:pBdr>
        <w:spacing w:after="0" w:before="120" w:line="276" w:lineRule="auto"/>
        <w:ind w:right="0" w:firstLine="0" w:left="283"/>
        <w:jc w:val="both"/>
        <w:rPr/>
      </w:pPr>
      <w:r>
        <w:rPr>
          <w:rFonts w:ascii="Times New Roman" w:hAnsi="Times New Roman" w:eastAsia="Times New Roman" w:cs="Times New Roman"/>
          <w:color w:val="000000"/>
          <w:sz w:val="24"/>
        </w:rPr>
        <w:t xml:space="preserve">Luật số 62/2020/QH14 đã được Quốc hội nước Cộng hòa xã hội chủ nghĩa Việt Nam khóa XIV, kỳ họp thứ 9 thông qua ngày 17 tháng 6 năm 2020 về việc Sửa đổi, bổ sung một số điều của Luật Xây dựng;</w:t>
      </w:r>
      <w:r/>
    </w:p>
    <w:p>
      <w:pPr>
        <w:pBdr>
          <w:top w:val="none" w:color="000000" w:sz="4" w:space="0"/>
          <w:left w:val="none" w:color="000000" w:sz="4" w:space="0"/>
          <w:bottom w:val="none" w:color="000000" w:sz="4" w:space="0"/>
          <w:right w:val="none" w:color="000000" w:sz="4" w:space="0"/>
        </w:pBdr>
        <w:spacing w:after="0" w:before="120" w:line="276" w:lineRule="auto"/>
        <w:ind w:right="0" w:firstLine="0" w:left="283"/>
        <w:jc w:val="both"/>
        <w:rPr/>
      </w:pPr>
      <w:r>
        <w:rPr>
          <w:rFonts w:ascii="Times New Roman" w:hAnsi="Times New Roman" w:eastAsia="Times New Roman" w:cs="Times New Roman"/>
          <w:color w:val="000000"/>
          <w:sz w:val="24"/>
        </w:rPr>
        <w:t xml:space="preserve">Luật Nhà ở số 27/2023/QH15 đã được Quốc hội nước Cộng hòa xã hội chủ nghĩa Việt Nam khóa XV, kỳ họp thứ 6 thông qua ngày 27 tháng 11 năm 2023;</w:t>
      </w:r>
      <w:r/>
    </w:p>
    <w:p>
      <w:pPr>
        <w:pBdr>
          <w:top w:val="none" w:color="000000" w:sz="4" w:space="0"/>
          <w:left w:val="none" w:color="000000" w:sz="4" w:space="0"/>
          <w:bottom w:val="none" w:color="000000" w:sz="4" w:space="0"/>
          <w:right w:val="none" w:color="000000" w:sz="4" w:space="0"/>
        </w:pBdr>
        <w:spacing w:after="0" w:before="120" w:line="276" w:lineRule="auto"/>
        <w:ind w:right="0" w:firstLine="0" w:left="283"/>
        <w:jc w:val="both"/>
        <w:rPr/>
      </w:pPr>
      <w:r>
        <w:rPr>
          <w:rFonts w:ascii="Times New Roman" w:hAnsi="Times New Roman" w:eastAsia="Times New Roman" w:cs="Times New Roman"/>
          <w:color w:val="000000"/>
          <w:sz w:val="24"/>
        </w:rPr>
        <w:t xml:space="preserve">Nghị định số 71/2024/NĐ-CP ngày 27/6/2024 của Chính phủ Quy định về giá đất;</w:t>
      </w:r>
      <w:r/>
    </w:p>
    <w:p>
      <w:pPr>
        <w:pBdr>
          <w:top w:val="none" w:color="000000" w:sz="4" w:space="0"/>
          <w:left w:val="none" w:color="000000" w:sz="4" w:space="0"/>
          <w:bottom w:val="none" w:color="000000" w:sz="4" w:space="0"/>
          <w:right w:val="none" w:color="000000" w:sz="4" w:space="0"/>
        </w:pBdr>
        <w:spacing w:after="0" w:before="120" w:line="276" w:lineRule="auto"/>
        <w:ind w:right="0" w:firstLine="0" w:left="283"/>
        <w:jc w:val="both"/>
        <w:rPr/>
      </w:pPr>
      <w:r>
        <w:rPr>
          <w:rFonts w:ascii="Times New Roman" w:hAnsi="Times New Roman" w:eastAsia="Times New Roman" w:cs="Times New Roman"/>
          <w:color w:val="000000"/>
          <w:sz w:val="24"/>
        </w:rPr>
        <w:t xml:space="preserve">Nghị định số 103/2024/NĐ-CP ngày 30/7/2024 của Chính phủ quy định về thu tiền sử dụng đất, tiền thuê đất;</w:t>
      </w:r>
      <w:r/>
    </w:p>
    <w:p>
      <w:pPr>
        <w:pBdr>
          <w:top w:val="none" w:color="000000" w:sz="4" w:space="0"/>
          <w:left w:val="none" w:color="000000" w:sz="4" w:space="0"/>
          <w:bottom w:val="none" w:color="000000" w:sz="4" w:space="0"/>
          <w:right w:val="none" w:color="000000" w:sz="4" w:space="0"/>
        </w:pBdr>
        <w:spacing w:after="0" w:before="120" w:line="276" w:lineRule="auto"/>
        <w:ind w:right="0" w:firstLine="0" w:left="283"/>
        <w:jc w:val="both"/>
        <w:rPr/>
      </w:pPr>
      <w:r>
        <w:rPr>
          <w:rFonts w:ascii="Times New Roman" w:hAnsi="Times New Roman" w:eastAsia="Times New Roman" w:cs="Times New Roman"/>
          <w:color w:val="000000"/>
          <w:sz w:val="24"/>
        </w:rPr>
        <w:t xml:space="preserve">Thông tư số 28/2024/TT-BTC ngày 16/5/2024 của Bộ Tài chính Quy định về trình tự, thủ tục kiểm tra việc chấp hành pháp luật về giá, thẩm định giá do Bộ trưởng Bộ Tài chính ban hành;</w:t>
      </w:r>
      <w:r/>
    </w:p>
    <w:p>
      <w:pPr>
        <w:pBdr>
          <w:top w:val="none" w:color="000000" w:sz="4" w:space="0"/>
          <w:left w:val="none" w:color="000000" w:sz="4" w:space="0"/>
          <w:bottom w:val="none" w:color="000000" w:sz="4" w:space="0"/>
          <w:right w:val="none" w:color="000000" w:sz="4" w:space="0"/>
        </w:pBdr>
        <w:spacing w:after="0" w:before="120" w:line="276" w:lineRule="auto"/>
        <w:ind w:right="0" w:firstLine="0" w:left="283"/>
        <w:jc w:val="both"/>
        <w:rPr/>
      </w:pPr>
      <w:r>
        <w:rPr>
          <w:rFonts w:ascii="Times New Roman" w:hAnsi="Times New Roman" w:eastAsia="Times New Roman" w:cs="Times New Roman"/>
          <w:color w:val="000000"/>
          <w:sz w:val="24"/>
        </w:rPr>
        <w:t xml:space="preserve">Thông tư số 30/2024/TT-BTC ngày 16/5/2024 của Bộ Tài chính ban hành các chuẩn mực thẩm định giá Việt Nam về quy tắc đạo đức nghề nghiệp thẩm định giá, phạm vi công việc thẩm định giá, cơ sở giá trị thẩm định giá, hồ sơ thẩm định giá;</w:t>
      </w:r>
      <w:r/>
    </w:p>
    <w:p>
      <w:pPr>
        <w:pBdr>
          <w:top w:val="none" w:color="000000" w:sz="4" w:space="0"/>
          <w:left w:val="none" w:color="000000" w:sz="4" w:space="0"/>
          <w:bottom w:val="none" w:color="000000" w:sz="4" w:space="0"/>
          <w:right w:val="none" w:color="000000" w:sz="4" w:space="0"/>
        </w:pBdr>
        <w:spacing w:after="0" w:before="120" w:line="276" w:lineRule="auto"/>
        <w:ind w:right="0" w:firstLine="0" w:left="283"/>
        <w:jc w:val="both"/>
        <w:rPr/>
      </w:pPr>
      <w:r>
        <w:rPr>
          <w:rFonts w:ascii="Times New Roman" w:hAnsi="Times New Roman" w:eastAsia="Times New Roman" w:cs="Times New Roman"/>
          <w:color w:val="000000"/>
          <w:sz w:val="24"/>
        </w:rPr>
        <w:t xml:space="preserve">Thông tư số 31/2024/TT-BTC ngày 16/5/2024 của Bộ Tài chính ban hành chuẩn mực thẩm định giá Việt Nam về thu thập và phân tích thông tin về tài sản thẩm định giá;</w:t>
      </w:r>
      <w:r/>
    </w:p>
    <w:p>
      <w:pPr>
        <w:pBdr>
          <w:top w:val="none" w:color="000000" w:sz="4" w:space="0"/>
          <w:left w:val="none" w:color="000000" w:sz="4" w:space="0"/>
          <w:bottom w:val="none" w:color="000000" w:sz="4" w:space="0"/>
          <w:right w:val="none" w:color="000000" w:sz="4" w:space="0"/>
        </w:pBdr>
        <w:spacing w:after="0" w:before="120" w:line="276" w:lineRule="auto"/>
        <w:ind w:right="0" w:firstLine="0" w:left="283"/>
        <w:jc w:val="both"/>
        <w:rPr/>
      </w:pPr>
      <w:r>
        <w:rPr>
          <w:rFonts w:ascii="Times New Roman" w:hAnsi="Times New Roman" w:eastAsia="Times New Roman" w:cs="Times New Roman"/>
          <w:color w:val="000000"/>
          <w:sz w:val="24"/>
        </w:rPr>
        <w:t xml:space="preserve">Thông tư số 32/2024/TT-BTC ngày 16/5/2024 của Bộ Tài chính ban hành các chuẩn mực thẩm định giá Việt Nam về cách tiếp cận từ thị trường, cách tiếp cận từ chi phí, cách tiếp cận từ thu nhập;</w:t>
      </w:r>
      <w:r/>
    </w:p>
    <w:p>
      <w:pPr>
        <w:pBdr>
          <w:top w:val="none" w:color="000000" w:sz="4" w:space="0"/>
          <w:left w:val="none" w:color="000000" w:sz="4" w:space="0"/>
          <w:bottom w:val="none" w:color="000000" w:sz="4" w:space="0"/>
          <w:right w:val="none" w:color="000000" w:sz="4" w:space="0"/>
        </w:pBdr>
        <w:spacing w:after="0" w:before="120" w:line="276" w:lineRule="auto"/>
        <w:ind w:right="0" w:firstLine="0" w:left="283"/>
        <w:jc w:val="both"/>
        <w:rPr/>
      </w:pPr>
      <w:r>
        <w:rPr>
          <w:rFonts w:ascii="Times New Roman" w:hAnsi="Times New Roman" w:eastAsia="Times New Roman" w:cs="Times New Roman"/>
          <w:color w:val="000000"/>
          <w:sz w:val="24"/>
        </w:rPr>
        <w:t xml:space="preserve">Thông tư số 36/2024/TT-BTC ngày 16/5/2024 của Bộ Tài chính ban hành chuẩn mực thẩm định giá Việt Nam về thẩm định giá doanh nghiệp;</w:t>
      </w:r>
      <w:r/>
    </w:p>
    <w:p>
      <w:pPr>
        <w:pBdr>
          <w:top w:val="none" w:color="000000" w:sz="4" w:space="0"/>
          <w:left w:val="none" w:color="000000" w:sz="4" w:space="0"/>
          <w:bottom w:val="none" w:color="000000" w:sz="4" w:space="0"/>
          <w:right w:val="none" w:color="000000" w:sz="4" w:space="0"/>
        </w:pBdr>
        <w:spacing w:after="0" w:before="120" w:line="276" w:lineRule="auto"/>
        <w:ind w:right="0" w:firstLine="0" w:left="283"/>
        <w:jc w:val="both"/>
        <w:rPr/>
      </w:pPr>
      <w:r>
        <w:rPr>
          <w:rFonts w:ascii="Times New Roman" w:hAnsi="Times New Roman" w:eastAsia="Times New Roman" w:cs="Times New Roman"/>
          <w:color w:val="000000"/>
          <w:sz w:val="24"/>
        </w:rPr>
        <w:t xml:space="preserve">Thông tư số 37/2024/TT-BTC ngày 16/5/2024 của Bộ Tài chính ban hành chuẩn mực thẩm định giá Việt Nam về thẩm định giá tài sản vô hình;</w:t>
      </w:r>
      <w:r/>
    </w:p>
    <w:p>
      <w:pPr>
        <w:pBdr>
          <w:top w:val="none" w:color="000000" w:sz="4" w:space="0"/>
          <w:left w:val="none" w:color="000000" w:sz="4" w:space="0"/>
          <w:bottom w:val="none" w:color="000000" w:sz="4" w:space="0"/>
          <w:right w:val="none" w:color="000000" w:sz="4" w:space="0"/>
        </w:pBdr>
        <w:spacing w:after="0" w:before="120" w:line="276" w:lineRule="auto"/>
        <w:ind w:right="0" w:firstLine="0" w:left="283"/>
        <w:jc w:val="both"/>
        <w:rPr/>
      </w:pPr>
      <w:r>
        <w:rPr>
          <w:rFonts w:ascii="Times New Roman" w:hAnsi="Times New Roman" w:eastAsia="Times New Roman" w:cs="Times New Roman"/>
          <w:color w:val="000000"/>
          <w:sz w:val="24"/>
        </w:rPr>
        <w:t xml:space="preserve">Thông tư số 42/2024/TT-BTC ngày 20/6/2024 của Bộ Tài chính ban hành chuẩn mực thẩm định giá Việt Nam về thẩm định giá bất động sản;</w:t>
      </w:r>
      <w:r/>
    </w:p>
    <w:p>
      <w:pPr>
        <w:pBdr>
          <w:top w:val="none" w:color="000000" w:sz="4" w:space="0"/>
          <w:left w:val="none" w:color="000000" w:sz="4" w:space="0"/>
          <w:bottom w:val="none" w:color="000000" w:sz="4" w:space="0"/>
          <w:right w:val="none" w:color="000000" w:sz="4" w:space="0"/>
        </w:pBdr>
        <w:spacing w:after="0" w:before="120" w:line="276" w:lineRule="auto"/>
        <w:ind w:right="0" w:firstLine="0" w:left="283"/>
        <w:jc w:val="both"/>
        <w:rPr/>
      </w:pPr>
      <w:r>
        <w:rPr>
          <w:rFonts w:ascii="Times New Roman" w:hAnsi="Times New Roman" w:eastAsia="Times New Roman" w:cs="Times New Roman"/>
          <w:color w:val="000000"/>
          <w:sz w:val="24"/>
        </w:rPr>
        <w:t xml:space="preserve">Thông tư số 45/2013/TT-BTC ngày 24/5/2013 của Bộ Tài chính về việc hướng dẫn chế độ quản lý, sử dụng và trích khấu hao tài sản cố định;</w:t>
      </w:r>
      <w:r/>
    </w:p>
    <w:p>
      <w:pPr>
        <w:pBdr>
          <w:top w:val="none" w:color="000000" w:sz="4" w:space="0"/>
          <w:left w:val="none" w:color="000000" w:sz="4" w:space="0"/>
          <w:bottom w:val="none" w:color="000000" w:sz="4" w:space="0"/>
          <w:right w:val="none" w:color="000000" w:sz="4" w:space="0"/>
        </w:pBdr>
        <w:spacing w:after="0" w:before="120" w:line="276" w:lineRule="auto"/>
        <w:ind w:right="0" w:firstLine="0" w:left="283"/>
        <w:jc w:val="both"/>
        <w:rPr/>
      </w:pPr>
      <w:r>
        <w:rPr>
          <w:rFonts w:ascii="Times New Roman" w:hAnsi="Times New Roman" w:eastAsia="Times New Roman" w:cs="Times New Roman"/>
          <w:color w:val="000000"/>
          <w:sz w:val="24"/>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p>
    <w:p>
      <w:pPr>
        <w:pBdr>
          <w:top w:val="none" w:color="000000" w:sz="4" w:space="0"/>
          <w:left w:val="none" w:color="000000" w:sz="4" w:space="0"/>
          <w:bottom w:val="none" w:color="000000" w:sz="4" w:space="0"/>
          <w:right w:val="none" w:color="000000" w:sz="4" w:space="0"/>
        </w:pBdr>
        <w:spacing w:after="0" w:before="120" w:line="276" w:lineRule="auto"/>
        <w:ind w:right="0" w:firstLine="0" w:left="283"/>
        <w:jc w:val="both"/>
        <w:rPr/>
      </w:pPr>
      <w:r>
        <w:rPr>
          <w:rFonts w:ascii="Times New Roman" w:hAnsi="Times New Roman" w:eastAsia="Times New Roman" w:cs="Times New Roman"/>
          <w:color w:val="000000"/>
          <w:sz w:val="24"/>
        </w:rPr>
        <w:t xml:space="preserve">Thông tư số 28/2017/TT-BTC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w:t>
      </w:r>
      <w:r>
        <w:rPr>
          <w:rFonts w:ascii="Times New Roman" w:hAnsi="Times New Roman" w:eastAsia="Times New Roman" w:cs="Times New Roman"/>
          <w:color w:val="000000"/>
          <w:sz w:val="24"/>
        </w:rPr>
        <w:t xml:space="preserve">ài sản cố định;</w:t>
      </w:r>
      <w:r/>
    </w:p>
    <w:p>
      <w:pPr>
        <w:pBdr>
          <w:top w:val="none" w:color="000000" w:sz="4" w:space="0"/>
          <w:left w:val="none" w:color="000000" w:sz="4" w:space="0"/>
          <w:bottom w:val="none" w:color="000000" w:sz="4" w:space="0"/>
          <w:right w:val="none" w:color="000000" w:sz="4" w:space="0"/>
        </w:pBdr>
        <w:spacing w:after="0" w:before="120" w:line="276" w:lineRule="auto"/>
        <w:ind w:right="0" w:firstLine="0" w:left="283"/>
        <w:jc w:val="both"/>
        <w:rPr/>
      </w:pPr>
      <w:r>
        <w:rPr>
          <w:rFonts w:ascii="Times New Roman" w:hAnsi="Times New Roman" w:eastAsia="Times New Roman" w:cs="Times New Roman"/>
          <w:color w:val="000000"/>
          <w:sz w:val="24"/>
        </w:rPr>
        <w:t xml:space="preserve">Quyết định số 409/QĐ-BXD ngày 11/4/2025 của Bộ Xây dựng về việc Công bố suất vốn đầu tư xây dựng công trình và giá xây dựng tổng hợp bộ phận kết cấu công trình năm 2024;</w:t>
      </w:r>
      <w:r/>
    </w:p>
    <w:p>
      <w:pPr>
        <w:pBdr>
          <w:top w:val="none" w:color="000000" w:sz="4" w:space="0"/>
          <w:left w:val="none" w:color="000000" w:sz="4" w:space="0"/>
          <w:bottom w:val="none" w:color="000000" w:sz="4" w:space="0"/>
          <w:right w:val="none" w:color="000000" w:sz="4" w:space="0"/>
        </w:pBdr>
        <w:spacing w:after="0" w:before="120" w:line="276" w:lineRule="auto"/>
        <w:ind w:right="0" w:firstLine="0" w:left="283"/>
        <w:jc w:val="both"/>
        <w:rPr/>
      </w:pPr>
      <w:r>
        <w:rPr>
          <w:rFonts w:ascii="Times New Roman" w:hAnsi="Times New Roman" w:eastAsia="Times New Roman" w:cs="Times New Roman"/>
          <w:color w:val="000000"/>
          <w:sz w:val="24"/>
        </w:rPr>
        <w:t xml:space="preserve">Công văn số 1326/BXD-QLN của Bộ Xây dựng ban hành ngày 08/8/2011 về việc hướng dẫn kiểm kê, đánh giá lại giá trị tài sản cố định là nhà, vật kiến trúc;</w:t>
      </w:r>
      <w:r/>
    </w:p>
    <w:p>
      <w:pPr>
        <w:pBdr>
          <w:top w:val="none" w:color="000000" w:sz="4" w:space="0"/>
          <w:left w:val="none" w:color="000000" w:sz="4" w:space="0"/>
          <w:bottom w:val="none" w:color="000000" w:sz="4" w:space="0"/>
          <w:right w:val="none" w:color="000000" w:sz="4" w:space="0"/>
        </w:pBdr>
        <w:spacing w:after="0" w:before="120" w:line="276" w:lineRule="auto"/>
        <w:ind w:right="0" w:firstLine="0" w:left="283"/>
        <w:jc w:val="both"/>
        <w:rPr/>
      </w:pPr>
      <w:r>
        <w:rPr>
          <w:rFonts w:ascii="Times New Roman" w:hAnsi="Times New Roman" w:eastAsia="Times New Roman" w:cs="Times New Roman"/>
          <w:color w:val="000000"/>
          <w:sz w:val="24"/>
        </w:rPr>
        <w:t xml:space="preserve">Và các văn bản pháp luật có liên quan khác.</w:t>
      </w:r>
      <w:r/>
    </w:p>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pPr>
      <w:r>
        <w:rPr>
          <w:rFonts w:ascii="Times New Roman" w:hAnsi="Times New Roman" w:eastAsia="Times New Roman" w:cs="Times New Roman"/>
          <w:b/>
          <w:color w:val="000000"/>
          <w:sz w:val="24"/>
        </w:rPr>
        <w:t xml:space="preserve">3.2. Các văn bản liên quan khác:</w:t>
      </w:r>
      <w:r/>
    </w:p>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pPr>
      <w:r>
        <w:rPr>
          <w:rFonts w:ascii="Times New Roman" w:hAnsi="Times New Roman" w:eastAsia="Times New Roman" w:cs="Times New Roman"/>
          <w:b/>
          <w:color w:val="000000"/>
          <w:sz w:val="24"/>
        </w:rPr>
        <w:t xml:space="preserve">a. Hồ sơ pháp lý của tài sản: </w:t>
      </w:r>
      <w:r/>
    </w:p>
    <w:p>
      <w:pPr>
        <w:pBdr>
          <w:top w:val="none" w:color="000000" w:sz="4" w:space="0"/>
          <w:left w:val="none" w:color="000000" w:sz="4" w:space="0"/>
          <w:bottom w:val="none" w:color="000000" w:sz="4" w:space="0"/>
          <w:right w:val="none" w:color="000000" w:sz="4" w:space="0"/>
        </w:pBdr>
        <w:spacing w:after="0" w:before="120" w:line="276" w:lineRule="auto"/>
        <w:ind w:right="0" w:firstLine="0" w:left="283"/>
        <w:jc w:val="both"/>
        <w:rPr/>
      </w:pPr>
      <w:r>
        <w:rPr>
          <w:rFonts w:ascii="Times New Roman" w:hAnsi="Times New Roman" w:eastAsia="Times New Roman" w:cs="Times New Roman"/>
          <w:color w:val="000000"/>
          <w:sz w:val="24"/>
        </w:rPr>
        <w:t xml:space="preserve">Giấy chứng nhận quyền sử dụng đất quyền sở hữu tài sản gắn liền với đất số: BK 713663, số vào sổ cấp GCN: CH 01114 do UBND huyện Bảo Thắng cấp ngày 12/4/2012 cho ông Bùi Đức Toàn</w:t>
      </w:r>
      <w:r/>
    </w:p>
    <w:p>
      <w:pPr>
        <w:pBdr>
          <w:top w:val="none" w:color="000000" w:sz="4" w:space="0"/>
          <w:left w:val="none" w:color="000000" w:sz="4" w:space="0"/>
          <w:bottom w:val="none" w:color="000000" w:sz="4" w:space="0"/>
          <w:right w:val="none" w:color="000000" w:sz="4" w:space="0"/>
        </w:pBdr>
        <w:spacing w:after="0" w:before="120" w:line="276" w:lineRule="auto"/>
        <w:ind w:right="0" w:firstLine="0" w:left="283"/>
        <w:jc w:val="both"/>
        <w:rPr/>
      </w:pPr>
      <w:r>
        <w:rPr>
          <w:rFonts w:ascii="Times New Roman" w:hAnsi="Times New Roman" w:eastAsia="Times New Roman" w:cs="Times New Roman"/>
          <w:color w:val="000000"/>
          <w:sz w:val="24"/>
        </w:rPr>
        <w:t xml:space="preserve">Giấy chứng nhận quyền sử dụng đất quyền sở hữu tài sản gắn liền với đất số: BK 713664, số vào sổ cấp GCN: CH 01114 do UBND huyện Bảo Thắng cấp ngày 12/4/2012 cho ông Bùi Đức Toàn</w:t>
      </w:r>
      <w:r/>
    </w:p>
    <w:p>
      <w:pPr>
        <w:pBdr>
          <w:top w:val="none" w:color="000000" w:sz="4" w:space="0"/>
          <w:left w:val="none" w:color="000000" w:sz="4" w:space="0"/>
          <w:bottom w:val="none" w:color="000000" w:sz="4" w:space="0"/>
          <w:right w:val="none" w:color="000000" w:sz="4" w:space="0"/>
        </w:pBdr>
        <w:spacing w:after="0" w:before="120" w:line="276" w:lineRule="auto"/>
        <w:ind w:right="0" w:firstLine="0" w:left="283"/>
        <w:jc w:val="both"/>
        <w:rPr/>
      </w:pPr>
      <w:r>
        <w:rPr>
          <w:rFonts w:ascii="Times New Roman" w:hAnsi="Times New Roman" w:eastAsia="Times New Roman" w:cs="Times New Roman"/>
          <w:color w:val="000000"/>
          <w:sz w:val="24"/>
        </w:rPr>
        <w:t xml:space="preserve">Giấy chứng nhận quyền sử dụng đất quyền sở hữu tài sản gắn liền với đất số: BK 711045, số vào sổ cấp GCN: CH01348 do UBND huyện Bảo Thắng cấp ngày 12/4/2012 cho ông Bùi Đức Toàn</w:t>
      </w:r>
      <w:r/>
    </w:p>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pPr>
      <w:r>
        <w:rPr>
          <w:rFonts w:ascii="Times New Roman" w:hAnsi="Times New Roman" w:eastAsia="Times New Roman" w:cs="Times New Roman"/>
          <w:b/>
          <w:color w:val="000000"/>
          <w:sz w:val="24"/>
        </w:rPr>
        <w:t xml:space="preserve">b. Hồ sơ khác:</w:t>
      </w:r>
      <w:r/>
    </w:p>
    <w:p>
      <w:pPr>
        <w:pBdr>
          <w:top w:val="none" w:color="000000" w:sz="4" w:space="0"/>
          <w:left w:val="none" w:color="000000" w:sz="4" w:space="0"/>
          <w:bottom w:val="none" w:color="000000" w:sz="4" w:space="0"/>
          <w:right w:val="none" w:color="000000" w:sz="4" w:space="0"/>
        </w:pBdr>
        <w:spacing w:after="0" w:before="120" w:line="276" w:lineRule="auto"/>
        <w:ind w:right="0" w:firstLine="0" w:left="283"/>
        <w:jc w:val="both"/>
        <w:rPr/>
      </w:pPr>
      <w:r>
        <w:rPr>
          <w:rFonts w:ascii="Times New Roman" w:hAnsi="Times New Roman" w:eastAsia="Times New Roman" w:cs="Times New Roman"/>
          <w:color w:val="000000"/>
          <w:sz w:val="24"/>
        </w:rPr>
        <w:t xml:space="preserve">Hợp đồng dịch vụ thẩm định giá số 275/2026/0196/VFI-HĐTĐ.</w:t>
      </w:r>
      <w:r>
        <w:rPr>
          <w:rFonts w:ascii="Times New Roman" w:hAnsi="Times New Roman" w:eastAsia="Times New Roman" w:cs="Times New Roman"/>
          <w:b w:val="0"/>
          <w:bCs w:val="0"/>
          <w:color w:val="000000"/>
          <w:sz w:val="24"/>
        </w:rPr>
        <w:t xml:space="preserve">27.A</w:t>
      </w:r>
      <w:r>
        <w:rPr>
          <w:rFonts w:ascii="Times New Roman" w:hAnsi="Times New Roman" w:eastAsia="Times New Roman" w:cs="Times New Roman"/>
          <w:color w:val="000000"/>
          <w:sz w:val="24"/>
        </w:rPr>
        <w:t xml:space="preserve"> ký ngày 25/01/2026 giữa ông Bùi Đức Toàn và Công ty Cổ phần Thẩm định và Đầu tư Tài chính Hoa Sen;</w:t>
      </w:r>
      <w:r/>
    </w:p>
    <w:p>
      <w:pPr>
        <w:pBdr>
          <w:top w:val="none" w:color="000000" w:sz="4" w:space="0"/>
          <w:left w:val="none" w:color="000000" w:sz="4" w:space="0"/>
          <w:bottom w:val="none" w:color="000000" w:sz="4" w:space="0"/>
          <w:right w:val="none" w:color="000000" w:sz="4" w:space="0"/>
        </w:pBdr>
        <w:spacing w:after="0" w:before="120" w:line="276" w:lineRule="auto"/>
        <w:ind w:right="0" w:firstLine="0" w:left="283"/>
        <w:jc w:val="both"/>
        <w:rPr/>
      </w:pPr>
      <w:r>
        <w:rPr>
          <w:rFonts w:ascii="Times New Roman" w:hAnsi="Times New Roman" w:eastAsia="Times New Roman" w:cs="Times New Roman"/>
          <w:color w:val="000000"/>
          <w:sz w:val="24"/>
        </w:rPr>
        <w:t xml:space="preserve">Hồ sơ, tài liệu, chứng từ liên quan đến tài sản thẩm định giá.</w:t>
      </w:r>
      <w:r/>
    </w:p>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pPr>
      <w:r>
        <w:rPr>
          <w:rFonts w:ascii="Times New Roman" w:hAnsi="Times New Roman" w:eastAsia="Times New Roman" w:cs="Times New Roman"/>
          <w:b/>
          <w:color w:val="000000"/>
          <w:sz w:val="24"/>
        </w:rPr>
        <w:t xml:space="preserve">III. TỔNG QUAN VỀ THỊ TRƯỜNG CỦA TÀI SẢN THẨM ĐỊNH GIÁ</w:t>
      </w:r>
      <w:r/>
    </w:p>
    <w:p>
      <w:pPr>
        <w:pBdr>
          <w:top w:val="none" w:color="000000" w:sz="4" w:space="0"/>
          <w:left w:val="none" w:color="000000" w:sz="4" w:space="0"/>
          <w:bottom w:val="none" w:color="000000" w:sz="4" w:space="0"/>
          <w:right w:val="none" w:color="000000" w:sz="4" w:space="0"/>
        </w:pBdr>
        <w:spacing w:after="120" w:before="120" w:line="276" w:lineRule="auto"/>
        <w:ind w:right="0" w:firstLine="624" w:left="0"/>
        <w:jc w:val="both"/>
        <w:rPr/>
      </w:pPr>
      <w:r>
        <w:rPr>
          <w:rFonts w:ascii="Times New Roman" w:hAnsi="Times New Roman" w:eastAsia="Times New Roman" w:cs="Times New Roman"/>
          <w:color w:val="000000"/>
          <w:sz w:val="24"/>
        </w:rPr>
        <w:t xml:space="preserve">Thị trường đất nền tại tỉnh Lào Cai đang ngày càng trở nên hấp dẫn, đặc biệt trong bối cảnh đô thị hóa và nhu cầu nhà ở tăng cao. Sự xuất hiện của các dự án lớn từ các tập đoàn như Sun Group, Bitexco, Geleximco và T&amp;T Group đã thúc đẩy thị trường bất động </w:t>
      </w:r>
      <w:r>
        <w:rPr>
          <w:rFonts w:ascii="Times New Roman" w:hAnsi="Times New Roman" w:eastAsia="Times New Roman" w:cs="Times New Roman"/>
          <w:color w:val="000000"/>
          <w:sz w:val="24"/>
        </w:rPr>
        <w:t xml:space="preserve">sản phát triển mạnh mẽ, đặc biệt là khu vực Sapa và thành phố Lào Cai. Những khu đô thị mới như Đông Bắc Sapa và Bảo Hà không chỉ mang lại diện mạo mới cho vùng mà còn đáp ứng nhu cầu nhà ở và kinh doanh của cư dân địa phương lẫn nhà đầu tư.</w:t>
      </w:r>
      <w:r/>
    </w:p>
    <w:p>
      <w:pPr>
        <w:pBdr>
          <w:top w:val="none" w:color="000000" w:sz="4" w:space="0"/>
          <w:left w:val="none" w:color="000000" w:sz="4" w:space="0"/>
          <w:bottom w:val="none" w:color="000000" w:sz="4" w:space="0"/>
          <w:right w:val="none" w:color="000000" w:sz="4" w:space="0"/>
        </w:pBdr>
        <w:spacing w:after="120" w:before="120" w:line="276" w:lineRule="auto"/>
        <w:ind w:right="0" w:firstLine="624" w:left="0"/>
        <w:jc w:val="both"/>
        <w:rPr/>
      </w:pPr>
      <w:r>
        <w:rPr>
          <w:rFonts w:ascii="Times New Roman" w:hAnsi="Times New Roman" w:eastAsia="Times New Roman" w:cs="Times New Roman"/>
          <w:color w:val="000000"/>
          <w:sz w:val="24"/>
        </w:rPr>
        <w:t xml:space="preserve">Với sự phát triển hạ tầng đồng bộ và các dự án lớn, thị trường đất nền Lào Cai mang lại cơ hội sinh lời cho các nhà đầu tư. Kinh tế cửa khẩu với Trung Quốc, cùng với tiềm năng du lịch tại các điểm nóng như Sapa, đã và đang tạo ra một lực đẩy mạnh mẽ cho th</w:t>
      </w:r>
      <w:r>
        <w:rPr>
          <w:rFonts w:ascii="Times New Roman" w:hAnsi="Times New Roman" w:eastAsia="Times New Roman" w:cs="Times New Roman"/>
          <w:color w:val="000000"/>
          <w:sz w:val="24"/>
        </w:rPr>
        <w:t xml:space="preserve">ị trường này. Mặc dù thị trường bất động sản chung hiện có phần trầm lắng, nhưng các dự án đất nền tại Lào Cai vẫn giữ vững sự ổn định về giá và kỳ vọng sẽ tăng trưởng mạnh mẽ trong tương lai gần.</w:t>
      </w:r>
      <w:r/>
    </w:p>
    <w:p>
      <w:pPr>
        <w:pBdr>
          <w:top w:val="none" w:color="000000" w:sz="4" w:space="0"/>
          <w:left w:val="none" w:color="000000" w:sz="4" w:space="0"/>
          <w:bottom w:val="none" w:color="000000" w:sz="4" w:space="0"/>
          <w:right w:val="none" w:color="000000" w:sz="4" w:space="0"/>
        </w:pBdr>
        <w:spacing w:after="120" w:before="120" w:line="276" w:lineRule="auto"/>
        <w:ind w:right="0" w:firstLine="624" w:left="0"/>
        <w:jc w:val="both"/>
        <w:rPr/>
      </w:pPr>
      <w:r>
        <w:rPr>
          <w:rFonts w:ascii="Times New Roman" w:hAnsi="Times New Roman" w:eastAsia="Times New Roman" w:cs="Times New Roman"/>
          <w:color w:val="000000"/>
          <w:sz w:val="24"/>
        </w:rPr>
        <w:t xml:space="preserve">Các loại hình sản phẩm đất nền phổ biến tại Lào Cai bao gồm đất nền ở các khu vực đô thị trung tâm và ven đô, đặc biệt tại Sapa – một điểm du lịch thu hút nhiều dự án đầu tư lớn. Loại hình đất nền phát triển mạnh nhất là các khu vực gần trung tâm du lịch S</w:t>
      </w:r>
      <w:r>
        <w:rPr>
          <w:rFonts w:ascii="Times New Roman" w:hAnsi="Times New Roman" w:eastAsia="Times New Roman" w:cs="Times New Roman"/>
          <w:color w:val="000000"/>
          <w:sz w:val="24"/>
        </w:rPr>
        <w:t xml:space="preserve">apa, nơi có sự gia tăng mạnh mẽ về nhu cầu nghỉ dưỡng và thương mại. Các khu vực như thị xã Sapa, Bát Xát và thành phố Lào Cai đang là những điểm sáng về tăng trưởng bất động sản, nhờ vào các dự án hạ tầng như sân bay Sapa và các tuyến cao tốc.</w:t>
      </w:r>
      <w:r/>
    </w:p>
    <w:p>
      <w:pPr>
        <w:pBdr>
          <w:top w:val="none" w:color="000000" w:sz="4" w:space="0"/>
          <w:left w:val="none" w:color="000000" w:sz="4" w:space="0"/>
          <w:bottom w:val="none" w:color="000000" w:sz="4" w:space="0"/>
          <w:right w:val="none" w:color="000000" w:sz="4" w:space="0"/>
        </w:pBdr>
        <w:spacing w:after="120" w:before="120" w:line="276" w:lineRule="auto"/>
        <w:ind w:right="0" w:firstLine="624" w:left="0"/>
        <w:jc w:val="both"/>
        <w:rPr/>
      </w:pPr>
      <w:r>
        <w:rPr>
          <w:rFonts w:ascii="Times New Roman" w:hAnsi="Times New Roman" w:eastAsia="Times New Roman" w:cs="Times New Roman"/>
          <w:color w:val="000000"/>
          <w:sz w:val="24"/>
        </w:rPr>
        <w:t xml:space="preserve">Thị trường đất nền Lào Cai được dự báo sẽ tiếp tục phát triển ổn định, đặc biệt là các khu vực trung tâm du lịch như Sapa và các huyện có quy hoạch mới như Bát Xát. Hạ tầng giao thông, bao gồm sân bay Sapa và tuyến cao tốc Nội Bài - Lào Cai, sẽ là yếu tố c</w:t>
      </w:r>
      <w:r>
        <w:rPr>
          <w:rFonts w:ascii="Times New Roman" w:hAnsi="Times New Roman" w:eastAsia="Times New Roman" w:cs="Times New Roman"/>
          <w:color w:val="000000"/>
          <w:sz w:val="24"/>
        </w:rPr>
        <w:t xml:space="preserve">hính thúc đẩy giá đất nền tại các khu vực này.</w:t>
      </w:r>
      <w:r/>
    </w:p>
    <w:p>
      <w:pPr>
        <w:pBdr>
          <w:top w:val="none" w:color="000000" w:sz="4" w:space="0"/>
          <w:left w:val="none" w:color="000000" w:sz="4" w:space="0"/>
          <w:bottom w:val="none" w:color="000000" w:sz="4" w:space="0"/>
          <w:right w:val="none" w:color="000000" w:sz="4" w:space="0"/>
        </w:pBdr>
        <w:spacing w:after="120" w:before="120" w:line="276" w:lineRule="auto"/>
        <w:ind w:right="0" w:firstLine="624" w:left="0"/>
        <w:jc w:val="both"/>
        <w:rPr/>
      </w:pPr>
      <w:r>
        <w:rPr>
          <w:rFonts w:ascii="Times New Roman" w:hAnsi="Times New Roman" w:eastAsia="Times New Roman" w:cs="Times New Roman"/>
          <w:color w:val="000000"/>
          <w:sz w:val="24"/>
        </w:rPr>
        <w:t xml:space="preserve">Nhu cầu từ nhà đầu tư lớn vào phân khúc đất nền du lịch và nghỉ dưỡng sẽ tiếp tục tăng, nhất là trong bối cảnh Sapa và Lào Cai đang dần trở thành trung tâm kinh tế cửa khẩu và du lịch.</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color w:val="000000"/>
          <w:sz w:val="24"/>
        </w:rPr>
        <w:t xml:space="preserve">(https://onehousing.vn/blog/tong-quan-tinh-hinh-thi-truong-dat-nen-lao-cai-cap-nhat-moi-nhat-n17t)</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b/>
          <w:color w:val="000000"/>
          <w:sz w:val="24"/>
        </w:rPr>
        <w:t xml:space="preserve">IV. THÔNG TIN VỀ TÀI SẢN THẨM ĐỊNH GIÁ</w:t>
      </w:r>
      <w:r/>
    </w:p>
    <w:tbl>
      <w:tblPr>
        <w:tblStyle w:val="1047"/>
        <w:tblInd w:w="-62"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fixed"/>
        <w:tblLook w:val="04A0" w:firstRow="1" w:lastRow="0" w:firstColumn="1" w:lastColumn="0" w:noHBand="0" w:noVBand="1"/>
      </w:tblPr>
      <w:tblGrid>
        <w:gridCol w:w="675"/>
        <w:gridCol w:w="2220"/>
        <w:gridCol w:w="2160"/>
        <w:gridCol w:w="2281"/>
        <w:gridCol w:w="2268"/>
      </w:tblGrid>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b/>
                <w:color w:val="000000"/>
                <w:sz w:val="24"/>
              </w:rPr>
              <w:t xml:space="preserve">1.</w:t>
            </w:r>
            <w:r/>
          </w:p>
        </w:tc>
        <w:tc>
          <w:tcPr>
            <w:gridSpan w:val="4"/>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92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b/>
                <w:color w:val="000000"/>
                <w:sz w:val="24"/>
              </w:rPr>
              <w:t xml:space="preserve">Nội dung Thửa đất theo Hồ sơ pháp lý</w:t>
            </w: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b/>
                <w:color w:val="000000"/>
                <w:sz w:val="24"/>
              </w:rPr>
              <w:t xml:space="preserve">1.1</w:t>
            </w:r>
            <w:r/>
          </w:p>
        </w:tc>
        <w:tc>
          <w:tcPr>
            <w:gridSpan w:val="4"/>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92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b/>
                <w:color w:val="000000"/>
                <w:sz w:val="24"/>
              </w:rPr>
              <w:t xml:space="preserve">Thửa đất 560:</w:t>
            </w: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b/>
                <w:color w:val="000000"/>
                <w:sz w:val="24"/>
              </w:rPr>
              <w:t xml:space="preserve">Tên tài sản 1</w:t>
            </w:r>
            <w:r/>
          </w:p>
        </w:tc>
        <w:tc>
          <w:tcPr>
            <w:gridSpan w:val="4"/>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92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both"/>
              <w:rPr/>
            </w:pPr>
            <w:r>
              <w:rPr>
                <w:rFonts w:ascii="Times New Roman" w:hAnsi="Times New Roman" w:eastAsia="Times New Roman" w:cs="Times New Roman"/>
                <w:b/>
                <w:color w:val="000000"/>
                <w:sz w:val="24"/>
              </w:rPr>
              <w:t xml:space="preserve">Quyền sử dụng đất tại thửa đất số: 560, tờ bản đồ số: P6-18 có địa chỉ: Tổ dân phố 6, thị trấn Tằng Loỏng, huyện Bảo Thắng, tỉnh Lào Cai (này là xã Tằng Loỏng, tỉnh Lào Cai) theo Giấy chứng nhận quyền sử dụng đất quyền sở hữu tài sản gắn liền với đất số: B</w:t>
            </w:r>
            <w:r>
              <w:rPr>
                <w:rFonts w:ascii="Times New Roman" w:hAnsi="Times New Roman" w:eastAsia="Times New Roman" w:cs="Times New Roman"/>
                <w:b/>
                <w:color w:val="000000"/>
                <w:sz w:val="24"/>
              </w:rPr>
              <w:t xml:space="preserve">K 713663, số vào sổ cấp GCN: CH 01114 do UBND huyện Bảo Thắng cấp ngày 12/4/2012 cho ông Bùi Đức Toàn</w:t>
            </w: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2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Thửa đất số:</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6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560</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Tờ bản đồ số:</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P6-18</w:t>
            </w: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2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Địa chỉ:</w:t>
            </w:r>
            <w:r/>
          </w:p>
        </w:tc>
        <w:tc>
          <w:tcPr>
            <w:gridSpan w:val="3"/>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0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Tổ dân phố 6, thị trấn Tằng Loỏng, huyện Bảo Thắng, tỉnh Lào Cai (này là xã Tằng Loỏng, tỉnh Lào Cai)</w:t>
            </w: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2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Diện tích (m²):</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6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             127,50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Hình thức sử dụng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Sử dụng riêng</w:t>
            </w: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2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Mục đích sử dụng: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6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Đất ở nông thôn 100m</w:t>
            </w:r>
            <w:r>
              <w:rPr>
                <w:rFonts w:ascii="Times New Roman" w:hAnsi="Times New Roman" w:eastAsia="Times New Roman" w:cs="Times New Roman"/>
                <w:color w:val="000000"/>
                <w:sz w:val="20"/>
                <w:vertAlign w:val="superscript"/>
              </w:rPr>
              <w:t xml:space="preserve">2</w:t>
              <w:br/>
            </w:r>
            <w:r>
              <w:rPr>
                <w:rFonts w:ascii="Times New Roman" w:hAnsi="Times New Roman" w:eastAsia="Times New Roman" w:cs="Times New Roman"/>
                <w:color w:val="000000"/>
                <w:sz w:val="24"/>
              </w:rPr>
              <w:t xml:space="preserve"> Đất trồng cây lâu năm 27,5m</w:t>
            </w:r>
            <w:r>
              <w:rPr>
                <w:rFonts w:ascii="Times New Roman" w:hAnsi="Times New Roman" w:eastAsia="Times New Roman" w:cs="Times New Roman"/>
                <w:color w:val="000000"/>
                <w:sz w:val="20"/>
                <w:vertAlign w:val="superscript"/>
              </w:rPr>
              <w:t xml:space="preserve">2</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Thời hạn sử dụng: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ONT: Lâu dài; CLN: Đất trồng cây lâu năm: Đến tháng 7/2047</w:t>
            </w: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2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Những thay đổi sau khi cấp giấy chứng nhận:</w:t>
            </w:r>
            <w:r/>
          </w:p>
        </w:tc>
        <w:tc>
          <w:tcPr>
            <w:gridSpan w:val="3"/>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0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b/>
                <w:color w:val="000000"/>
                <w:sz w:val="24"/>
              </w:rPr>
              <w:t xml:space="preserve">Ngày 08/7/2022</w:t>
              <w:br/>
            </w:r>
            <w:r>
              <w:rPr>
                <w:rFonts w:ascii="Times New Roman" w:hAnsi="Times New Roman" w:eastAsia="Times New Roman" w:cs="Times New Roman"/>
                <w:color w:val="000000"/>
                <w:sz w:val="24"/>
              </w:rPr>
              <w:t xml:space="preserve"> Địa chỉ thửa đất thay đổi từ Thôn Cù 1, xã Xuân Giao, thành tổ dân phố số 6, thị trấn Tằng Loỏng.</w:t>
              <w:br/>
              <w:t xml:space="preserve"> Mục đích sử dụng đất thay đổi từ đất ở tại nông thôn (ONT) thành đất ở tại đô thị (ODT).</w:t>
              <w:br/>
              <w:t xml:space="preserve"> Người sử dụng đất thay đổi CMND và địa chỉ thường trú từ CMND số 0</w:t>
            </w:r>
            <w:r>
              <w:rPr>
                <w:rFonts w:ascii="Times New Roman" w:hAnsi="Times New Roman" w:eastAsia="Times New Roman" w:cs="Times New Roman"/>
                <w:color w:val="000000"/>
                <w:sz w:val="24"/>
              </w:rPr>
              <w:t xml:space="preserve">63005740 thành CCCD số 034066017095. ĐCTT từ Tổ 37, phường Kim Tân, thành phố Lào Cai, tỉnh Lào Cai thành tổ 21, phường Kim Tân, thành phố Lào Cai, tỉnh Lào Cai.</w:t>
            </w: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2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Nguồn gốc sử dụng đất:</w:t>
            </w:r>
            <w:r/>
          </w:p>
        </w:tc>
        <w:tc>
          <w:tcPr>
            <w:gridSpan w:val="3"/>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0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Nhà nước công  nhận QSD đất như giao đất có thu tiên sử dụng đất, nhận CNQSD đất của hộ ông Nguyễn Văn Tư</w:t>
            </w: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2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Thông tin quy hoạch:</w:t>
            </w:r>
            <w:r/>
          </w:p>
        </w:tc>
        <w:tc>
          <w:tcPr>
            <w:gridSpan w:val="3"/>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0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Tại thời điểm thẩm định giá, tổ thẩm định chưa thu thập được các thông tin quy hoạch liên quan đến thửa đất thẩm định giá.</w:t>
            </w: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b/>
                <w:color w:val="000000"/>
                <w:sz w:val="24"/>
              </w:rPr>
              <w:t xml:space="preserve">1.2</w:t>
            </w:r>
            <w:r/>
          </w:p>
        </w:tc>
        <w:tc>
          <w:tcPr>
            <w:gridSpan w:val="4"/>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92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b/>
                <w:color w:val="000000"/>
                <w:sz w:val="24"/>
              </w:rPr>
              <w:t xml:space="preserve">Thửa đất 561:</w:t>
            </w: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b/>
                <w:color w:val="000000"/>
                <w:sz w:val="24"/>
              </w:rPr>
              <w:t xml:space="preserve">Tên tài sản 2</w:t>
            </w:r>
            <w:r/>
          </w:p>
        </w:tc>
        <w:tc>
          <w:tcPr>
            <w:gridSpan w:val="4"/>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92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both"/>
              <w:rPr/>
            </w:pPr>
            <w:r>
              <w:rPr>
                <w:rFonts w:ascii="Times New Roman" w:hAnsi="Times New Roman" w:eastAsia="Times New Roman" w:cs="Times New Roman"/>
                <w:b/>
                <w:color w:val="000000"/>
                <w:sz w:val="24"/>
              </w:rPr>
              <w:t xml:space="preserve">Quyền sử dụng đất tại thửa đất số: 561, tờ bản đồ số: P6-18 có địa chỉ: Tổ dân phố 6, thị trấn Tằng Loỏng, huyện Bảo Thắng, tỉnh Lào Cai (này là xã Tằng Loỏng, tỉnh Lào Cai) theo Giấy chứng nhận quyền sử dụng đất quyền sở hữu tài sản gắn liền với đất số: B</w:t>
            </w:r>
            <w:r>
              <w:rPr>
                <w:rFonts w:ascii="Times New Roman" w:hAnsi="Times New Roman" w:eastAsia="Times New Roman" w:cs="Times New Roman"/>
                <w:b/>
                <w:color w:val="000000"/>
                <w:sz w:val="24"/>
              </w:rPr>
              <w:t xml:space="preserve">K 713664, số vào sổ cấp GCN: CH 01114 do UBND huyện Bảo Thắng cấp ngày 12/4/2012 cho ông Bùi Đức Toàn</w:t>
            </w: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2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Thửa đất số:</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6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561</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Tờ bản đồ số:</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P6-18</w:t>
            </w: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2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Địa chỉ:</w:t>
            </w:r>
            <w:r/>
          </w:p>
        </w:tc>
        <w:tc>
          <w:tcPr>
            <w:gridSpan w:val="3"/>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0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Tổ dân phố 6, thị trấn Tằng Loỏng, huyện Bảo Thắng, tỉnh Lào Cai (này là xã Tằng Loỏng, tỉnh Lào Cai)</w:t>
            </w: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2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Diện tích (m²):</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6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             127,50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Hình thức sử dụng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Sử dụng riêng</w:t>
            </w: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2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Mục đích sử dụng: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6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Đất ở đô thị (ODT): 100m</w:t>
            </w:r>
            <w:r>
              <w:rPr>
                <w:rFonts w:ascii="Times New Roman" w:hAnsi="Times New Roman" w:eastAsia="Times New Roman" w:cs="Times New Roman"/>
                <w:color w:val="000000"/>
                <w:sz w:val="20"/>
                <w:vertAlign w:val="superscript"/>
              </w:rPr>
              <w:t xml:space="preserve">2</w:t>
              <w:br/>
            </w:r>
            <w:r>
              <w:rPr>
                <w:rFonts w:ascii="Times New Roman" w:hAnsi="Times New Roman" w:eastAsia="Times New Roman" w:cs="Times New Roman"/>
                <w:color w:val="000000"/>
                <w:sz w:val="24"/>
              </w:rPr>
              <w:t xml:space="preserve"> Đất trồng cây lâu năm 27,5m</w:t>
            </w:r>
            <w:r>
              <w:rPr>
                <w:rFonts w:ascii="Times New Roman" w:hAnsi="Times New Roman" w:eastAsia="Times New Roman" w:cs="Times New Roman"/>
                <w:color w:val="000000"/>
                <w:sz w:val="20"/>
                <w:vertAlign w:val="superscript"/>
              </w:rPr>
              <w:t xml:space="preserve">2</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Thời hạn sử dụng: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ONT: Lâu dài; CLN: Đất trồng cây lâu năm: Đến tháng 7/2047</w:t>
            </w: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2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Nguồn gốc sử dụng đất:</w:t>
            </w:r>
            <w:r/>
          </w:p>
        </w:tc>
        <w:tc>
          <w:tcPr>
            <w:gridSpan w:val="3"/>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0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Nhà nước công  nhận QSD đất như giao đất có thu tiên sử dụng đất, nhận CNQSD đất của hộ ông Nguyễn Văn Tư</w:t>
            </w: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2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Những thay đổi sau khi cấp giấy chứng nhận:</w:t>
            </w:r>
            <w:r/>
          </w:p>
        </w:tc>
        <w:tc>
          <w:tcPr>
            <w:gridSpan w:val="3"/>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0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b/>
                <w:color w:val="000000"/>
                <w:sz w:val="24"/>
              </w:rPr>
              <w:t xml:space="preserve">Ngày 08/7/2022</w:t>
              <w:br/>
            </w:r>
            <w:r>
              <w:rPr>
                <w:rFonts w:ascii="Times New Roman" w:hAnsi="Times New Roman" w:eastAsia="Times New Roman" w:cs="Times New Roman"/>
                <w:color w:val="000000"/>
                <w:sz w:val="24"/>
              </w:rPr>
              <w:t xml:space="preserve"> Địa chỉ thửa đất thay đổi từ Thôn Cù 1, xã Xuân Giao, thành tổ dân phố số 6, thị trấn Tằng Loỏng.</w:t>
              <w:br/>
              <w:t xml:space="preserve"> Mục đích sử dụng đất thay đổi từ đất ở tại nông thôn (ONT) thành đất ở tại đô thị (ODT).</w:t>
              <w:br/>
              <w:t xml:space="preserve"> Người sử dụng đất thay đổi CMND và địa chỉ thường trú từ CMND số 0</w:t>
            </w:r>
            <w:r>
              <w:rPr>
                <w:rFonts w:ascii="Times New Roman" w:hAnsi="Times New Roman" w:eastAsia="Times New Roman" w:cs="Times New Roman"/>
                <w:color w:val="000000"/>
                <w:sz w:val="24"/>
              </w:rPr>
              <w:t xml:space="preserve">63005740 thành CCCD số 034066017095. ĐCTT từ Tổ 37, phường Kim Tân, thành phố Lào Cai, tỉnh Lào Cai thành tổ 21, phường Kim Tân, thành phố Lào Cai, tỉnh Lào Cai.</w:t>
            </w: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2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Thông tin quy hoạch:</w:t>
            </w:r>
            <w:r/>
          </w:p>
        </w:tc>
        <w:tc>
          <w:tcPr>
            <w:gridSpan w:val="3"/>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0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Tại thời điểm thẩm định giá, tổ thẩm định chưa thu thập được các thông tin quy hoạch liên quan đến thửa đất thẩm định giá.</w:t>
            </w: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b/>
                <w:color w:val="000000"/>
                <w:sz w:val="24"/>
              </w:rPr>
              <w:t xml:space="preserve">1.3</w:t>
            </w:r>
            <w:r/>
          </w:p>
        </w:tc>
        <w:tc>
          <w:tcPr>
            <w:gridSpan w:val="4"/>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92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b/>
                <w:color w:val="000000"/>
                <w:sz w:val="24"/>
              </w:rPr>
              <w:t xml:space="preserve">Thửa đất 562:</w:t>
            </w: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b/>
                <w:color w:val="000000"/>
                <w:sz w:val="24"/>
              </w:rPr>
              <w:t xml:space="preserve">Tên tài sản 3</w:t>
            </w:r>
            <w:r/>
          </w:p>
        </w:tc>
        <w:tc>
          <w:tcPr>
            <w:gridSpan w:val="4"/>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92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both"/>
              <w:rPr/>
            </w:pPr>
            <w:r>
              <w:rPr>
                <w:rFonts w:ascii="Times New Roman" w:hAnsi="Times New Roman" w:eastAsia="Times New Roman" w:cs="Times New Roman"/>
                <w:b/>
                <w:color w:val="000000"/>
                <w:sz w:val="24"/>
              </w:rPr>
              <w:t xml:space="preserve">Quyền sử dụng đất tại thửa đất số: 562, tờ bản đồ số: P6-18 có địa chỉ: Tổ dân phố 6, thị trấn Tằng Loỏng, huyện Bảo Thắng, tỉnh Lào Cai (này là xã Tằng Loỏng, tỉnh Lào Cai) theo Giấy chứng nhận quyền sử dụng đất quyền sở hữu tài sản gắn liền với đất số: B</w:t>
            </w:r>
            <w:r>
              <w:rPr>
                <w:rFonts w:ascii="Times New Roman" w:hAnsi="Times New Roman" w:eastAsia="Times New Roman" w:cs="Times New Roman"/>
                <w:b/>
                <w:color w:val="000000"/>
                <w:sz w:val="24"/>
              </w:rPr>
              <w:t xml:space="preserve">K 711045, số vào sổ cấp GCN: CH01348 do UBND huyện Bảo Thắng cấp ngày 12/4/2012 cho ông Bùi Đức Toàn.</w:t>
            </w: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2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Thửa đất số:</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6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562</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Tờ bản đồ số:</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P6-18</w:t>
            </w: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2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Địa chỉ:</w:t>
            </w:r>
            <w:r/>
          </w:p>
        </w:tc>
        <w:tc>
          <w:tcPr>
            <w:gridSpan w:val="3"/>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0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Tổ dân phố 6, thị trấn Tằng Loỏng, huyện Bảo Thắng, tỉnh Lào Cai (này là xã Tằng Loỏng, tỉnh Lào Cai)</w:t>
            </w: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2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Diện tích (m²):</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6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             127,50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Hình thức sử dụng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Sử dụng riêng</w:t>
            </w: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2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Mục đích sử dụng: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6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Đất ở nông thôn 100m</w:t>
            </w:r>
            <w:r>
              <w:rPr>
                <w:rFonts w:ascii="Times New Roman" w:hAnsi="Times New Roman" w:eastAsia="Times New Roman" w:cs="Times New Roman"/>
                <w:color w:val="000000"/>
                <w:sz w:val="20"/>
                <w:vertAlign w:val="superscript"/>
              </w:rPr>
              <w:t xml:space="preserve">2</w:t>
              <w:br/>
            </w:r>
            <w:r>
              <w:rPr>
                <w:rFonts w:ascii="Times New Roman" w:hAnsi="Times New Roman" w:eastAsia="Times New Roman" w:cs="Times New Roman"/>
                <w:color w:val="000000"/>
                <w:sz w:val="24"/>
              </w:rPr>
              <w:t xml:space="preserve"> Đất trồng cây lâu năm 27,5m</w:t>
            </w:r>
            <w:r>
              <w:rPr>
                <w:rFonts w:ascii="Times New Roman" w:hAnsi="Times New Roman" w:eastAsia="Times New Roman" w:cs="Times New Roman"/>
                <w:color w:val="000000"/>
                <w:sz w:val="20"/>
                <w:vertAlign w:val="superscript"/>
              </w:rPr>
              <w:t xml:space="preserve">2</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Thời hạn sử dụng: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ONT: Lâu dài; CLN: Đất trồng cây lâu năm: Đến tháng 7/2047</w:t>
            </w: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2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Những thay đổi sau khi cấp giấy chứng nhận:</w:t>
            </w:r>
            <w:r/>
          </w:p>
        </w:tc>
        <w:tc>
          <w:tcPr>
            <w:gridSpan w:val="3"/>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0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b/>
                <w:color w:val="000000"/>
                <w:sz w:val="24"/>
              </w:rPr>
              <w:t xml:space="preserve">Ngày 08/7/2022</w:t>
              <w:br/>
            </w:r>
            <w:r>
              <w:rPr>
                <w:rFonts w:ascii="Times New Roman" w:hAnsi="Times New Roman" w:eastAsia="Times New Roman" w:cs="Times New Roman"/>
                <w:color w:val="000000"/>
                <w:sz w:val="24"/>
              </w:rPr>
              <w:t xml:space="preserve"> Địa chỉ thửa đất thay đổi từ Thôn Cù 1, xã Xuân Giao, thành tổ dân phố số 6, thị trấn Tằng Loỏng.</w:t>
              <w:br/>
              <w:t xml:space="preserve"> Mục đích sử dụng đất thay đổi từ đất ở tại nông thôn (ONT) thành đất ở tại đô thị (ODT).</w:t>
              <w:br/>
              <w:t xml:space="preserve"> Người sử dụng đất thay đổi CMND và địa chỉ thường trú từ CMND số 0</w:t>
            </w:r>
            <w:r>
              <w:rPr>
                <w:rFonts w:ascii="Times New Roman" w:hAnsi="Times New Roman" w:eastAsia="Times New Roman" w:cs="Times New Roman"/>
                <w:color w:val="000000"/>
                <w:sz w:val="24"/>
              </w:rPr>
              <w:t xml:space="preserve">63005740 thành CCCD số 034066017095. ĐCTT từ Tổ 37, phường Kim Tân, thành phố Lào Cai, tỉnh Lào Cai thành tổ 21, phường Kim Tân, thành phố Lào Cai, tỉnh Lào Cai.</w:t>
            </w: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2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Nguồn gốc sử dụng đất:</w:t>
            </w:r>
            <w:r/>
          </w:p>
        </w:tc>
        <w:tc>
          <w:tcPr>
            <w:gridSpan w:val="3"/>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0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Nhà nước công  nhận QSD đất như giao đất có thu tiên sử dụng đất, nhận CNQSD đất của hộ ông Nguyễn Văn Tư</w:t>
            </w: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2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Thông tin quy hoạch:</w:t>
            </w:r>
            <w:r/>
          </w:p>
        </w:tc>
        <w:tc>
          <w:tcPr>
            <w:gridSpan w:val="3"/>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0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Tại thời điểm thẩm định giá, tổ thẩm định chưa thu thập được các thông tin quy hoạch liên quan đến thửa đất thẩm định giá.</w:t>
            </w: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b/>
                <w:color w:val="000000"/>
                <w:sz w:val="24"/>
              </w:rPr>
              <w:t xml:space="preserve">2.</w:t>
            </w:r>
            <w:r/>
          </w:p>
        </w:tc>
        <w:tc>
          <w:tcPr>
            <w:gridSpan w:val="4"/>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92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b/>
                <w:color w:val="000000"/>
                <w:sz w:val="24"/>
              </w:rPr>
              <w:t xml:space="preserve">Về đất:</w:t>
            </w: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b/>
                <w:color w:val="000000"/>
                <w:sz w:val="24"/>
              </w:rPr>
              <w:t xml:space="preserve">2.1</w:t>
            </w:r>
            <w:r/>
          </w:p>
        </w:tc>
        <w:tc>
          <w:tcPr>
            <w:gridSpan w:val="4"/>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92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b/>
                <w:color w:val="000000"/>
                <w:sz w:val="24"/>
              </w:rPr>
              <w:t xml:space="preserve">Vị trí; Giao thông;</w:t>
            </w: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2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Địa chỉ thực tế: </w:t>
            </w:r>
            <w:r/>
          </w:p>
        </w:tc>
        <w:tc>
          <w:tcPr>
            <w:gridSpan w:val="3"/>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0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Tổ dân phố 6, thị trấn Tằng Loỏng, huyện Bảo Thắng, tỉnh Lào Cai (này là xã Tằng Loỏng, tỉnh Lào Cai)</w:t>
            </w: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2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color w:val="000000" w:themeColor="text1"/>
              </w:rPr>
            </w:pPr>
            <w:r>
              <w:rPr>
                <w:rFonts w:ascii="Times New Roman" w:hAnsi="Times New Roman" w:eastAsia="Times New Roman" w:cs="Times New Roman"/>
                <w:color w:val="000000" w:themeColor="text1"/>
                <w:sz w:val="24"/>
              </w:rPr>
              <w:t xml:space="preserve">Đường tiếp giáp chính:</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6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color w:val="000000" w:themeColor="text1"/>
              </w:rPr>
            </w:pPr>
            <w:r>
              <w:rPr>
                <w:rFonts w:ascii="Times New Roman" w:hAnsi="Times New Roman" w:eastAsia="Times New Roman" w:cs="Times New Roman"/>
                <w:color w:val="000000" w:themeColor="text1"/>
                <w:sz w:val="24"/>
              </w:rPr>
              <w:t xml:space="preserve">Đường DT 151</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color w:val="000000" w:themeColor="text1"/>
              </w:rPr>
            </w:pPr>
            <w:r>
              <w:rPr>
                <w:rFonts w:ascii="Times New Roman" w:hAnsi="Times New Roman" w:eastAsia="Times New Roman" w:cs="Times New Roman"/>
                <w:color w:val="000000" w:themeColor="text1"/>
                <w:sz w:val="24"/>
              </w:rPr>
              <w:t xml:space="preserve">Số mặt tiền:</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color w:val="000000" w:themeColor="text1"/>
              </w:rPr>
            </w:pPr>
            <w:r>
              <w:rPr>
                <w:rFonts w:ascii="Times New Roman" w:hAnsi="Times New Roman" w:eastAsia="Times New Roman" w:cs="Times New Roman"/>
                <w:color w:val="000000" w:themeColor="text1"/>
                <w:sz w:val="24"/>
              </w:rPr>
              <w:t xml:space="preserve">1 mặt</w:t>
            </w:r>
            <w:r>
              <w:rPr>
                <w:color w:val="000000" w:themeColor="text1"/>
              </w:rPr>
            </w:r>
            <w:r>
              <w:rPr>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after="0" w:line="276" w:lineRule="auto"/>
              <w:ind w:right="0" w:firstLine="0" w:left="0"/>
              <w:jc w:val="center"/>
              <w:rPr/>
            </w:pPr>
            <w:r>
              <w:rPr>
                <w:rFonts w:ascii="Times New Roman" w:hAnsi="Times New Roman" w:eastAsia="Times New Roman" w:cs="Times New Roman"/>
                <w:color w:val="ff0000"/>
                <w:sz w:val="24"/>
              </w:rPr>
              <w:t xml:space="preserve">-</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after="0" w:line="276" w:lineRule="auto"/>
              <w:ind w:right="0" w:firstLine="0" w:left="0"/>
              <w:jc w:val="both"/>
              <w:rPr>
                <w:color w:val="000000" w:themeColor="text1"/>
              </w:rPr>
            </w:pPr>
            <w:r>
              <w:rPr>
                <w:rFonts w:ascii="Times New Roman" w:hAnsi="Times New Roman" w:eastAsia="Times New Roman" w:cs="Times New Roman"/>
                <w:color w:val="000000" w:themeColor="text1"/>
                <w:sz w:val="24"/>
              </w:rPr>
              <w:t xml:space="preserve">Mặt cắt đường/ngõ nhỏ nhất từ đường chính dẫn đến tài sản thẩm định giá:</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6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after="0" w:line="276" w:lineRule="auto"/>
              <w:ind w:right="0" w:firstLine="0" w:left="0"/>
              <w:rPr>
                <w:color w:val="000000" w:themeColor="text1"/>
              </w:rPr>
            </w:pPr>
            <w:r>
              <w:rPr>
                <w:rFonts w:ascii="Times New Roman" w:hAnsi="Times New Roman" w:eastAsia="Times New Roman" w:cs="Times New Roman"/>
                <w:color w:val="000000" w:themeColor="text1"/>
                <w:sz w:val="24"/>
              </w:rPr>
              <w:t xml:space="preserve">8m</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8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after="0" w:line="276" w:lineRule="auto"/>
              <w:ind w:right="0" w:firstLine="0" w:left="0"/>
              <w:jc w:val="both"/>
              <w:rPr>
                <w:color w:val="000000" w:themeColor="text1"/>
              </w:rPr>
            </w:pPr>
            <w:r>
              <w:rPr>
                <w:rFonts w:ascii="Times New Roman" w:hAnsi="Times New Roman" w:eastAsia="Times New Roman" w:cs="Times New Roman"/>
                <w:color w:val="000000" w:themeColor="text1"/>
                <w:sz w:val="24"/>
              </w:rPr>
              <w:t xml:space="preserve">Mặt cắt đường/ngõ trước mặt tài sản thẩm định giá:</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after="0" w:line="276" w:lineRule="auto"/>
              <w:ind w:right="0" w:firstLine="0" w:left="0"/>
              <w:rPr>
                <w:color w:val="000000" w:themeColor="text1"/>
              </w:rPr>
            </w:pPr>
            <w:r>
              <w:rPr>
                <w:rFonts w:ascii="Times New Roman" w:hAnsi="Times New Roman" w:eastAsia="Times New Roman" w:cs="Times New Roman"/>
                <w:color w:val="000000" w:themeColor="text1"/>
                <w:sz w:val="24"/>
              </w:rPr>
              <w:t xml:space="preserve">8m</w:t>
            </w:r>
            <w:r>
              <w:rPr>
                <w:color w:val="000000" w:themeColor="text1"/>
              </w:rPr>
            </w:r>
            <w:r>
              <w:rPr>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after="0" w:line="276" w:lineRule="auto"/>
              <w:ind w:right="0" w:firstLine="0" w:left="0"/>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after="0" w:line="276" w:lineRule="auto"/>
              <w:ind w:right="0" w:firstLine="0" w:left="0"/>
              <w:rPr>
                <w:color w:val="000000" w:themeColor="text1"/>
              </w:rPr>
            </w:pPr>
            <w:r>
              <w:rPr>
                <w:rFonts w:ascii="Times New Roman" w:hAnsi="Times New Roman" w:eastAsia="Times New Roman" w:cs="Times New Roman"/>
                <w:color w:val="000000" w:themeColor="text1"/>
                <w:sz w:val="24"/>
              </w:rPr>
              <w:t xml:space="preserve">Khoảng cách đến trục đường chính:</w:t>
            </w:r>
            <w:r>
              <w:rPr>
                <w:color w:val="000000" w:themeColor="text1"/>
              </w:rPr>
            </w:r>
            <w:r>
              <w:rPr>
                <w:color w:val="000000" w:themeColor="text1"/>
              </w:rPr>
            </w:r>
          </w:p>
        </w:tc>
        <w:tc>
          <w:tcPr>
            <w:gridSpan w:val="3"/>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0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after="0" w:line="276" w:lineRule="auto"/>
              <w:ind w:right="0" w:firstLine="0" w:left="0"/>
              <w:jc w:val="center"/>
              <w:rPr>
                <w:color w:val="000000" w:themeColor="text1"/>
              </w:rPr>
            </w:pPr>
            <w:r>
              <w:rPr>
                <w:rFonts w:ascii="Times New Roman" w:hAnsi="Times New Roman" w:eastAsia="Times New Roman" w:cs="Times New Roman"/>
                <w:color w:val="000000" w:themeColor="text1"/>
                <w:sz w:val="24"/>
              </w:rPr>
              <w:t xml:space="preserve">Tài sản tiếp giáp đường DT 151, cách đường cao tốc nội bài - Lào Cai khoảng 2,9km</w:t>
            </w:r>
            <w:r>
              <w:rPr>
                <w:color w:val="000000" w:themeColor="text1"/>
              </w:rPr>
            </w:r>
            <w:r>
              <w:rPr>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after="0" w:line="276" w:lineRule="auto"/>
              <w:ind w:right="0" w:firstLine="0" w:left="0"/>
              <w:jc w:val="center"/>
              <w:rPr/>
            </w:pPr>
            <w:r>
              <w:rPr>
                <w:rFonts w:ascii="Times New Roman" w:hAnsi="Times New Roman" w:eastAsia="Times New Roman" w:cs="Times New Roman"/>
                <w:color w:val="000000"/>
                <w:sz w:val="24"/>
              </w:rPr>
              <w:t xml:space="preserve">-</w:t>
            </w:r>
            <w:r/>
          </w:p>
        </w:tc>
        <w:tc>
          <w:tcPr>
            <w:gridSpan w:val="4"/>
            <w:shd w:val="clear" w:color="ffff00" w:fill="ffff00"/>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92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after="0" w:line="276" w:lineRule="auto"/>
              <w:ind w:right="0" w:firstLine="0" w:left="0"/>
              <w:rPr/>
            </w:pPr>
            <w:r>
              <w:rPr>
                <w:rFonts w:ascii="Times New Roman" w:hAnsi="Times New Roman" w:eastAsia="Times New Roman" w:cs="Times New Roman"/>
                <w:color w:val="000000"/>
                <w:sz w:val="24"/>
              </w:rPr>
              <w:t xml:space="preserve">Vị trí trên bản đồ vệ tinh: (22.317984, 104.114525)</w:t>
            </w: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after="0" w:line="276" w:lineRule="auto"/>
              <w:ind w:right="0" w:firstLine="0" w:left="0"/>
              <w:jc w:val="center"/>
              <w:rPr/>
            </w:pPr>
            <w:r>
              <w:rPr>
                <w:rFonts w:ascii="Times New Roman" w:hAnsi="Times New Roman" w:eastAsia="Times New Roman" w:cs="Times New Roman"/>
                <w:color w:val="000000"/>
                <w:sz w:val="24"/>
              </w:rPr>
              <w:t xml:space="preserve">-</w:t>
            </w:r>
            <w:r/>
          </w:p>
        </w:tc>
        <w:tc>
          <w:tcPr>
            <w:gridSpan w:val="4"/>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92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after="0" w:line="276" w:lineRule="auto"/>
              <w:ind w:right="0" w:firstLine="0" w:left="0"/>
              <w:rPr/>
            </w:pPr>
            <w:r>
              <w:rPr>
                <w:rFonts w:ascii="Times New Roman" w:hAnsi="Times New Roman" w:eastAsia="Times New Roman" w:cs="Times New Roman"/>
                <w:color w:val="000000"/>
                <w:sz w:val="24"/>
              </w:rPr>
              <w:t xml:space="preserve"> </w:t>
              <mc:AlternateContent>
                <mc:Choice Requires="wpg">
                  <w:drawing>
                    <wp:inline xmlns:wp="http://schemas.openxmlformats.org/drawingml/2006/wordprocessingDrawing" distT="0" distB="0" distL="0" distR="0">
                      <wp:extent cx="6048375" cy="4136860"/>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311814" name=""/>
                              <pic:cNvPicPr>
                                <a:picLocks noChangeAspect="1"/>
                              </pic:cNvPicPr>
                              <pic:nvPr/>
                            </pic:nvPicPr>
                            <pic:blipFill rotWithShape="1">
                              <a:blip r:embed="rId17"/>
                              <a:stretch/>
                            </pic:blipFill>
                            <pic:spPr bwMode="auto">
                              <a:xfrm>
                                <a:off x="0" y="0"/>
                                <a:ext cx="6048374" cy="413686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76.25pt;height:325.74pt;mso-wrap-distance-left:0.00pt;mso-wrap-distance-top:0.00pt;mso-wrap-distance-right:0.00pt;mso-wrap-distance-bottom:0.00pt;z-index:1;" stroked="false">
                      <v:imagedata r:id="rId17" o:title=""/>
                      <o:lock v:ext="edit" rotation="t"/>
                    </v:shape>
                  </w:pict>
                </mc:Fallback>
              </mc:AlternateContent>
            </w: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b/>
                <w:color w:val="000000"/>
                <w:sz w:val="24"/>
              </w:rPr>
              <w:t xml:space="preserve">2.2.</w:t>
            </w:r>
            <w:r/>
          </w:p>
        </w:tc>
        <w:tc>
          <w:tcPr>
            <w:gridSpan w:val="4"/>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92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b/>
                <w:color w:val="000000"/>
                <w:sz w:val="24"/>
              </w:rPr>
              <w:t xml:space="preserve">Diện tích; Kích thước; Hình dáng</w:t>
            </w: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b/>
                <w:color w:val="000000"/>
                <w:sz w:val="24"/>
              </w:rPr>
              <w:t xml:space="preserve">2.2.1</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2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b/>
                <w:color w:val="000000"/>
                <w:sz w:val="24"/>
              </w:rPr>
              <w:t xml:space="preserve">Thửa đất 560:</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6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b/>
                <w:color w:val="000000"/>
                <w:sz w:val="24"/>
              </w:rPr>
              <w:t xml:space="preserve">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b/>
                <w:color w:val="000000"/>
                <w:sz w:val="24"/>
              </w:rPr>
              <w:t xml:space="preserve">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b/>
                <w:color w:val="000000"/>
                <w:sz w:val="24"/>
              </w:rPr>
              <w:t xml:space="preserve"> </w:t>
            </w: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2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Diện tích sử dụng riêng thực tế (m²):</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6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127,5</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Diện tích sử dụng chung thực tế (m²):</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0</w:t>
            </w: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2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KT mặt tiền (m)</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6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Khoảng 5m</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Chiều sâu (m):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25,5m</w:t>
            </w: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2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Hình dáng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6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Vuông vức</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Hướng mặt tiền:</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Hướng đông</w:t>
            </w: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b/>
                <w:color w:val="000000"/>
                <w:sz w:val="24"/>
              </w:rPr>
              <w:t xml:space="preserve">2.2.2</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2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b/>
                <w:color w:val="000000"/>
                <w:sz w:val="24"/>
              </w:rPr>
              <w:t xml:space="preserve">Thửa đất 561:</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6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 </w:t>
            </w: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2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Diện tích sử dụng riêng thực tế (m²):</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6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Tại thời điểm thẩm định giá, tổ thẩm định chưa thu thập được các thông tin quy hoạch liên quan đến thửa đất thẩm định giá.</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Diện tích sử dụng chung thực tế (m²):</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0</w:t>
            </w: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2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KT mặt tiền (m)</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6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Khoảng 5m</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Chiều sâu (m):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25,5m</w:t>
            </w: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2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Hình dáng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6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Vuông vức</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Hướng mặt tiền:</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Hướng đông</w:t>
            </w: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b/>
                <w:color w:val="000000"/>
                <w:sz w:val="24"/>
              </w:rPr>
              <w:t xml:space="preserve">2.2.2</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2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b/>
                <w:color w:val="000000"/>
                <w:sz w:val="24"/>
              </w:rPr>
              <w:t xml:space="preserve">Thửa đất 562:</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6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 </w:t>
            </w: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2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Diện tích sử dụng riêng thực tế (m²):</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6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Tổ dân phố 6, thị trấn Tằng Loỏng, huyện Bảo Thắng, tỉnh Lào Cai (này là xã Tằng Loỏng, tỉnh Lào Cai)</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Diện tích sử dụng chung thực tế (m²):</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0</w:t>
            </w: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2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KT mặt tiền (m)</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6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Khoảng 5m</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Chiều sâu (m):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25,5m</w:t>
            </w: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2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Hình dáng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6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Vuông vức</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Hướng mặt tiền:</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Hướng đông</w:t>
            </w: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b/>
                <w:color w:val="000000"/>
                <w:sz w:val="24"/>
              </w:rPr>
              <w:t xml:space="preserve">2.3.</w:t>
            </w:r>
            <w:r/>
          </w:p>
        </w:tc>
        <w:tc>
          <w:tcPr>
            <w:gridSpan w:val="4"/>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92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b/>
                <w:color w:val="000000"/>
                <w:sz w:val="24"/>
              </w:rPr>
              <w:t xml:space="preserve">Điều kiện kinh doanh; Hạ tầng nội bộ; Hạ tầng xung quanh</w:t>
            </w: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2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Hạ tầng nội bộ:</w:t>
            </w:r>
            <w:r/>
          </w:p>
        </w:tc>
        <w:tc>
          <w:tcPr>
            <w:gridSpan w:val="3"/>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0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Hạ tầng cấp nước: Nước máy, Hạ tầng thoát nước: Tự nhiên, Hạ tầng cấp điện: Điện lưới, Hạ tầng thông tin liên lạc: Điện thoại, Mạng internet, Truyền hình cáp</w:t>
            </w: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2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Hạ tầng xung quanh:</w:t>
            </w:r>
            <w:r/>
          </w:p>
        </w:tc>
        <w:tc>
          <w:tcPr>
            <w:gridSpan w:val="3"/>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0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Môi trường trong lành, an ninh đảm bảo, dân trí tốt</w:t>
            </w: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2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Mật độ dân cư:</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6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Đông đúc</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Đời sống dân cư:</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Ổn định</w:t>
            </w: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2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Lợi thế kinh doanh:</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6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Tốt</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Khả năng chuyển nhượng: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Tốt </w:t>
            </w: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b/>
                <w:color w:val="000000"/>
                <w:sz w:val="24"/>
              </w:rPr>
              <w:t xml:space="preserve">3.</w:t>
            </w:r>
            <w:r/>
          </w:p>
        </w:tc>
        <w:tc>
          <w:tcPr>
            <w:gridSpan w:val="4"/>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92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b/>
                <w:color w:val="000000"/>
                <w:sz w:val="24"/>
              </w:rPr>
              <w:t xml:space="preserve"> Tài sản gắn liền với đất</w:t>
            </w: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w:t>
            </w:r>
            <w:r/>
          </w:p>
        </w:tc>
        <w:tc>
          <w:tcPr>
            <w:gridSpan w:val="4"/>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92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01 nhà xưởng kết cấu tường gạch phía trên quân tôn, mái tôn. Hiện trạng công trình xây dựng trên đã cũ. Hiện trạng Công trình xây dựng trên đất chưa được chứng nhận trên Giấy chứng nhận quyền sử dụng đất quyền sở hữu tài sản gắn liền với đất số BK 713663, </w:t>
            </w:r>
            <w:r>
              <w:rPr>
                <w:rFonts w:ascii="Times New Roman" w:hAnsi="Times New Roman" w:eastAsia="Times New Roman" w:cs="Times New Roman"/>
                <w:color w:val="000000"/>
                <w:sz w:val="24"/>
              </w:rPr>
              <w:t xml:space="preserve">BK 713664 và BK 711045.</w:t>
            </w:r>
            <w:r/>
          </w:p>
        </w:tc>
      </w:tr>
    </w:tbl>
    <w:p>
      <w:pPr>
        <w:pBdr/>
        <w:spacing w:line="276" w:lineRule="auto"/>
        <w:ind w:right="0" w:firstLine="0" w:left="0"/>
        <w:jc w:val="both"/>
        <w:rPr>
          <w:b/>
          <w:bCs/>
          <w:u w:val="single"/>
        </w:rPr>
      </w:pPr>
      <w:r>
        <w:rPr>
          <w:b/>
          <w:bCs/>
          <w:u w:val="single"/>
        </w:rPr>
      </w:r>
      <w:r>
        <w:rPr>
          <w:b/>
          <w:bCs/>
          <w:u w:val="single"/>
        </w:rPr>
      </w:r>
      <w:r>
        <w:rPr>
          <w:b/>
          <w:bCs/>
          <w:u w:val="single"/>
        </w:rPr>
      </w:r>
    </w:p>
    <w:p>
      <w:pPr>
        <w:pBdr/>
        <w:spacing w:line="276" w:lineRule="auto"/>
        <w:ind w:right="0" w:firstLine="0" w:left="0"/>
        <w:jc w:val="both"/>
        <w:rPr>
          <w:b/>
          <w:bCs/>
          <w:color w:val="ff0000"/>
          <w:u w:val="single"/>
        </w:rPr>
      </w:pPr>
      <w:r>
        <w:rPr>
          <w:b/>
          <w:bCs/>
          <w:color w:val="ff0000"/>
          <w:highlight w:val="none"/>
          <w:u w:val="single"/>
        </w:rPr>
        <w:t xml:space="preserve">Ghi chú: </w:t>
      </w:r>
      <w:r>
        <w:rPr>
          <w:rFonts w:ascii="Times New Roman" w:hAnsi="Times New Roman" w:eastAsia="Times New Roman" w:cs="Times New Roman"/>
          <w:b w:val="0"/>
          <w:bCs w:val="0"/>
          <w:i w:val="0"/>
          <w:iCs w:val="0"/>
          <w:color w:val="ff0000"/>
          <w:sz w:val="24"/>
          <w:szCs w:val="24"/>
        </w:rPr>
        <w:t xml:space="preserve">Trên các giấy chứng nhận không thể hiện sơ đồ của thửa đất, tổ thẩm định đã yêu cầu và không được cung cấp thêm hồ sơ nào khác liên quan đến các thửa đất, qua khảo sát thực tế dưới sự hướng dẫn của khách hàng, 3 thửa đất thẩm định có kích thước, diện tích và hình dáng giống hệt nhau, kích thước đo mỗi thửa là 5x25,5m, hình dáng vuông vức, trên 3 thửa đấ</w:t>
      </w:r>
      <w:r>
        <w:rPr>
          <w:rFonts w:ascii="Times New Roman" w:hAnsi="Times New Roman" w:eastAsia="Times New Roman" w:cs="Times New Roman"/>
          <w:b w:val="0"/>
          <w:bCs w:val="0"/>
          <w:i w:val="0"/>
          <w:iCs w:val="0"/>
          <w:color w:val="ff0000"/>
          <w:sz w:val="24"/>
          <w:szCs w:val="24"/>
        </w:rPr>
        <w:t xml:space="preserve">t này có 01 nhà xưởng. Tổ thẩm định giả định các thông tin đã khảo sát được là trùng khớp với thông tin được cấp tại </w:t>
      </w:r>
      <w:r>
        <w:rPr>
          <w:rFonts w:ascii="Times New Roman" w:hAnsi="Times New Roman" w:eastAsia="Times New Roman" w:cs="Times New Roman"/>
          <w:b w:val="0"/>
          <w:bCs w:val="0"/>
          <w:i w:val="0"/>
          <w:iCs w:val="0"/>
          <w:color w:val="ff0000"/>
          <w:sz w:val="24"/>
          <w:szCs w:val="24"/>
        </w:rPr>
        <w:t xml:space="preserve">Giấy chứng nhận quyền sử dụng đất quyền sở hữu tài sản gắn liền với đất số: BK 713663, số vào sổ cấp GCN: CH 01114 do UBND huyện Bảo Thắng cấp ngày 12/4/2012 cho ông Bùi Đức Toàn; Giấy chứng nhận quyền sử dụng đất quyền sở hữu tài sản gắn liền với đất số: </w:t>
      </w:r>
      <w:r>
        <w:rPr>
          <w:rFonts w:ascii="Times New Roman" w:hAnsi="Times New Roman" w:eastAsia="Times New Roman" w:cs="Times New Roman"/>
          <w:b w:val="0"/>
          <w:bCs w:val="0"/>
          <w:i w:val="0"/>
          <w:iCs w:val="0"/>
          <w:color w:val="ff0000"/>
          <w:sz w:val="24"/>
          <w:szCs w:val="24"/>
        </w:rPr>
        <w:t xml:space="preserve">BK 713664, số vào sổ cấp GCN: CH 01114 do UBND huyện Bảo Thắng cấp ngày 12/4/2012 cho ông Bùi Đức Toàn và Giấy chứng nhận quyền sử dụng đất quyền sở hữu tài sản gắn liền với đất số: BK 711045, số vào sổ cấp GCN: CH01348 do UBND huyện Bảo Thắng cấp ngày 12/</w:t>
      </w:r>
      <w:r>
        <w:rPr>
          <w:rFonts w:ascii="Times New Roman" w:hAnsi="Times New Roman" w:eastAsia="Times New Roman" w:cs="Times New Roman"/>
          <w:b w:val="0"/>
          <w:bCs w:val="0"/>
          <w:i w:val="0"/>
          <w:iCs w:val="0"/>
          <w:color w:val="ff0000"/>
          <w:sz w:val="24"/>
          <w:szCs w:val="24"/>
        </w:rPr>
        <w:t xml:space="preserve">4/2012 cho ông Bùi Đức Toàn</w:t>
      </w:r>
      <w:r>
        <w:rPr>
          <w:rFonts w:ascii="Times New Roman" w:hAnsi="Times New Roman" w:eastAsia="Times New Roman" w:cs="Times New Roman"/>
          <w:b w:val="0"/>
          <w:bCs w:val="0"/>
          <w:i w:val="0"/>
          <w:iCs w:val="0"/>
          <w:color w:val="ff0000"/>
          <w:sz w:val="24"/>
          <w:szCs w:val="24"/>
        </w:rPr>
        <w:t xml:space="preserve">.</w:t>
      </w:r>
      <w:r>
        <w:rPr>
          <w:b/>
          <w:bCs/>
          <w:color w:val="ff0000"/>
          <w:highlight w:val="none"/>
          <w:u w:val="single"/>
        </w:rPr>
      </w:r>
      <w:r>
        <w:rPr>
          <w:b/>
          <w:bCs/>
          <w:color w:val="ff0000"/>
          <w:highlight w:val="none"/>
          <w:u w:val="single"/>
        </w:rPr>
      </w:r>
    </w:p>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pPr>
      <w:r>
        <w:rPr>
          <w:rFonts w:ascii="Times New Roman" w:hAnsi="Times New Roman" w:eastAsia="Times New Roman" w:cs="Times New Roman"/>
          <w:b/>
          <w:color w:val="000000"/>
          <w:sz w:val="24"/>
        </w:rPr>
        <w:t xml:space="preserve">V. CÁC GIẢ THIẾT VÀ GIẢ THIẾT ĐẶC BIỆT</w:t>
      </w:r>
      <w:r/>
    </w:p>
    <w:p>
      <w:pPr>
        <w:numPr>
          <w:ilvl w:val="0"/>
          <w:numId w:val="40"/>
        </w:numPr>
        <w:pBdr>
          <w:top w:val="none" w:color="000000" w:sz="4" w:space="0"/>
          <w:left w:val="none" w:color="000000" w:sz="4" w:space="0"/>
          <w:bottom w:val="none" w:color="000000" w:sz="4" w:space="0"/>
          <w:right w:val="none" w:color="000000" w:sz="4" w:space="0"/>
        </w:pBdr>
        <w:spacing w:after="120" w:before="120" w:line="276" w:lineRule="auto"/>
        <w:ind w:right="0" w:hanging="283" w:left="283"/>
        <w:jc w:val="both"/>
        <w:rPr>
          <w:rFonts w:ascii="Times New Roman" w:hAnsi="Times New Roman" w:eastAsia="Times New Roman" w:cs="Times New Roman"/>
          <w:b w:val="0"/>
          <w:bCs w:val="0"/>
          <w:i w:val="0"/>
          <w:color w:val="000000"/>
          <w:sz w:val="24"/>
          <w:szCs w:val="24"/>
          <w14:ligatures w14:val="none"/>
        </w:rPr>
      </w:pPr>
      <w:r>
        <w:rPr>
          <w:rFonts w:ascii="Times New Roman" w:hAnsi="Times New Roman" w:eastAsia="Times New Roman" w:cs="Times New Roman"/>
          <w:b w:val="0"/>
          <w:bCs w:val="0"/>
          <w:i w:val="0"/>
          <w:iCs w:val="0"/>
          <w:color w:val="000000"/>
          <w:sz w:val="24"/>
          <w:szCs w:val="24"/>
          <w:lang w:val="undefined"/>
        </w:rPr>
        <w:t xml:space="preserve">Chúng tôi giả định rằng tài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w:t>
      </w:r>
      <w:r>
        <w:rPr>
          <w:rFonts w:ascii="Times New Roman" w:hAnsi="Times New Roman" w:eastAsia="Times New Roman" w:cs="Times New Roman"/>
          <w:b w:val="0"/>
          <w:bCs w:val="0"/>
          <w:i w:val="0"/>
          <w:iCs w:val="0"/>
          <w:color w:val="000000"/>
          <w:sz w:val="24"/>
          <w:szCs w:val="24"/>
          <w:lang w:val="undefined"/>
        </w:rPr>
        <w:t xml:space="preserve"> trừ mọi trách nhiệm phát sinh, liên đới (nếu có) trong trường hợp này.</w:t>
      </w:r>
      <w:r>
        <w:rPr>
          <w:rFonts w:ascii="Times New Roman" w:hAnsi="Times New Roman" w:eastAsia="Times New Roman" w:cs="Times New Roman"/>
          <w:b w:val="0"/>
          <w:bCs w:val="0"/>
          <w:i w:val="0"/>
          <w:iCs w:val="0"/>
          <w:color w:val="000000"/>
          <w:sz w:val="24"/>
          <w:szCs w:val="24"/>
          <w:lang w:val="undefined"/>
        </w:rPr>
      </w:r>
    </w:p>
    <w:p>
      <w:pPr>
        <w:numPr>
          <w:ilvl w:val="0"/>
          <w:numId w:val="40"/>
        </w:numPr>
        <w:pBdr>
          <w:top w:val="none" w:color="000000" w:sz="4" w:space="0"/>
          <w:left w:val="none" w:color="000000" w:sz="4" w:space="0"/>
          <w:bottom w:val="none" w:color="000000" w:sz="4" w:space="0"/>
          <w:right w:val="none" w:color="000000" w:sz="4" w:space="0"/>
        </w:pBdr>
        <w:spacing w:after="120" w:before="120" w:line="276" w:lineRule="auto"/>
        <w:ind w:right="0" w:hanging="283" w:left="283"/>
        <w:jc w:val="both"/>
        <w:rPr>
          <w:rFonts w:ascii="Times New Roman" w:hAnsi="Times New Roman" w:eastAsia="Times New Roman" w:cs="Times New Roman"/>
          <w:b w:val="0"/>
          <w:bCs w:val="0"/>
          <w:i w:val="0"/>
          <w:color w:val="000000"/>
          <w:sz w:val="24"/>
          <w:szCs w:val="24"/>
          <w14:ligatures w14:val="none"/>
        </w:rPr>
      </w:pPr>
      <w:r>
        <w:rPr>
          <w:rFonts w:ascii="Times New Roman" w:hAnsi="Times New Roman" w:eastAsia="Times New Roman" w:cs="Times New Roman"/>
          <w:b w:val="0"/>
          <w:bCs w:val="0"/>
          <w:i w:val="0"/>
          <w:iCs w:val="0"/>
          <w:color w:val="000000"/>
          <w:sz w:val="24"/>
          <w:szCs w:val="24"/>
          <w:lang w:val="undefined"/>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rFonts w:ascii="Times New Roman" w:hAnsi="Times New Roman" w:eastAsia="Times New Roman" w:cs="Times New Roman"/>
          <w:b w:val="0"/>
          <w:bCs w:val="0"/>
          <w:i w:val="0"/>
          <w:iCs w:val="0"/>
          <w:color w:val="000000"/>
          <w:sz w:val="24"/>
          <w:szCs w:val="24"/>
          <w:lang w:val="undefined"/>
        </w:rPr>
      </w:r>
    </w:p>
    <w:p>
      <w:pPr>
        <w:numPr>
          <w:ilvl w:val="0"/>
          <w:numId w:val="40"/>
        </w:numPr>
        <w:pBdr>
          <w:top w:val="none" w:color="000000" w:sz="4" w:space="0"/>
          <w:left w:val="none" w:color="000000" w:sz="4" w:space="0"/>
          <w:bottom w:val="none" w:color="000000" w:sz="4" w:space="0"/>
          <w:right w:val="none" w:color="000000" w:sz="4" w:space="0"/>
        </w:pBdr>
        <w:spacing w:after="120" w:before="120" w:line="276" w:lineRule="auto"/>
        <w:ind w:right="0" w:hanging="283" w:left="283"/>
        <w:jc w:val="both"/>
        <w:rPr>
          <w:rFonts w:ascii="Times New Roman" w:hAnsi="Times New Roman" w:eastAsia="Times New Roman" w:cs="Times New Roman"/>
          <w:b w:val="0"/>
          <w:bCs w:val="0"/>
          <w:i w:val="0"/>
          <w:color w:val="000000"/>
          <w:sz w:val="24"/>
          <w:szCs w:val="24"/>
          <w14:ligatures w14:val="none"/>
        </w:rPr>
      </w:pPr>
      <w:r>
        <w:rPr>
          <w:rFonts w:ascii="Times New Roman" w:hAnsi="Times New Roman" w:eastAsia="Times New Roman" w:cs="Times New Roman"/>
          <w:b w:val="0"/>
          <w:bCs w:val="0"/>
          <w:i w:val="0"/>
          <w:iCs w:val="0"/>
          <w:color w:val="000000"/>
          <w:sz w:val="24"/>
          <w:szCs w:val="24"/>
          <w:lang w:val="undefined"/>
        </w:rPr>
        <w:t xml:space="preserve">Trên giấy chứng nhận không thể hiện sơ đồ của thửa đất, qua khảo sát thực tế dưới sự hướng dẫn của khách hàng, 3 thửa đất thẩm định có kích thước, diện tích và hình dáng giống hệt nhau, kích thước đo mỗi thửa là 5x25,5m, hình dáng vuông vức, trên 3 thửa đấ</w:t>
      </w:r>
      <w:r>
        <w:rPr>
          <w:rFonts w:ascii="Times New Roman" w:hAnsi="Times New Roman" w:eastAsia="Times New Roman" w:cs="Times New Roman"/>
          <w:b w:val="0"/>
          <w:bCs w:val="0"/>
          <w:i w:val="0"/>
          <w:iCs w:val="0"/>
          <w:color w:val="000000"/>
          <w:sz w:val="24"/>
          <w:szCs w:val="24"/>
          <w:lang w:val="undefined"/>
        </w:rPr>
        <w:t xml:space="preserve">t này có 01 nhà xưởng. Tổ thẩm định giả định các thông tin đã khảo sát được là trùng khớp với thông tin được cấp tại </w:t>
      </w:r>
      <w:r>
        <w:rPr>
          <w:rFonts w:ascii="Times New Roman" w:hAnsi="Times New Roman" w:eastAsia="Times New Roman" w:cs="Times New Roman"/>
          <w:b w:val="0"/>
          <w:bCs w:val="0"/>
          <w:i w:val="0"/>
          <w:iCs w:val="0"/>
          <w:color w:val="000000"/>
          <w:sz w:val="24"/>
          <w:szCs w:val="24"/>
          <w:lang w:val="undefined"/>
        </w:rPr>
        <w:t xml:space="preserve">Giấy chứng nhận quyền sử dụng đất quyền sở hữu tài sản gắn liền với đất số: BK 713663, số vào sổ cấp GCN: CH 01114 do UBND huyện Bảo Thắng cấp ngày 12/4/2012 cho ông Bùi Đức Toàn; Giấy chứng nhận quyền sử dụng đất quyền sở hữu tài sản gắn liền với đất số: </w:t>
      </w:r>
      <w:r>
        <w:rPr>
          <w:rFonts w:ascii="Times New Roman" w:hAnsi="Times New Roman" w:eastAsia="Times New Roman" w:cs="Times New Roman"/>
          <w:b w:val="0"/>
          <w:bCs w:val="0"/>
          <w:i w:val="0"/>
          <w:iCs w:val="0"/>
          <w:color w:val="000000"/>
          <w:sz w:val="24"/>
          <w:szCs w:val="24"/>
          <w:lang w:val="undefined"/>
        </w:rPr>
        <w:t xml:space="preserve">BK 713664, số vào sổ cấp GCN: CH 01114 do UBND huyện Bảo Thắng cấp ngày 12/4/2012 cho ông Bùi Đức Toàn và Giấy chứng nhận quyền sử dụng đất quyền sở hữu tài sản gắn liền với đất số: BK 711045, số vào sổ cấp GCN: CH01348 do UBND huyện Bảo Thắng cấp ngày 12/</w:t>
      </w:r>
      <w:r>
        <w:rPr>
          <w:rFonts w:ascii="Times New Roman" w:hAnsi="Times New Roman" w:eastAsia="Times New Roman" w:cs="Times New Roman"/>
          <w:b w:val="0"/>
          <w:bCs w:val="0"/>
          <w:i w:val="0"/>
          <w:iCs w:val="0"/>
          <w:color w:val="000000"/>
          <w:sz w:val="24"/>
          <w:szCs w:val="24"/>
          <w:lang w:val="undefined"/>
        </w:rPr>
        <w:t xml:space="preserve">4/2012 cho ông Bùi Đức Toàn</w:t>
      </w:r>
      <w:r>
        <w:rPr>
          <w:rFonts w:ascii="Times New Roman" w:hAnsi="Times New Roman" w:eastAsia="Times New Roman" w:cs="Times New Roman"/>
          <w:b w:val="0"/>
          <w:bCs w:val="0"/>
          <w:i w:val="0"/>
          <w:iCs w:val="0"/>
          <w:color w:val="000000"/>
          <w:sz w:val="24"/>
          <w:szCs w:val="24"/>
          <w:lang w:val="undefined"/>
        </w:rPr>
        <w:t xml:space="preserve">. Sau ngày phát hành chứng có văn bản xác thực liên quan đến hình dáng, kích thước của sổ thì sẽ được thẩm định bằng 1 cuộc thẩm định giá khác. Kính đề nghị đơn vị sử dụng chứng thư lưu ý và xem xét.</w:t>
      </w:r>
      <w:r>
        <w:rPr>
          <w:rFonts w:ascii="Times New Roman" w:hAnsi="Times New Roman" w:eastAsia="Times New Roman" w:cs="Times New Roman"/>
          <w:b w:val="0"/>
          <w:bCs w:val="0"/>
          <w:i w:val="0"/>
          <w:iCs w:val="0"/>
          <w:color w:val="000000"/>
          <w:sz w:val="24"/>
          <w:szCs w:val="24"/>
          <w:lang w:val="undefined"/>
        </w:rPr>
      </w:r>
    </w:p>
    <w:p>
      <w:pPr>
        <w:pBdr>
          <w:top w:val="none" w:color="000000" w:sz="4" w:space="0"/>
          <w:left w:val="none" w:color="000000" w:sz="4" w:space="0"/>
          <w:bottom w:val="none" w:color="000000" w:sz="4" w:space="0"/>
          <w:right w:val="none" w:color="000000" w:sz="4" w:space="0"/>
        </w:pBdr>
        <w:spacing w:after="120" w:before="240" w:line="276" w:lineRule="auto"/>
        <w:ind w:right="0" w:firstLine="0" w:left="0"/>
        <w:rPr/>
      </w:pPr>
      <w:r>
        <w:rPr>
          <w:rFonts w:ascii="Times New Roman" w:hAnsi="Times New Roman" w:eastAsia="Times New Roman" w:cs="Times New Roman"/>
          <w:b/>
          <w:color w:val="000000"/>
          <w:sz w:val="24"/>
        </w:rPr>
        <w:t xml:space="preserve">VI. CƠ SỞ GIÁ TRỊ THẨM ĐỊNH GIÁ </w:t>
      </w:r>
      <w:r/>
    </w:p>
    <w:p>
      <w:pPr>
        <w:numPr>
          <w:ilvl w:val="0"/>
          <w:numId w:val="40"/>
        </w:numPr>
        <w:pBdr>
          <w:top w:val="none" w:color="000000" w:sz="4" w:space="0"/>
          <w:left w:val="none" w:color="000000" w:sz="4" w:space="0"/>
          <w:bottom w:val="none" w:color="000000" w:sz="4" w:space="0"/>
          <w:right w:val="none" w:color="000000" w:sz="4" w:space="0"/>
        </w:pBdr>
        <w:spacing w:after="120" w:before="120" w:line="276" w:lineRule="auto"/>
        <w:ind w:right="0" w:hanging="283" w:left="283"/>
        <w:jc w:val="both"/>
        <w:rPr>
          <w:rFonts w:ascii="Times New Roman" w:hAnsi="Times New Roman" w:eastAsia="Times New Roman" w:cs="Times New Roman"/>
          <w:bCs/>
          <w:i/>
          <w:color w:val="000000"/>
          <w:sz w:val="24"/>
          <w:szCs w:val="24"/>
          <w14:ligatures w14:val="none"/>
        </w:rPr>
      </w:pPr>
      <w:r>
        <w:rPr>
          <w:rFonts w:ascii="Times New Roman" w:hAnsi="Times New Roman" w:eastAsia="Times New Roman" w:cs="Times New Roman"/>
          <w:b/>
          <w:bCs/>
          <w:i/>
          <w:iCs/>
          <w:color w:val="000000"/>
          <w:sz w:val="24"/>
          <w:szCs w:val="24"/>
          <w:lang w:val="undefined"/>
        </w:rPr>
        <w:t xml:space="preserve">Giá trị thị trường:</w:t>
      </w:r>
      <w:r>
        <w:rPr>
          <w:rFonts w:ascii="Times New Roman" w:hAnsi="Times New Roman" w:eastAsia="Times New Roman" w:cs="Times New Roman"/>
          <w:b/>
          <w:bCs/>
          <w:i/>
          <w:iCs/>
          <w:color w:val="000000"/>
          <w:sz w:val="24"/>
          <w:szCs w:val="24"/>
          <w:lang w:val="undefined"/>
        </w:rPr>
        <w:t xml:space="preserve"> </w:t>
      </w:r>
      <w:r>
        <w:rPr>
          <w:rFonts w:ascii="Times New Roman" w:hAnsi="Times New Roman" w:eastAsia="Times New Roman" w:cs="Times New Roman"/>
          <w:i/>
          <w:iCs/>
          <w:color w:val="000000"/>
          <w:sz w:val="24"/>
          <w:szCs w:val="24"/>
        </w:rPr>
        <w:t xml:space="preserve">Kết quả thẩm định giá trị tài sản được xác định dựa trên cơ sở giá trị thị trường tại thời điểm thẩm định theo Chuẩn mực thẩm định giá Việt Nam về Cơ sở giá trị thẩm định giá: </w:t>
      </w:r>
      <w:r>
        <w:rPr>
          <w:rFonts w:ascii="Times New Roman" w:hAnsi="Times New Roman" w:eastAsia="Times New Roman" w:cs="Times New Roman"/>
          <w:i/>
          <w:iCs/>
          <w:color w:val="000000"/>
          <w:sz w:val="24"/>
          <w:szCs w:val="24"/>
          <w:lang w:val="undefined"/>
        </w:rPr>
        <w:t xml:space="preserve">“Giá trị thị trường là khoản tiền ước 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w:t>
      </w:r>
      <w:r>
        <w:rPr>
          <w:rFonts w:ascii="Times New Roman" w:hAnsi="Times New Roman" w:eastAsia="Times New Roman" w:cs="Times New Roman"/>
          <w:i/>
          <w:iCs/>
          <w:color w:val="000000"/>
          <w:sz w:val="24"/>
          <w:szCs w:val="24"/>
          <w:lang w:val="undefined"/>
        </w:rPr>
        <w:t xml:space="preserve">u biết, thận trọng và không bị ép buộc”</w:t>
      </w:r>
      <w:r>
        <w:rPr>
          <w:rFonts w:ascii="Times New Roman" w:hAnsi="Times New Roman" w:eastAsia="Times New Roman" w:cs="Times New Roman"/>
          <w:i/>
          <w:iCs/>
          <w:color w:val="000000"/>
          <w:sz w:val="24"/>
          <w:szCs w:val="24"/>
          <w:lang w:val="undefined"/>
        </w:rPr>
        <w:t xml:space="preserve">.</w:t>
      </w:r>
      <w:r>
        <w:rPr>
          <w:rFonts w:ascii="Times New Roman" w:hAnsi="Times New Roman" w:eastAsia="Times New Roman" w:cs="Times New Roman"/>
          <w:i/>
          <w:iCs/>
          <w:color w:val="000000"/>
          <w:sz w:val="24"/>
          <w:szCs w:val="24"/>
          <w:lang w:val="undefined"/>
        </w:rPr>
      </w:r>
    </w:p>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pPr>
      <w:r>
        <w:rPr>
          <w:rFonts w:ascii="Times New Roman" w:hAnsi="Times New Roman" w:eastAsia="Times New Roman" w:cs="Times New Roman"/>
          <w:b/>
          <w:color w:val="000000"/>
          <w:sz w:val="24"/>
        </w:rPr>
        <w:t xml:space="preserve">VII. CÁCH TIẾP CẬN, PHƯƠNG PHÁP THẨM ĐỊNH GIÁ</w:t>
      </w:r>
      <w:r/>
    </w:p>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pPr>
      <w:r>
        <w:rPr>
          <w:rFonts w:ascii="Times New Roman" w:hAnsi="Times New Roman" w:eastAsia="Times New Roman" w:cs="Times New Roman"/>
          <w:b/>
          <w:color w:val="000000"/>
          <w:sz w:val="24"/>
        </w:rPr>
        <w:t xml:space="preserve">1. Cách tiếp cận và phương pháp thẩm định:</w:t>
      </w:r>
      <w:r/>
    </w:p>
    <w:p>
      <w:pPr>
        <w:numPr>
          <w:ilvl w:val="0"/>
          <w:numId w:val="40"/>
        </w:numPr>
        <w:pBdr>
          <w:top w:val="none" w:color="000000" w:sz="4" w:space="0"/>
          <w:left w:val="none" w:color="000000" w:sz="4" w:space="0"/>
          <w:bottom w:val="none" w:color="000000" w:sz="4" w:space="0"/>
          <w:right w:val="none" w:color="000000" w:sz="4" w:space="0"/>
        </w:pBdr>
        <w:spacing w:after="120" w:before="120" w:line="276" w:lineRule="auto"/>
        <w:ind w:right="0" w:hanging="283" w:left="283"/>
        <w:jc w:val="both"/>
        <w:rPr/>
      </w:pPr>
      <w:r>
        <w:rPr>
          <w:rFonts w:ascii="Times New Roman" w:hAnsi="Times New Roman" w:eastAsia="Times New Roman" w:cs="Times New Roman"/>
          <w:i/>
          <w:color w:val="000000"/>
          <w:sz w:val="24"/>
        </w:rPr>
        <w:t xml:space="preserve">Cách tiếp cận từ thị trường:</w:t>
      </w:r>
      <w:r>
        <w:rPr>
          <w:rFonts w:ascii="Times New Roman" w:hAnsi="Times New Roman" w:eastAsia="Times New Roman" w:cs="Times New Roman"/>
          <w:color w:val="000000"/>
          <w:sz w:val="24"/>
        </w:rPr>
        <w:t xml:space="preserve"> Xác định giá trị của tài sản thẩm định giá thông qua việc so sánh tài sản thẩm định giá với các tài sản so sánh đã có các thông tin về giá trên thị trường.</w:t>
      </w:r>
      <w:r/>
    </w:p>
    <w:p>
      <w:pPr>
        <w:numPr>
          <w:ilvl w:val="0"/>
          <w:numId w:val="40"/>
        </w:numPr>
        <w:pBdr>
          <w:top w:val="none" w:color="000000" w:sz="4" w:space="0"/>
          <w:left w:val="none" w:color="000000" w:sz="4" w:space="0"/>
          <w:bottom w:val="none" w:color="000000" w:sz="4" w:space="0"/>
          <w:right w:val="none" w:color="000000" w:sz="4" w:space="0"/>
        </w:pBdr>
        <w:spacing w:after="120" w:before="120" w:line="276" w:lineRule="auto"/>
        <w:ind w:right="0" w:hanging="283" w:left="283"/>
        <w:jc w:val="both"/>
        <w:rPr/>
      </w:pPr>
      <w:r>
        <w:rPr>
          <w:rFonts w:ascii="Times New Roman" w:hAnsi="Times New Roman" w:eastAsia="Times New Roman" w:cs="Times New Roman"/>
          <w:i/>
          <w:color w:val="000000"/>
          <w:sz w:val="24"/>
        </w:rPr>
        <w:t xml:space="preserve">Phương pháp so sánh:</w:t>
      </w:r>
      <w:r>
        <w:rPr>
          <w:rFonts w:ascii="Times New Roman" w:hAnsi="Times New Roman" w:eastAsia="Times New Roman" w:cs="Times New Roman"/>
          <w:color w:val="000000"/>
          <w:sz w:val="24"/>
        </w:rPr>
        <w:t xml:space="preserve"> Xác định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w:t>
      </w:r>
      <w:r>
        <w:rPr>
          <w:rFonts w:ascii="Times New Roman" w:hAnsi="Times New Roman" w:eastAsia="Times New Roman" w:cs="Times New Roman"/>
          <w:color w:val="000000"/>
          <w:sz w:val="24"/>
        </w:rPr>
        <w:t xml:space="preserve">nh giá.</w:t>
      </w:r>
      <w:r/>
    </w:p>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pPr>
      <w:r>
        <w:rPr>
          <w:rFonts w:ascii="Times New Roman" w:hAnsi="Times New Roman" w:eastAsia="Times New Roman" w:cs="Times New Roman"/>
          <w:b/>
          <w:color w:val="000000"/>
          <w:sz w:val="24"/>
        </w:rPr>
        <w:t xml:space="preserve">2. Xác định cách tiếp cận và phương pháp đối với tài sản thẩm định giá:</w:t>
      </w:r>
      <w:r/>
    </w:p>
    <w:p>
      <w:pPr>
        <w:numPr>
          <w:ilvl w:val="0"/>
          <w:numId w:val="40"/>
        </w:numPr>
        <w:pBdr>
          <w:top w:val="none" w:color="000000" w:sz="4" w:space="0"/>
          <w:left w:val="none" w:color="000000" w:sz="4" w:space="0"/>
          <w:bottom w:val="none" w:color="000000" w:sz="4" w:space="0"/>
          <w:right w:val="none" w:color="000000" w:sz="4" w:space="0"/>
        </w:pBdr>
        <w:spacing w:after="120" w:before="120" w:line="276" w:lineRule="auto"/>
        <w:ind w:right="0" w:hanging="283" w:left="283"/>
        <w:jc w:val="both"/>
        <w:rPr/>
      </w:pPr>
      <w:r>
        <w:rPr>
          <w:rFonts w:ascii="Times New Roman" w:hAnsi="Times New Roman" w:eastAsia="Times New Roman" w:cs="Times New Roman"/>
          <w:color w:val="000000"/>
          <w:spacing w:val="-2"/>
          <w:sz w:val="24"/>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làm trọng yếu để xác định giá trị</w:t>
      </w:r>
      <w:r>
        <w:rPr>
          <w:rFonts w:ascii="Times New Roman" w:hAnsi="Times New Roman" w:eastAsia="Times New Roman" w:cs="Times New Roman"/>
          <w:color w:val="000000"/>
          <w:spacing w:val="-2"/>
          <w:sz w:val="24"/>
        </w:rPr>
        <w:t xml:space="preserve"> quyền sử dụng đất của tài sản thẩm định giá</w:t>
      </w:r>
      <w:r>
        <w:rPr>
          <w:rFonts w:ascii="Times New Roman" w:hAnsi="Times New Roman" w:eastAsia="Times New Roman" w:cs="Times New Roman"/>
          <w:color w:val="000000"/>
          <w:sz w:val="24"/>
        </w:rPr>
        <w:t xml:space="preserve">.</w:t>
      </w:r>
      <w:r/>
    </w:p>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pPr>
      <w:r>
        <w:rPr>
          <w:rFonts w:ascii="Times New Roman" w:hAnsi="Times New Roman" w:eastAsia="Times New Roman" w:cs="Times New Roman"/>
          <w:b/>
          <w:color w:val="000000"/>
          <w:sz w:val="24"/>
        </w:rPr>
        <w:t xml:space="preserve">VIII. XÁC ĐỊNH GIÁ TRỊ CỦA TÀI SẢN CẦN THẨM ĐỊNH GIÁ:</w:t>
      </w:r>
      <w:r/>
    </w:p>
    <w:p>
      <w:pPr>
        <w:numPr>
          <w:ilvl w:val="0"/>
          <w:numId w:val="41"/>
        </w:numPr>
        <w:pBdr>
          <w:top w:val="none" w:color="000000" w:sz="4" w:space="0"/>
          <w:left w:val="none" w:color="000000" w:sz="4" w:space="0"/>
          <w:bottom w:val="none" w:color="000000" w:sz="4" w:space="0"/>
          <w:right w:val="none" w:color="000000" w:sz="4" w:space="0"/>
        </w:pBdr>
        <w:spacing w:after="0" w:before="120" w:line="276" w:lineRule="auto"/>
        <w:ind w:right="0" w:hanging="283" w:left="283"/>
        <w:jc w:val="both"/>
        <w:rPr/>
      </w:pPr>
      <w:r>
        <w:rPr>
          <w:rFonts w:ascii="Times New Roman" w:hAnsi="Times New Roman" w:eastAsia="Times New Roman" w:cs="Times New Roman"/>
          <w:b/>
          <w:color w:val="000000"/>
          <w:sz w:val="24"/>
        </w:rPr>
        <w:t xml:space="preserve">Xác định đơn giá quyền sử dụng đất ở thửa đất số 560: </w:t>
      </w:r>
      <w:r/>
    </w:p>
    <w:p>
      <w:pPr>
        <w:pBdr>
          <w:top w:val="none" w:color="000000" w:sz="4" w:space="0"/>
          <w:left w:val="none" w:color="000000" w:sz="4" w:space="0"/>
          <w:bottom w:val="none" w:color="000000" w:sz="4" w:space="0"/>
          <w:right w:val="none" w:color="000000" w:sz="4" w:space="0"/>
        </w:pBdr>
        <w:spacing w:after="0" w:before="120" w:line="276" w:lineRule="auto"/>
        <w:ind w:right="0" w:firstLine="284" w:left="0"/>
        <w:jc w:val="both"/>
        <w:rPr/>
      </w:pPr>
      <w:r>
        <w:rPr>
          <w:rFonts w:ascii="Times New Roman" w:hAnsi="Times New Roman" w:eastAsia="Times New Roman" w:cs="Times New Roman"/>
          <w:color w:val="000000"/>
          <w:sz w:val="24"/>
        </w:rPr>
        <w:t xml:space="preserve">Qua khảo sát thị trường, tổ thẩm định thu thập được 03 giao dịch được cho là tương đồng về đặc điểm vị trí, giao thông, kích thước, mặt tiền, điều kiện hạ tầng và điều kiện xã hội,… với tài sản thẩm định giá, cụ thể như sau:</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283"/>
        <w:jc w:val="both"/>
        <w:rPr/>
      </w:pPr>
      <w:r>
        <w:rPr>
          <w:rFonts w:ascii="Times New Roman" w:hAnsi="Times New Roman" w:eastAsia="Times New Roman" w:cs="Times New Roman"/>
          <w:b/>
          <w:color w:val="000000"/>
          <w:sz w:val="24"/>
        </w:rPr>
        <w:t xml:space="preserve">Thông tin tài sản so sánh</w:t>
      </w:r>
      <w:r>
        <w:rPr>
          <w:rFonts w:ascii="Times New Roman" w:hAnsi="Times New Roman" w:eastAsia="Times New Roman" w:cs="Times New Roman"/>
          <w:color w:val="000000"/>
          <w:sz w:val="24"/>
        </w:rPr>
        <w:t xml:space="preserve">: </w:t>
      </w:r>
      <w:r/>
    </w:p>
    <w:tbl>
      <w:tblPr>
        <w:tblStyle w:val="1047"/>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fixed"/>
        <w:tblLook w:val="04A0" w:firstRow="1" w:lastRow="0" w:firstColumn="1" w:lastColumn="0" w:noHBand="0" w:noVBand="1"/>
      </w:tblPr>
      <w:tblGrid>
        <w:gridCol w:w="675"/>
        <w:gridCol w:w="2092"/>
        <w:gridCol w:w="1701"/>
        <w:gridCol w:w="1701"/>
        <w:gridCol w:w="1701"/>
        <w:gridCol w:w="1701"/>
      </w:tblGrid>
      <w:tr>
        <w:trPr>
          <w:trHeight w:val="30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top"/>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b/>
                <w:color w:val="000000"/>
                <w:sz w:val="24"/>
              </w:rPr>
              <w:t xml:space="preserve">STT</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92" w:type="dxa"/>
            <w:vAlign w:val="top"/>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b/>
                <w:color w:val="000000"/>
                <w:sz w:val="24"/>
              </w:rPr>
              <w:t xml:space="preserve">ĐẶC ĐIỂM BĐS</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b/>
                <w:color w:val="000000"/>
                <w:sz w:val="24"/>
              </w:rPr>
              <w:t xml:space="preserve">TSTĐ</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b/>
                <w:color w:val="000000"/>
                <w:sz w:val="24"/>
              </w:rPr>
              <w:t xml:space="preserve">TSSS1</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b/>
                <w:color w:val="000000"/>
                <w:sz w:val="24"/>
              </w:rPr>
              <w:t xml:space="preserve">TSSS2</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b/>
                <w:color w:val="000000"/>
                <w:sz w:val="24"/>
              </w:rPr>
              <w:t xml:space="preserve">TSSS3</w:t>
            </w:r>
            <w:r/>
          </w:p>
        </w:tc>
      </w:tr>
      <w:tr>
        <w:trPr>
          <w:trHeight w:val="308"/>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top"/>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b/>
                <w:color w:val="000000"/>
                <w:sz w:val="24"/>
              </w:rPr>
              <w:t xml:space="preserve">A</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92" w:type="dxa"/>
            <w:vAlign w:val="top"/>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b/>
                <w:color w:val="000000"/>
                <w:sz w:val="24"/>
              </w:rPr>
              <w:t xml:space="preserve">Thông tin về tài sản</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spacing w:after="0" w:before="0" w:line="276" w:lineRule="auto"/>
              <w:ind/>
              <w:rPr/>
            </w:pPr>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spacing w:after="0" w:before="0" w:line="276" w:lineRule="auto"/>
              <w:ind/>
              <w:rPr/>
            </w:pPr>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spacing w:after="0" w:before="0" w:line="276" w:lineRule="auto"/>
              <w:ind/>
              <w:rPr/>
            </w:pPr>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spacing w:after="0" w:before="0" w:line="276" w:lineRule="auto"/>
              <w:ind/>
              <w:rPr/>
            </w:pPr>
            <w:r/>
            <w:r/>
          </w:p>
        </w:tc>
      </w:tr>
      <w:tr>
        <w:trPr>
          <w:trHeight w:val="709"/>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1</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9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Địa chỉ</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Tổ dân phố 6, thị trấn Tằng Loỏng, huyện Bảo Thắng, tỉnh Lào Cai (này là xã Tằng Loỏng, tỉnh Lào Cai)</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Xã Tằng Loỏng, Tỉnh Lào Cai</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Xã Tằng Loỏng, Tỉnh Lào Cai</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Xã Tằng Loỏng, Tỉnh Lào Cai</w:t>
            </w:r>
            <w:r/>
          </w:p>
        </w:tc>
      </w:tr>
      <w:tr>
        <w:trPr>
          <w:trHeight w:val="2768"/>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2</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9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Nguồn tham khảo</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spacing w:after="0" w:before="0" w:line="276" w:lineRule="auto"/>
              <w:ind/>
              <w:rPr/>
            </w:pPr>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https://www.facebook.com/tran.hoa.bds.2025/posts/pfbid02E9g1iqVNJ79jf6XiQKvnEmzQ4GW48Ss8aEEHiqLoj8jJ1QDH19U4dvKg9SRJwCDel</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https://batdongsan.com.vn/ban-nha-mat-pho-duong-quoc-lo-151-thi-tran-tang-loong-405/ban-2-dat-tl151-8m-tien-dang-cho-thue-5tr-thang-pr44652822</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https://batdongsan.com.vn/ban-dat-duong-n13-thi-tran-tang-loong-405/999-trieu-100m2-tai-dinh-cu-lao-cai-15m-he-4m-kinh-doanh-pr44555933</w:t>
            </w:r>
            <w:r/>
          </w:p>
        </w:tc>
      </w:tr>
      <w:tr>
        <w:trPr>
          <w:trHeight w:val="923"/>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9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Thông tin liên lạc</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spacing w:after="0" w:before="0" w:line="276" w:lineRule="auto"/>
              <w:ind/>
              <w:rPr/>
            </w:pPr>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SDT: 09666655786</w:t>
              <w:br/>
              <w:t xml:space="preserve"> (Sale Chị Hoa)</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SDT: 0982621588</w:t>
              <w:br/>
              <w:t xml:space="preserve"> (Sale Minh Vi)</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SDT: 0985826871</w:t>
              <w:br/>
              <w:t xml:space="preserve"> (Sale Anh Thanh)</w:t>
            </w:r>
            <w:r/>
          </w:p>
        </w:tc>
      </w:tr>
      <w:tr>
        <w:trPr>
          <w:trHeight w:val="308"/>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3</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9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Tình trạng giao dịch</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spacing w:after="0" w:before="0" w:line="276" w:lineRule="auto"/>
              <w:ind/>
              <w:rPr/>
            </w:pPr>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Đang giao dịch</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Đang giao dịch</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Đang giao dịch</w:t>
            </w:r>
            <w:r/>
          </w:p>
        </w:tc>
      </w:tr>
      <w:tr>
        <w:trPr>
          <w:trHeight w:val="615"/>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4</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9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Thời điểm thu thập thông tin</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spacing w:after="0" w:before="0" w:line="276" w:lineRule="auto"/>
              <w:ind/>
              <w:rPr/>
            </w:pPr>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Tháng 01/2026</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Tháng 01/2026</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Tháng 01/2026</w:t>
            </w:r>
            <w:r/>
          </w:p>
        </w:tc>
      </w:tr>
      <w:tr>
        <w:trPr>
          <w:trHeight w:val="923"/>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5</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9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Tính chất giao dịch</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Giao dịch bình thường trên thị trường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Giao dịch bình thường trên thị trường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Giao dịch bình thường trên thị trường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Giao dịch bình thường trên thị trường</w:t>
            </w:r>
            <w:r/>
          </w:p>
        </w:tc>
      </w:tr>
      <w:tr>
        <w:trPr>
          <w:trHeight w:val="923"/>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6</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9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Pháp lý</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Có Giấy chứng nhận Quyền sử dụng đất</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Có Giấy chứng nhận Quyền sử dụng đất</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Có Giấy chứng nhận Quyền sử dụng đất</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Có Giấy chứng nhận Quyền sử dụng đất</w:t>
            </w:r>
            <w:r/>
          </w:p>
        </w:tc>
      </w:tr>
      <w:tr>
        <w:trPr>
          <w:trHeight w:val="123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7</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9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Mục đích sử dụng</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Đất ở tại đô thị (100m</w:t>
            </w:r>
            <w:r>
              <w:rPr>
                <w:rFonts w:ascii="Times New Roman" w:hAnsi="Times New Roman" w:eastAsia="Times New Roman" w:cs="Times New Roman"/>
                <w:color w:val="000000"/>
                <w:sz w:val="18"/>
                <w:vertAlign w:val="superscript"/>
              </w:rPr>
              <w:t xml:space="preserve">2</w:t>
            </w:r>
            <w:r>
              <w:rPr>
                <w:rFonts w:ascii="Times New Roman" w:hAnsi="Times New Roman" w:eastAsia="Times New Roman" w:cs="Times New Roman"/>
                <w:color w:val="000000"/>
                <w:sz w:val="22"/>
              </w:rPr>
              <w:t xml:space="preserve">)</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Đất ở tại đô thị (120 m²), Đất trồng cây lâu năm (40 m²)</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Đất ở đô thị (120 m²)</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Đất ở tại đô thị (100 m²)</w:t>
            </w:r>
            <w:r/>
          </w:p>
        </w:tc>
      </w:tr>
      <w:tr>
        <w:trPr>
          <w:trHeight w:val="123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8</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9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Thời hạn sử dụng đất</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Đất ở tại đô thị –</w:t>
            </w:r>
            <w:r>
              <w:rPr>
                <w:rFonts w:ascii="Times New Roman" w:hAnsi="Times New Roman" w:eastAsia="Times New Roman" w:cs="Times New Roman"/>
                <w:color w:val="000000"/>
                <w:sz w:val="24"/>
                <w:highlight w:val="none"/>
              </w:rPr>
              <w:t xml:space="preserve"> Lâu dài, </w:t>
            </w:r>
            <w:r>
              <w:rPr>
                <w:rFonts w:ascii="Times New Roman" w:hAnsi="Times New Roman" w:eastAsia="Times New Roman" w:cs="Times New Roman"/>
                <w:color w:val="000000"/>
                <w:sz w:val="24"/>
                <w:highlight w:val="none"/>
              </w:rPr>
              <w:t xml:space="preserve">Đất trồng cây lâu năm – </w:t>
            </w:r>
            <w:r>
              <w:rPr>
                <w:rFonts w:ascii="Times New Roman" w:hAnsi="Times New Roman" w:eastAsia="Times New Roman" w:cs="Times New Roman"/>
                <w:color w:val="000000"/>
                <w:sz w:val="24"/>
                <w:highlight w:val="none"/>
              </w:rPr>
              <w:t xml:space="preserve">Đến tháng 7/2047</w:t>
            </w:r>
            <w:r>
              <w:rPr>
                <w:rFonts w:ascii="Times New Roman" w:hAnsi="Times New Roman" w:eastAsia="Times New Roman" w:cs="Times New Roman"/>
                <w:color w:val="000000"/>
                <w:sz w:val="24"/>
                <w:highlight w:val="yellow"/>
              </w:rPr>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Đất ở tại đô thị – Lâu dài, Đất trồng cây lâu năm – Có thời hạn</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Đất ở đô thị – Lâu dài</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Đất ở tại đô thị – Lâu dài</w:t>
            </w:r>
            <w:r/>
          </w:p>
        </w:tc>
      </w:tr>
      <w:tr>
        <w:trPr>
          <w:trHeight w:val="2768"/>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8</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9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Vị trí</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Tài sản tiếp giáp đường DT 151, cách đường cao tốc nội bài - Lào Cai khoảng 2,9km</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Tài sản tại: Xã Tằng Loỏng, Tỉnh Lào Cai, tài sản tiếp giáp với đường TL 151, cách UBND xã Tằng Loỏng khoảng 950m</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Tài sản tại: Xã Tằng Loỏng, Tỉnh Lào Cai, độ rộng đường trước mặt tài sản Tài sản tiếp giáp đường TL151, cách UBND xã Tằng Loỏng khoảng 500m</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Tài sản tại: Khu tái định cư Xuân Hợp, xã Tằng Loỏng, Tỉnh Lào Cai, cách đường DT151 khoảng 900m, cách UBND xã Tằng Loỏng khoảng 1km</w:t>
            </w:r>
            <w:r/>
          </w:p>
        </w:tc>
      </w:tr>
      <w:tr>
        <w:trPr>
          <w:trHeight w:val="615"/>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9</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9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Giao thông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Đường nhựa có vỉa hè</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Đường nhựa có vỉa hè</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Đường nhựa có vỉa hè</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Đường nhựa có vỉa hè</w:t>
            </w:r>
            <w:r/>
          </w:p>
        </w:tc>
      </w:tr>
      <w:tr>
        <w:trPr>
          <w:trHeight w:val="308"/>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11</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9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Độ rộng đường (m)</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8</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8</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8</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6</w:t>
            </w:r>
            <w:r/>
          </w:p>
        </w:tc>
      </w:tr>
      <w:tr>
        <w:trPr>
          <w:trHeight w:val="615"/>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13</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9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Cơ sở hạ tầng kỹ thuật</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Hạ tầng khu dân cư thông thường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Hạ tầng khu dân cư thông thường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Hạ tầng khu dân cư thông thường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Hạ tầng khu tái định cư</w:t>
            </w:r>
            <w:r/>
          </w:p>
        </w:tc>
      </w:tr>
      <w:tr>
        <w:trPr>
          <w:trHeight w:val="308"/>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12</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9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Diện tích đất (m²)</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100</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160</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120</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100</w:t>
            </w:r>
            <w:r/>
          </w:p>
        </w:tc>
      </w:tr>
      <w:tr>
        <w:trPr>
          <w:trHeight w:val="5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13</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9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Mặt tiền (m)</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15</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9.55</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8</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5</w:t>
            </w:r>
            <w:r/>
          </w:p>
        </w:tc>
      </w:tr>
      <w:tr>
        <w:trPr>
          <w:trHeight w:val="5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14</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9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Chiều sâu (m)</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26</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16.75</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15</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20</w:t>
            </w:r>
            <w:r/>
          </w:p>
        </w:tc>
      </w:tr>
      <w:tr>
        <w:trPr>
          <w:trHeight w:val="615"/>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15</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9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Số lượng mặt tiếp giáp</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Tiếp giáp 1 mặt tiền</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Tiếp giáp 1 mặt tiền</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Tiếp giáp 1 mặt tiền</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Tiếp giáp 1 mặt tiền</w:t>
            </w:r>
            <w:r/>
          </w:p>
        </w:tc>
      </w:tr>
      <w:tr>
        <w:trPr>
          <w:trHeight w:val="120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16</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9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Hình dáng thửa đất</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Hình chữ nhật</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Nở hậu</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Hình chữ nhật</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Hình chữ nhật</w:t>
            </w:r>
            <w:r/>
          </w:p>
        </w:tc>
      </w:tr>
      <w:tr>
        <w:trPr>
          <w:trHeight w:val="308"/>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17</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9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Lợi thế kinh doanh</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Tốt</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Tốt</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Tốt</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Tốt</w:t>
            </w:r>
            <w:r/>
          </w:p>
        </w:tc>
      </w:tr>
      <w:tr>
        <w:trPr>
          <w:trHeight w:val="308"/>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18</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9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Mật độ dân cư</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Đông đúc</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Đông đúc</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Đông đúc</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Đông đúc</w:t>
            </w:r>
            <w:r/>
          </w:p>
        </w:tc>
      </w:tr>
      <w:tr>
        <w:trPr>
          <w:trHeight w:val="308"/>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19</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9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Tài sản trên đất</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spacing w:after="0" w:before="0" w:line="276" w:lineRule="auto"/>
              <w:ind/>
              <w:rPr/>
            </w:pPr>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Đất trống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Đất trống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Đất trống</w:t>
            </w:r>
            <w:r/>
          </w:p>
        </w:tc>
      </w:tr>
      <w:tr>
        <w:trPr>
          <w:trHeight w:val="308"/>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bottom"/>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9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Số tầng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spacing w:after="0" w:before="0" w:line="276" w:lineRule="auto"/>
              <w:ind/>
              <w:rPr/>
            </w:pPr>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1,0</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2,0</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spacing w:after="0" w:before="0" w:line="276" w:lineRule="auto"/>
              <w:ind/>
              <w:rPr/>
            </w:pPr>
            <w:r/>
            <w:r/>
          </w:p>
        </w:tc>
      </w:tr>
      <w:tr>
        <w:trPr>
          <w:trHeight w:val="308"/>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bottom"/>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9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Diện tích sàn sử dụng (m²)</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spacing w:after="0" w:before="0" w:line="276" w:lineRule="auto"/>
              <w:ind/>
              <w:rPr/>
            </w:pPr>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120,0</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240,0</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spacing w:after="0" w:before="0" w:line="276" w:lineRule="auto"/>
              <w:ind/>
              <w:rPr/>
            </w:pPr>
            <w:r/>
            <w:r/>
          </w:p>
        </w:tc>
      </w:tr>
      <w:tr>
        <w:trPr>
          <w:trHeight w:val="308"/>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20</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9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Giá rao (đồng)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spacing w:after="0" w:before="0" w:line="276" w:lineRule="auto"/>
              <w:ind/>
              <w:rPr/>
            </w:pPr>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2.300.000.000</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3.000.000.000</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999.000.000</w:t>
            </w:r>
            <w:r/>
          </w:p>
        </w:tc>
      </w:tr>
      <w:tr>
        <w:trPr>
          <w:trHeight w:val="615"/>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21</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9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Giá thương lượng/bán (đồng)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spacing w:after="0" w:before="0" w:line="276" w:lineRule="auto"/>
              <w:ind/>
              <w:rPr/>
            </w:pPr>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1.955.000.000</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2.550.000.000</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849.150.000</w:t>
            </w:r>
            <w:r/>
          </w:p>
        </w:tc>
      </w:tr>
      <w:tr>
        <w:trPr>
          <w:trHeight w:val="315"/>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b/>
                <w:color w:val="000000"/>
                <w:sz w:val="24"/>
              </w:rPr>
              <w:t xml:space="preserve">B</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9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b/>
                <w:color w:val="000000"/>
                <w:sz w:val="24"/>
              </w:rPr>
              <w:t xml:space="preserve">Chi tiết tính toán</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spacing w:after="0" w:before="0" w:line="276" w:lineRule="auto"/>
              <w:ind/>
              <w:rPr/>
            </w:pPr>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spacing w:after="0" w:before="0" w:line="276" w:lineRule="auto"/>
              <w:ind/>
              <w:rPr/>
            </w:pPr>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spacing w:after="0" w:before="0" w:line="276" w:lineRule="auto"/>
              <w:ind/>
              <w:rPr/>
            </w:pPr>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spacing w:after="0" w:before="0" w:line="276" w:lineRule="auto"/>
              <w:ind/>
              <w:rPr/>
            </w:pPr>
            <w:r/>
            <w:r/>
          </w:p>
        </w:tc>
      </w:tr>
      <w:tr>
        <w:trPr>
          <w:trHeight w:val="801"/>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b/>
                <w:color w:val="000000"/>
                <w:sz w:val="24"/>
              </w:rPr>
              <w:t xml:space="preserve">1</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9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b/>
                <w:color w:val="000000"/>
                <w:sz w:val="24"/>
              </w:rPr>
              <w:t xml:space="preserve">Giá trị tài sản trên đất (đồng)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spacing w:after="0" w:before="0" w:line="276" w:lineRule="auto"/>
              <w:ind/>
              <w:rPr/>
            </w:pPr>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348.986.880</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1.476.552.000</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w:t>
            </w:r>
            <w:r/>
          </w:p>
        </w:tc>
      </w:tr>
      <w:tr>
        <w:trPr>
          <w:trHeight w:val="169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9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Đơn giá xây dựng theo Quyết định số 409/QĐ-BXD ngày 11/4/2025 của Bộ Xây Dựng (đồng/m²)</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spacing w:after="0" w:before="0" w:line="276" w:lineRule="auto"/>
              <w:ind/>
              <w:rPr/>
            </w:pPr>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5.184.000</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8.225.000</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spacing w:after="0" w:before="0" w:line="276" w:lineRule="auto"/>
              <w:ind/>
              <w:rPr/>
            </w:pPr>
            <w:r/>
            <w:r/>
          </w:p>
        </w:tc>
      </w:tr>
      <w:tr>
        <w:trPr>
          <w:trHeight w:val="308"/>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9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Hệ số vùng tại tỉnh Lào Cai</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spacing w:after="0" w:before="0" w:line="276" w:lineRule="auto"/>
              <w:ind/>
              <w:rPr/>
            </w:pPr>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0,935</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0,935</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spacing w:after="0" w:before="0" w:line="276" w:lineRule="auto"/>
              <w:ind/>
              <w:rPr/>
            </w:pPr>
            <w:r/>
            <w:r/>
          </w:p>
        </w:tc>
      </w:tr>
      <w:tr>
        <w:trPr>
          <w:trHeight w:val="308"/>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9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 Tỷ lệ % CLCL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spacing w:after="0" w:before="0" w:line="276" w:lineRule="auto"/>
              <w:ind/>
              <w:rPr/>
            </w:pPr>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60%</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80%</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spacing w:after="0" w:before="0" w:line="276" w:lineRule="auto"/>
              <w:ind/>
              <w:rPr/>
            </w:pPr>
            <w:r/>
            <w:r/>
          </w:p>
        </w:tc>
      </w:tr>
      <w:tr>
        <w:trPr>
          <w:trHeight w:val="308"/>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b/>
                <w:color w:val="000000"/>
                <w:sz w:val="24"/>
              </w:rPr>
              <w:t xml:space="preserve">1</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9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b/>
                <w:color w:val="000000"/>
                <w:sz w:val="24"/>
              </w:rPr>
              <w:t xml:space="preserve">Giá trị đất (đồng)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spacing w:after="0" w:before="0" w:line="276" w:lineRule="auto"/>
              <w:ind/>
              <w:rPr/>
            </w:pPr>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1.606.013.120</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1.073.448.000</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849.150.000</w:t>
            </w:r>
            <w:r/>
          </w:p>
        </w:tc>
      </w:tr>
      <w:tr>
        <w:trPr>
          <w:trHeight w:val="60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b/>
                <w:color w:val="000000"/>
                <w:sz w:val="24"/>
              </w:rPr>
              <w:t xml:space="preserve">2</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9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b/>
                <w:color w:val="000000"/>
                <w:sz w:val="24"/>
              </w:rPr>
              <w:t xml:space="preserve">Đơn giá QSDĐ (đồng/m²)</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spacing w:after="0" w:before="0" w:line="276" w:lineRule="auto"/>
              <w:ind/>
              <w:rPr/>
            </w:pPr>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10.037.582</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8.945.400</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8.491.500</w:t>
            </w:r>
            <w:r/>
          </w:p>
        </w:tc>
      </w:tr>
      <w:tr>
        <w:trPr>
          <w:trHeight w:val="308"/>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b/>
                <w:color w:val="000000"/>
                <w:sz w:val="24"/>
              </w:rPr>
              <w:t xml:space="preserve">C</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9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b/>
                <w:color w:val="000000"/>
                <w:sz w:val="24"/>
              </w:rPr>
              <w:t xml:space="preserve">NHẬN XÉT</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spacing w:after="0" w:before="0" w:line="276" w:lineRule="auto"/>
              <w:ind/>
              <w:rPr/>
            </w:pPr>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spacing w:after="0" w:before="0" w:line="276" w:lineRule="auto"/>
              <w:ind/>
              <w:rPr/>
            </w:pPr>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spacing w:after="0" w:before="0" w:line="276" w:lineRule="auto"/>
              <w:ind/>
              <w:rPr/>
            </w:pPr>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spacing w:after="0" w:before="0" w:line="276" w:lineRule="auto"/>
              <w:ind/>
              <w:rPr/>
            </w:pPr>
            <w:r/>
            <w:r/>
          </w:p>
        </w:tc>
      </w:tr>
      <w:tr>
        <w:trPr>
          <w:trHeight w:val="308"/>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1</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9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Tính chất giao dịch</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pPr>
              <w:pBdr/>
              <w:spacing w:after="0" w:before="0" w:line="276" w:lineRule="auto"/>
              <w:ind/>
              <w:rPr/>
            </w:pPr>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Tương đồng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Tương đồng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Tương đồng</w:t>
            </w:r>
            <w:r/>
          </w:p>
        </w:tc>
      </w:tr>
      <w:tr>
        <w:trPr>
          <w:trHeight w:val="308"/>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2</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9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Pháp lý</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pPr>
              <w:pBdr/>
              <w:spacing w:after="0" w:before="0" w:line="276" w:lineRule="auto"/>
              <w:ind/>
              <w:rPr/>
            </w:pPr>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Tương đồng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Tương đồng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Tương đồng</w:t>
            </w:r>
            <w:r/>
          </w:p>
        </w:tc>
      </w:tr>
      <w:tr>
        <w:trPr>
          <w:trHeight w:val="308"/>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3</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9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Mục đích sử dụng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pPr>
              <w:pBdr/>
              <w:spacing w:after="0" w:before="0" w:line="276" w:lineRule="auto"/>
              <w:ind/>
              <w:rPr/>
            </w:pPr>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Kém lợi thế hơn</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Tương đồng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Tương đồng</w:t>
            </w:r>
            <w:r/>
          </w:p>
        </w:tc>
      </w:tr>
      <w:tr>
        <w:trPr>
          <w:trHeight w:val="308"/>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4</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9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Thời hạn sử dụng đất</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pPr>
              <w:pBdr/>
              <w:spacing w:after="0" w:before="0" w:line="276" w:lineRule="auto"/>
              <w:ind/>
              <w:rPr/>
            </w:pPr>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Tương đồng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Tương đồng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Tương đồng</w:t>
            </w:r>
            <w:r/>
          </w:p>
        </w:tc>
      </w:tr>
      <w:tr>
        <w:trPr>
          <w:trHeight w:val="308"/>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5</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9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Vị trí</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pPr>
              <w:pBdr/>
              <w:spacing w:after="0" w:before="0" w:line="276" w:lineRule="auto"/>
              <w:ind/>
              <w:rPr/>
            </w:pPr>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Tương đồng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Tương đồng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Kém lợi thế hơn</w:t>
            </w:r>
            <w:r/>
          </w:p>
        </w:tc>
      </w:tr>
      <w:tr>
        <w:trPr>
          <w:trHeight w:val="308"/>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6</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9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Giao thông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pPr>
              <w:pBdr/>
              <w:spacing w:after="0" w:before="0" w:line="276" w:lineRule="auto"/>
              <w:ind/>
              <w:rPr/>
            </w:pPr>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Tương đồng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Tương đồng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Tương đồng</w:t>
            </w:r>
            <w:r/>
          </w:p>
        </w:tc>
      </w:tr>
      <w:tr>
        <w:trPr>
          <w:trHeight w:val="308"/>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8</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9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Độ rộng đường (m)</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pPr>
              <w:pBdr/>
              <w:spacing w:after="0" w:before="0" w:line="276" w:lineRule="auto"/>
              <w:ind/>
              <w:rPr/>
            </w:pPr>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Tương đồng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Tương đồng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Kém lợi thế hơn</w:t>
            </w:r>
            <w:r/>
          </w:p>
        </w:tc>
      </w:tr>
      <w:tr>
        <w:trPr>
          <w:trHeight w:val="308"/>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9</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9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Cơ sở hạ tầng kỹ thuật</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pPr>
              <w:pBdr/>
              <w:spacing w:after="0" w:before="0" w:line="276" w:lineRule="auto"/>
              <w:ind/>
              <w:rPr/>
            </w:pPr>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Tương đồng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Tương đồng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Lợi thế hơn</w:t>
            </w:r>
            <w:r/>
          </w:p>
        </w:tc>
      </w:tr>
      <w:tr>
        <w:trPr>
          <w:trHeight w:val="308"/>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10</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9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Diện tích đất (m²)</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pPr>
              <w:pBdr/>
              <w:spacing w:after="0" w:before="0" w:line="276" w:lineRule="auto"/>
              <w:ind/>
              <w:rPr/>
            </w:pPr>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Kém lợi thế hơn</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Kém lợi thế hơn</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Tương đồng</w:t>
            </w:r>
            <w:r/>
          </w:p>
        </w:tc>
      </w:tr>
      <w:tr>
        <w:trPr>
          <w:trHeight w:val="308"/>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11</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9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Mặt tiền (m)</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pPr>
              <w:pBdr/>
              <w:spacing w:after="0" w:before="0" w:line="276" w:lineRule="auto"/>
              <w:ind/>
              <w:rPr/>
            </w:pPr>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Lợi thế hơn</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Lợi thế hơn</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Tương đồng</w:t>
            </w:r>
            <w:r/>
          </w:p>
        </w:tc>
      </w:tr>
      <w:tr>
        <w:trPr>
          <w:trHeight w:val="308"/>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13</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9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Số lượng mặt tiếp giáp</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pPr>
              <w:pBdr/>
              <w:spacing w:after="0" w:before="0" w:line="276" w:lineRule="auto"/>
              <w:ind/>
              <w:rPr/>
            </w:pPr>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Tương đồng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Tương đồng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Tương đồng</w:t>
            </w:r>
            <w:r/>
          </w:p>
        </w:tc>
      </w:tr>
      <w:tr>
        <w:trPr>
          <w:trHeight w:val="308"/>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14</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9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Hình dáng thửa đất</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pPr>
              <w:pBdr/>
              <w:spacing w:after="0" w:before="0" w:line="276" w:lineRule="auto"/>
              <w:ind/>
              <w:rPr/>
            </w:pPr>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Lợi thế hơn</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Tương đồng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Tương đồng</w:t>
            </w:r>
            <w:r/>
          </w:p>
        </w:tc>
      </w:tr>
      <w:tr>
        <w:trPr>
          <w:trHeight w:val="308"/>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15</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9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Lợi thế kinh doanh</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spacing w:after="0" w:before="0" w:line="276" w:lineRule="auto"/>
              <w:ind/>
              <w:rPr/>
            </w:pPr>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Tương đồng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Tương đồng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Tương đồng</w:t>
            </w:r>
            <w:r/>
          </w:p>
        </w:tc>
      </w:tr>
    </w:tbl>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pPr>
      <w:r>
        <w:rPr>
          <w:rFonts w:ascii="Times New Roman" w:hAnsi="Times New Roman" w:eastAsia="Times New Roman" w:cs="Times New Roman"/>
          <w:color w:val="000000"/>
          <w:sz w:val="24"/>
        </w:rPr>
        <w:t xml:space="preserve"> </w:t>
      </w:r>
      <w:r/>
    </w:p>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pPr>
      <w:r>
        <w:rPr>
          <w:rFonts w:ascii="Times New Roman" w:hAnsi="Times New Roman" w:eastAsia="Times New Roman" w:cs="Times New Roman"/>
          <w:color w:val="000000"/>
          <w:sz w:val="24"/>
        </w:rPr>
        <w:t xml:space="preserve">Các yếu tố như vị trí, giao thông, diện tích, hướng nhìn, hình dáng, nội thất, hạ tầng kỹ thuật và hạ tầng xã hội… làm ảnh hưởng đến giá trị của thửa đất. Mỗi yếu tố đóng góp một tỷ lệ nhất định vào giá trị của thửa đất. Vì vậy, dựa trên ba tài sản so sánh</w:t>
      </w:r>
      <w:r>
        <w:rPr>
          <w:rFonts w:ascii="Times New Roman" w:hAnsi="Times New Roman" w:eastAsia="Times New Roman" w:cs="Times New Roman"/>
          <w:color w:val="000000"/>
          <w:sz w:val="24"/>
        </w:rPr>
        <w:t xml:space="preserve">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p>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pPr>
      <w:r>
        <w:rPr>
          <w:rFonts w:ascii="Times New Roman" w:hAnsi="Times New Roman" w:eastAsia="Times New Roman" w:cs="Times New Roman"/>
          <w:color w:val="000000"/>
          <w:sz w:val="24"/>
        </w:rPr>
        <w:t xml:space="preserve">Nguyên tắc điều chỉnh: Cố định TSTĐ, lấy TSTĐ làm chuẩn (tương đương với tỷ lệ tuyệt đối là 100%), các TSSS được điều chỉnh xoay quanh TSTĐ; Các điểm ở TSSS vượt trội hơn so với TSTĐ thì điều chỉnh giảm mức giá tính theo đơn vị chuẩn tài sản so sánh (trừ);</w:t>
      </w:r>
      <w:r>
        <w:rPr>
          <w:rFonts w:ascii="Times New Roman" w:hAnsi="Times New Roman" w:eastAsia="Times New Roman" w:cs="Times New Roman"/>
          <w:color w:val="000000"/>
          <w:sz w:val="24"/>
        </w:rPr>
        <w:t xml:space="preserve"> Các điểm ở TSSS kém lợi thế hơn so với TSTĐ thì điều chỉnh tăng mức giá tính theo đơn vị chuẩn của tài sản so sánh (cộng); Những yếu tố ở tài sản so sánh giống (tương tự) với tài sản cần thẩm định giá thì giữ nguyên mức giá của tài sản so sánh (không điều</w:t>
      </w:r>
      <w:r>
        <w:rPr>
          <w:rFonts w:ascii="Times New Roman" w:hAnsi="Times New Roman" w:eastAsia="Times New Roman" w:cs="Times New Roman"/>
          <w:color w:val="000000"/>
          <w:sz w:val="24"/>
        </w:rPr>
        <w:t xml:space="preserve"> chỉnh).</w:t>
      </w:r>
      <w:r/>
    </w:p>
    <w:p>
      <w:pPr>
        <w:pBdr>
          <w:top w:val="none" w:color="000000" w:sz="4" w:space="0"/>
          <w:left w:val="none" w:color="000000" w:sz="4" w:space="0"/>
          <w:bottom w:val="none" w:color="000000" w:sz="4" w:space="0"/>
          <w:right w:val="none" w:color="000000" w:sz="4" w:space="0"/>
        </w:pBdr>
        <w:spacing w:after="0" w:before="120" w:line="276" w:lineRule="auto"/>
        <w:ind w:firstLine="0" w:left="0"/>
        <w:jc w:val="both"/>
        <w:rPr/>
      </w:pPr>
      <w:r>
        <w:rPr>
          <w:rFonts w:ascii="Times New Roman" w:hAnsi="Times New Roman" w:eastAsia="Times New Roman" w:cs="Times New Roman"/>
          <w:b/>
          <w:color w:val="000000"/>
          <w:sz w:val="24"/>
        </w:rPr>
        <w:t xml:space="preserve">Bảng điều chỉnh:</w:t>
      </w:r>
      <w:r/>
    </w:p>
    <w:tbl>
      <w:tblPr>
        <w:tblStyle w:val="1047"/>
        <w:tblInd w:w="108"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fixed"/>
        <w:tblLook w:val="04A0" w:firstRow="1" w:lastRow="0" w:firstColumn="1" w:lastColumn="0" w:noHBand="0" w:noVBand="1"/>
      </w:tblPr>
      <w:tblGrid>
        <w:gridCol w:w="817"/>
        <w:gridCol w:w="1978"/>
        <w:gridCol w:w="1092"/>
        <w:gridCol w:w="1331"/>
        <w:gridCol w:w="1424"/>
        <w:gridCol w:w="1424"/>
        <w:gridCol w:w="1555"/>
      </w:tblGrid>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1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STT</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7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Yếu tố so sánh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Đơn vị tính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33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Tài sản thẩm định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Tài sản so sánh 1</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Tài sản so sánh 2</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5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Tài sản so sánh 3</w:t>
            </w:r>
            <w:r/>
          </w:p>
        </w:tc>
      </w:tr>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1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A</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7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pPr>
            <w:r>
              <w:rPr>
                <w:rFonts w:ascii="Times New Roman" w:hAnsi="Times New Roman" w:eastAsia="Times New Roman" w:cs="Times New Roman"/>
                <w:b/>
                <w:color w:val="000000"/>
                <w:sz w:val="22"/>
              </w:rPr>
              <w:t xml:space="preserve">Giá trị QSDĐ thị trường (Ước tính sau thương lượng)</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Đồng</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33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1.606.013.120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1.073.448.000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5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849.150.000</w:t>
            </w:r>
            <w:r/>
          </w:p>
        </w:tc>
      </w:tr>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1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B</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7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pPr>
            <w:r>
              <w:rPr>
                <w:rFonts w:ascii="Times New Roman" w:hAnsi="Times New Roman" w:eastAsia="Times New Roman" w:cs="Times New Roman"/>
                <w:b/>
                <w:color w:val="000000"/>
                <w:sz w:val="22"/>
              </w:rPr>
              <w:t xml:space="preserve">Đơn giá đất ước tính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9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33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10.037.582</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8.945.400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5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8.491.500</w:t>
            </w:r>
            <w:r/>
          </w:p>
        </w:tc>
      </w:tr>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1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C</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7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pPr>
            <w:r>
              <w:rPr>
                <w:rFonts w:ascii="Times New Roman" w:hAnsi="Times New Roman" w:eastAsia="Times New Roman" w:cs="Times New Roman"/>
                <w:b/>
                <w:color w:val="000000"/>
                <w:sz w:val="22"/>
              </w:rPr>
              <w:t xml:space="preserve">Điều chỉnh các yếu tố so sánh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33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4" w:type="dxa"/>
            <w:vAlign w:val="center"/>
            <w:textDirection w:val="lrTb"/>
            <w:noWrap/>
          </w:tcPr>
          <w:p>
            <w:pPr>
              <w:pBdr/>
              <w:spacing w:after="0" w:before="0" w:line="276" w:lineRule="auto"/>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4" w:type="dxa"/>
            <w:vAlign w:val="center"/>
            <w:textDirection w:val="lrTb"/>
            <w:noWrap/>
          </w:tcPr>
          <w:p>
            <w:pPr>
              <w:pBdr/>
              <w:spacing w:after="0" w:before="0" w:line="276" w:lineRule="auto"/>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55" w:type="dxa"/>
            <w:vAlign w:val="center"/>
            <w:textDirection w:val="lrTb"/>
            <w:noWrap/>
          </w:tcPr>
          <w:p>
            <w:pPr>
              <w:pBdr/>
              <w:spacing w:after="0" w:before="0" w:line="276" w:lineRule="auto"/>
              <w:ind/>
              <w:rPr/>
            </w:pPr>
            <w:r/>
            <w:r/>
          </w:p>
        </w:tc>
      </w:tr>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17"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C1</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7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pPr>
            <w:r>
              <w:rPr>
                <w:rFonts w:ascii="Times New Roman" w:hAnsi="Times New Roman" w:eastAsia="Times New Roman" w:cs="Times New Roman"/>
                <w:b/>
                <w:color w:val="000000"/>
                <w:sz w:val="22"/>
              </w:rPr>
              <w:t xml:space="preserve">Tính chất giao dịch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33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Giao dịch bình thường trên thị trường</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Giao dịch bình thường trên thị trường</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Giao dịch bình thường trên thị trường</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5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Giao dịch bình thường trên thị trường</w:t>
            </w:r>
            <w:r/>
          </w:p>
        </w:tc>
      </w:tr>
      <w:tr>
        <w:trPr>
          <w:trHeight w:val="2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7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33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5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0,00%</w:t>
            </w:r>
            <w:r/>
          </w:p>
        </w:tc>
      </w:tr>
      <w:tr>
        <w:trPr>
          <w:trHeight w:val="2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7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9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33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5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7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9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33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10.037.582</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8.945.400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5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8.491.500</w:t>
            </w:r>
            <w:r/>
          </w:p>
        </w:tc>
      </w:tr>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17"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C2</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7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pPr>
            <w:r>
              <w:rPr>
                <w:rFonts w:ascii="Times New Roman" w:hAnsi="Times New Roman" w:eastAsia="Times New Roman" w:cs="Times New Roman"/>
                <w:b/>
                <w:color w:val="000000"/>
                <w:sz w:val="22"/>
              </w:rPr>
              <w:t xml:space="preserve">Pháp lý</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33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5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Có Giấy chứng nhận Quyền sử dụng đất</w:t>
            </w:r>
            <w:r/>
          </w:p>
        </w:tc>
      </w:tr>
      <w:tr>
        <w:trPr>
          <w:trHeight w:val="2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7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33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5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0,00%</w:t>
            </w:r>
            <w:r/>
          </w:p>
        </w:tc>
      </w:tr>
      <w:tr>
        <w:trPr>
          <w:trHeight w:val="2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7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9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33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5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7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9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33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10.037.582</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8.945.400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5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8.491.500</w:t>
            </w:r>
            <w:r/>
          </w:p>
        </w:tc>
      </w:tr>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17"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C3</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7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pPr>
            <w:r>
              <w:rPr>
                <w:rFonts w:ascii="Times New Roman" w:hAnsi="Times New Roman" w:eastAsia="Times New Roman" w:cs="Times New Roman"/>
                <w:b/>
                <w:color w:val="000000"/>
                <w:sz w:val="22"/>
              </w:rPr>
              <w:t xml:space="preserve">Mục đích sử dụng</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33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Đất ở tại đô thị (100m2)</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Đất ở tại đô thị (120 m²), Đất trồng cây lâu năm (40 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Đất ở đô thị (120 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5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Đất ở tại đô thị (100 m²)</w:t>
            </w:r>
            <w:r/>
          </w:p>
        </w:tc>
      </w:tr>
      <w:tr>
        <w:trPr>
          <w:trHeight w:val="2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7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33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5,00%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5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0,00%</w:t>
            </w:r>
            <w:r/>
          </w:p>
        </w:tc>
      </w:tr>
      <w:tr>
        <w:trPr>
          <w:trHeight w:val="2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7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9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33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501.879</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5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7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9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33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10.539.461</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8.945.400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5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8.491.500</w:t>
            </w:r>
            <w:r/>
          </w:p>
        </w:tc>
      </w:tr>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17"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C4</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7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pPr>
            <w:r>
              <w:rPr>
                <w:rFonts w:ascii="Times New Roman" w:hAnsi="Times New Roman" w:eastAsia="Times New Roman" w:cs="Times New Roman"/>
                <w:b/>
                <w:color w:val="000000"/>
                <w:sz w:val="22"/>
              </w:rPr>
              <w:t xml:space="preserve">Thời hạn sử dụng đất</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33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Đất ở tại đô thị – Lâu </w:t>
            </w:r>
            <w:r>
              <w:rPr>
                <w:rFonts w:ascii="Times New Roman" w:hAnsi="Times New Roman" w:eastAsia="Times New Roman" w:cs="Times New Roman"/>
                <w:b/>
                <w:color w:val="000000"/>
                <w:sz w:val="22"/>
                <w:highlight w:val="none"/>
              </w:rPr>
              <w:t xml:space="preserve">dài</w:t>
            </w:r>
            <w:r>
              <w:rPr>
                <w:rFonts w:ascii="Times New Roman" w:hAnsi="Times New Roman" w:eastAsia="Times New Roman" w:cs="Times New Roman"/>
                <w:b/>
                <w:color w:val="000000"/>
                <w:sz w:val="22"/>
                <w:highlight w:val="none"/>
              </w:rPr>
              <w:t xml:space="preserve">, Đất trồng cây lâu năm – </w:t>
            </w:r>
            <w:r>
              <w:rPr>
                <w:rFonts w:ascii="Times New Roman" w:hAnsi="Times New Roman" w:eastAsia="Times New Roman" w:cs="Times New Roman"/>
                <w:color w:val="000000"/>
                <w:sz w:val="24"/>
                <w:highlight w:val="none"/>
              </w:rPr>
              <w:t xml:space="preserve">Đến tháng 7/2047</w:t>
            </w:r>
            <w:r>
              <w:rPr>
                <w:rFonts w:ascii="Times New Roman" w:hAnsi="Times New Roman" w:eastAsia="Times New Roman" w:cs="Times New Roman"/>
                <w:b/>
                <w:color w:val="000000"/>
                <w:sz w:val="22"/>
                <w:highlight w:val="none"/>
              </w:r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Đất ở tại đô thị – Lâu dài, Đất trồng cây lâu năm – Có thời hạn</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Đất ở đô thị – Lâu dài</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5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Đất ở tại đô thị – Lâu dài</w:t>
            </w:r>
            <w:r/>
          </w:p>
        </w:tc>
      </w:tr>
      <w:tr>
        <w:trPr>
          <w:trHeight w:val="2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7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33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5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0,00%</w:t>
            </w:r>
            <w:r/>
          </w:p>
        </w:tc>
      </w:tr>
      <w:tr>
        <w:trPr>
          <w:trHeight w:val="2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7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9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33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5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7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9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33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10.539.461</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8.945.400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5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8.491.500</w:t>
            </w:r>
            <w:r/>
          </w:p>
        </w:tc>
      </w:tr>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17"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C5</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7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pPr>
            <w:r>
              <w:rPr>
                <w:rFonts w:ascii="Times New Roman" w:hAnsi="Times New Roman" w:eastAsia="Times New Roman" w:cs="Times New Roman"/>
                <w:b/>
                <w:color w:val="000000"/>
                <w:sz w:val="22"/>
              </w:rPr>
              <w:t xml:space="preserve">Vị trí</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33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Tài sản tiếp giáp đường DT 151, cách đường cao tốc nội bài - Lào Cai khoảng 2,9km</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Tài sản tại: Xã Tằng Loỏng, Tỉnh Lào Cai, tài sản tiếp giáp với đường TL 151, cách UBND xã Tằng Loỏng khoảng 950m</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Tài sản tại: Xã Tằng Loỏng, Tỉnh Lào Cai, độ rộng đường trước mặt tài sản Tài sản tiếp giáp đường TL151, cách UBND xã Tằng Loỏng khoảng 500m</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5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Tài sản tại: Khu tái định cư Xuân Hợp, xã Tằng Loỏng, Tỉnh Lào Cai, cách đường DT151 khoảng 900m, cách UBND xã Tằng Loỏng khoảng 1km</w:t>
            </w:r>
            <w:r/>
          </w:p>
        </w:tc>
      </w:tr>
      <w:tr>
        <w:trPr>
          <w:trHeight w:val="2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7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33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5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10,00%</w:t>
            </w:r>
            <w:r/>
          </w:p>
        </w:tc>
      </w:tr>
      <w:tr>
        <w:trPr>
          <w:trHeight w:val="2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7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9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33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5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849.150</w:t>
            </w:r>
            <w:r/>
          </w:p>
        </w:tc>
      </w:tr>
      <w:tr>
        <w:trPr>
          <w:trHeight w:val="2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7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9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33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10.539.461</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8.945.400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5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9.340.650</w:t>
            </w:r>
            <w:r/>
          </w:p>
        </w:tc>
      </w:tr>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17"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C6</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7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pPr>
            <w:r>
              <w:rPr>
                <w:rFonts w:ascii="Times New Roman" w:hAnsi="Times New Roman" w:eastAsia="Times New Roman" w:cs="Times New Roman"/>
                <w:b/>
                <w:color w:val="000000"/>
                <w:sz w:val="22"/>
              </w:rPr>
              <w:t xml:space="preserve">Giao thông</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33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Đường nhựa có vỉa hè</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Đường nhựa có vỉa hè</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Đường nhựa có vỉa hè</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5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Đường nhựa có vỉa hè</w:t>
            </w:r>
            <w:r/>
          </w:p>
        </w:tc>
      </w:tr>
      <w:tr>
        <w:trPr>
          <w:trHeight w:val="2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7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33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5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0,00%</w:t>
            </w:r>
            <w:r/>
          </w:p>
        </w:tc>
      </w:tr>
      <w:tr>
        <w:trPr>
          <w:trHeight w:val="2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7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9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33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5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7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9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33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10.539.461</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8.945.400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5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9.340.650</w:t>
            </w:r>
            <w:r/>
          </w:p>
        </w:tc>
      </w:tr>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17"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C7</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7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pPr>
            <w:r>
              <w:rPr>
                <w:rFonts w:ascii="Times New Roman" w:hAnsi="Times New Roman" w:eastAsia="Times New Roman" w:cs="Times New Roman"/>
                <w:b/>
                <w:color w:val="000000"/>
                <w:sz w:val="22"/>
              </w:rPr>
              <w:t xml:space="preserve">Độ rộng đường (m)</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9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pPr>
            <w:r>
              <w:rPr>
                <w:rFonts w:ascii="Times New Roman" w:hAnsi="Times New Roman" w:eastAsia="Times New Roman" w:cs="Times New Roman"/>
                <w:b/>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33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8</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8</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8</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5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6</w:t>
            </w:r>
            <w:r/>
          </w:p>
        </w:tc>
      </w:tr>
      <w:tr>
        <w:trPr>
          <w:trHeight w:val="2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7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33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5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3,00%</w:t>
            </w:r>
            <w:r/>
          </w:p>
        </w:tc>
      </w:tr>
      <w:tr>
        <w:trPr>
          <w:trHeight w:val="2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7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9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33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5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254.745</w:t>
            </w:r>
            <w:r/>
          </w:p>
        </w:tc>
      </w:tr>
      <w:tr>
        <w:trPr>
          <w:trHeight w:val="2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7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9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33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10.539.461</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8.945.400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5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9.595.395</w:t>
            </w:r>
            <w:r/>
          </w:p>
        </w:tc>
      </w:tr>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17"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C8</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7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pPr>
            <w:r>
              <w:rPr>
                <w:rFonts w:ascii="Times New Roman" w:hAnsi="Times New Roman" w:eastAsia="Times New Roman" w:cs="Times New Roman"/>
                <w:b/>
                <w:color w:val="000000"/>
                <w:sz w:val="22"/>
              </w:rPr>
              <w:t xml:space="preserve">Cơ sở hạ tầng kỹ thuật</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9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pPr>
            <w:r>
              <w:rPr>
                <w:rFonts w:ascii="Times New Roman" w:hAnsi="Times New Roman" w:eastAsia="Times New Roman" w:cs="Times New Roman"/>
                <w:b/>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33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Hạ tầng khu dân cư thông thường</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Hạ tầng khu dân cư thông thường</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Hạ tầng khu dân cư thông thường</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5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Hạ tầng khu tái định cư</w:t>
            </w:r>
            <w:r/>
          </w:p>
        </w:tc>
      </w:tr>
      <w:tr>
        <w:trPr>
          <w:trHeight w:val="2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7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33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5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-15,00%</w:t>
            </w:r>
            <w:r/>
          </w:p>
        </w:tc>
      </w:tr>
      <w:tr>
        <w:trPr>
          <w:trHeight w:val="2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7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9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33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5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-1.273.725</w:t>
            </w:r>
            <w:r/>
          </w:p>
        </w:tc>
      </w:tr>
      <w:tr>
        <w:trPr>
          <w:trHeight w:val="2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7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9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33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10.539.461</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8.945.400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5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8.321.670</w:t>
            </w:r>
            <w:r/>
          </w:p>
        </w:tc>
      </w:tr>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17"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C9</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7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pPr>
            <w:r>
              <w:rPr>
                <w:rFonts w:ascii="Times New Roman" w:hAnsi="Times New Roman" w:eastAsia="Times New Roman" w:cs="Times New Roman"/>
                <w:b/>
                <w:color w:val="000000"/>
                <w:sz w:val="22"/>
              </w:rPr>
              <w:t xml:space="preserve">Diện tích đất (m²)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33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100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160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120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5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100</w:t>
            </w:r>
            <w:r/>
          </w:p>
        </w:tc>
      </w:tr>
      <w:tr>
        <w:trPr>
          <w:trHeight w:val="2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7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33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5,00%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3,00%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5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0,00%</w:t>
            </w:r>
            <w:r/>
          </w:p>
        </w:tc>
      </w:tr>
      <w:tr>
        <w:trPr>
          <w:trHeight w:val="2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7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9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33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501.879</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268.362</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5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7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9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33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11.041.340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9.213.762</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5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8.321.670</w:t>
            </w:r>
            <w:r/>
          </w:p>
        </w:tc>
      </w:tr>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17"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C10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7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pPr>
            <w:r>
              <w:rPr>
                <w:rFonts w:ascii="Times New Roman" w:hAnsi="Times New Roman" w:eastAsia="Times New Roman" w:cs="Times New Roman"/>
                <w:b/>
                <w:color w:val="000000"/>
                <w:sz w:val="22"/>
              </w:rPr>
              <w:t xml:space="preserve">Mặt tiền (m)</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33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15</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9.55</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8</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5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5</w:t>
            </w:r>
            <w:r/>
          </w:p>
        </w:tc>
      </w:tr>
      <w:tr>
        <w:trPr>
          <w:trHeight w:val="2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7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33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-7,00%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-4,00%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5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0,00%</w:t>
            </w:r>
            <w:r/>
          </w:p>
        </w:tc>
      </w:tr>
      <w:tr>
        <w:trPr>
          <w:trHeight w:val="2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7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9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33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-702.631</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-357.816</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5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7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9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33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10.338.709</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8.855.946</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5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8.321.670</w:t>
            </w:r>
            <w:r/>
          </w:p>
        </w:tc>
      </w:tr>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17"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C11</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7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pPr>
            <w:r>
              <w:rPr>
                <w:rFonts w:ascii="Times New Roman" w:hAnsi="Times New Roman" w:eastAsia="Times New Roman" w:cs="Times New Roman"/>
                <w:b/>
                <w:color w:val="000000"/>
                <w:sz w:val="22"/>
              </w:rPr>
              <w:t xml:space="preserve">Số lượng mặt tiếp giáp</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33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Tiếp giáp 1 mặt tiền</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Tiếp giáp 1 mặt tiền</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Tiếp giáp 1 mặt tiền</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5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Tiếp giáp 1 mặt tiền</w:t>
            </w:r>
            <w:r/>
          </w:p>
        </w:tc>
      </w:tr>
      <w:tr>
        <w:trPr>
          <w:trHeight w:val="2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7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33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5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0,00%</w:t>
            </w:r>
            <w:r/>
          </w:p>
        </w:tc>
      </w:tr>
      <w:tr>
        <w:trPr>
          <w:trHeight w:val="2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7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9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33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5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7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9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33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10.338.709</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8.855.946</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5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8.321.670</w:t>
            </w:r>
            <w:r/>
          </w:p>
        </w:tc>
      </w:tr>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17"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C12</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7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pPr>
            <w:r>
              <w:rPr>
                <w:rFonts w:ascii="Times New Roman" w:hAnsi="Times New Roman" w:eastAsia="Times New Roman" w:cs="Times New Roman"/>
                <w:b/>
                <w:color w:val="000000"/>
                <w:sz w:val="22"/>
              </w:rPr>
              <w:t xml:space="preserve">Hình dáng thửa đất</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33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Hình chữ nhật</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Nở hậu</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Hình chữ nhật</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5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Hình chữ nhật</w:t>
            </w:r>
            <w:r/>
          </w:p>
        </w:tc>
      </w:tr>
      <w:tr>
        <w:trPr>
          <w:trHeight w:val="2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7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33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-5,00%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5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0,00%</w:t>
            </w:r>
            <w:r/>
          </w:p>
        </w:tc>
      </w:tr>
      <w:tr>
        <w:trPr>
          <w:trHeight w:val="2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7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9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33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-501.879</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5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7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9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33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9.836.830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8.855.946</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5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8.321.670</w:t>
            </w:r>
            <w:r/>
          </w:p>
        </w:tc>
      </w:tr>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17"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C12</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7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pPr>
            <w:r>
              <w:rPr>
                <w:rFonts w:ascii="Times New Roman" w:hAnsi="Times New Roman" w:eastAsia="Times New Roman" w:cs="Times New Roman"/>
                <w:b/>
                <w:color w:val="000000"/>
                <w:sz w:val="22"/>
              </w:rPr>
              <w:t xml:space="preserve">Lợi thế kinh doanh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9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33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Tốt</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Tốt</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Tốt</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5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Tốt</w:t>
            </w:r>
            <w:r/>
          </w:p>
        </w:tc>
      </w:tr>
      <w:tr>
        <w:trPr>
          <w:trHeight w:val="2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7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33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5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0,00%</w:t>
            </w:r>
            <w:r/>
          </w:p>
        </w:tc>
      </w:tr>
      <w:tr>
        <w:trPr>
          <w:trHeight w:val="2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7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9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33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5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7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9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33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9.836.830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8.855.946</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5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8.321.670</w:t>
            </w:r>
            <w:r/>
          </w:p>
        </w:tc>
      </w:tr>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1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D</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7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pPr>
            <w:r>
              <w:rPr>
                <w:rFonts w:ascii="Times New Roman" w:hAnsi="Times New Roman" w:eastAsia="Times New Roman" w:cs="Times New Roman"/>
                <w:b/>
                <w:color w:val="000000"/>
                <w:sz w:val="22"/>
              </w:rPr>
              <w:t xml:space="preserve">Mức giá chỉ dẫn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9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33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9.836.830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8.855.946</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5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8.321.670</w:t>
            </w:r>
            <w:r/>
          </w:p>
        </w:tc>
      </w:tr>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1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D1</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7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pPr>
            <w:r>
              <w:rPr>
                <w:rFonts w:ascii="Times New Roman" w:hAnsi="Times New Roman" w:eastAsia="Times New Roman" w:cs="Times New Roman"/>
                <w:color w:val="000000"/>
                <w:sz w:val="22"/>
              </w:rPr>
              <w:t xml:space="preserve">Giá trị trung bình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9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Đồng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33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 </w:t>
            </w:r>
            <w:r/>
          </w:p>
        </w:tc>
        <w:tc>
          <w:tcPr>
            <w:gridSpan w:val="3"/>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440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9.004.815</w:t>
            </w:r>
            <w:r/>
          </w:p>
        </w:tc>
      </w:tr>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1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D2</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7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pPr>
            <w:r>
              <w:rPr>
                <w:rFonts w:ascii="Times New Roman" w:hAnsi="Times New Roman" w:eastAsia="Times New Roman" w:cs="Times New Roman"/>
                <w:color w:val="000000"/>
                <w:sz w:val="22"/>
              </w:rPr>
              <w:t xml:space="preserve">Mức độ chênh lệch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33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9,24%</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-1,65%</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5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-7,59%</w:t>
            </w:r>
            <w:r/>
          </w:p>
        </w:tc>
      </w:tr>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1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E</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7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pPr>
            <w:r>
              <w:rPr>
                <w:rFonts w:ascii="Times New Roman" w:hAnsi="Times New Roman" w:eastAsia="Times New Roman" w:cs="Times New Roman"/>
                <w:b/>
                <w:color w:val="000000"/>
                <w:sz w:val="22"/>
              </w:rPr>
              <w:t xml:space="preserve">Tổng hợp các số liệu điều chỉnh tại mục C</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9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pPr>
            <w:r>
              <w:rPr>
                <w:rFonts w:ascii="Times New Roman" w:hAnsi="Times New Roman" w:eastAsia="Times New Roman" w:cs="Times New Roman"/>
                <w:b/>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33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pPr>
            <w:r>
              <w:rPr>
                <w:rFonts w:ascii="Times New Roman" w:hAnsi="Times New Roman" w:eastAsia="Times New Roman" w:cs="Times New Roman"/>
                <w:b/>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4" w:type="dxa"/>
            <w:vAlign w:val="center"/>
            <w:textDirection w:val="lrTb"/>
            <w:noWrap w:val="false"/>
          </w:tcPr>
          <w:p>
            <w:pPr>
              <w:pBdr/>
              <w:spacing w:after="0" w:before="0" w:line="276" w:lineRule="auto"/>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4" w:type="dxa"/>
            <w:vAlign w:val="center"/>
            <w:textDirection w:val="lrTb"/>
            <w:noWrap w:val="false"/>
          </w:tcPr>
          <w:p>
            <w:pPr>
              <w:pBdr/>
              <w:spacing w:after="0" w:before="0" w:line="276" w:lineRule="auto"/>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55" w:type="dxa"/>
            <w:vAlign w:val="center"/>
            <w:textDirection w:val="lrTb"/>
            <w:noWrap w:val="false"/>
          </w:tcPr>
          <w:p>
            <w:pPr>
              <w:pBdr/>
              <w:spacing w:after="0" w:before="0" w:line="276" w:lineRule="auto"/>
              <w:ind/>
              <w:rPr/>
            </w:pPr>
            <w:r/>
            <w:r/>
          </w:p>
        </w:tc>
      </w:tr>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1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E1</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7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pPr>
            <w:r>
              <w:rPr>
                <w:rFonts w:ascii="Times New Roman" w:hAnsi="Times New Roman" w:eastAsia="Times New Roman" w:cs="Times New Roman"/>
                <w:color w:val="000000"/>
                <w:sz w:val="22"/>
              </w:rPr>
              <w:t xml:space="preserve">Tổng giá trị điều chỉnh gộp</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9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Đồng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33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2.208.268</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626.178</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5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2.377.620</w:t>
            </w:r>
            <w:r/>
          </w:p>
        </w:tc>
      </w:tr>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1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ff0000"/>
                <w:sz w:val="22"/>
              </w:rPr>
              <w:t xml:space="preserve">E2</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7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pPr>
            <w:r>
              <w:rPr>
                <w:rFonts w:ascii="Times New Roman" w:hAnsi="Times New Roman" w:eastAsia="Times New Roman" w:cs="Times New Roman"/>
                <w:color w:val="ff0000"/>
                <w:sz w:val="22"/>
              </w:rPr>
              <w:t xml:space="preserve">Tổng số lần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ff0000"/>
                <w:sz w:val="22"/>
              </w:rPr>
              <w:t xml:space="preserve">Lần</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33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ff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4</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2</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5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3</w:t>
            </w:r>
            <w:r/>
          </w:p>
        </w:tc>
      </w:tr>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1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ff0000"/>
                <w:sz w:val="22"/>
              </w:rPr>
              <w:t xml:space="preserve">E3</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7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pPr>
            <w:r>
              <w:rPr>
                <w:rFonts w:ascii="Times New Roman" w:hAnsi="Times New Roman" w:eastAsia="Times New Roman" w:cs="Times New Roman"/>
                <w:color w:val="ff0000"/>
                <w:sz w:val="22"/>
              </w:rPr>
              <w:t xml:space="preserve">Biên độ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ff0000"/>
                <w:sz w:val="22"/>
              </w:rPr>
              <w:t xml:space="preserve">%</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33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ff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ff0000"/>
                <w:sz w:val="22"/>
              </w:rPr>
              <w:t xml:space="preserve">5% - 5%</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ff0000"/>
                <w:sz w:val="22"/>
              </w:rPr>
              <w:t xml:space="preserve">3% - 3%</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5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ff0000"/>
                <w:sz w:val="22"/>
              </w:rPr>
              <w:t xml:space="preserve">3% - 10%</w:t>
            </w:r>
            <w:r/>
          </w:p>
        </w:tc>
      </w:tr>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1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E4</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7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pPr>
            <w:r>
              <w:rPr>
                <w:rFonts w:ascii="Times New Roman" w:hAnsi="Times New Roman" w:eastAsia="Times New Roman" w:cs="Times New Roman"/>
                <w:color w:val="000000"/>
                <w:sz w:val="22"/>
              </w:rPr>
              <w:t xml:space="preserve">Tổng giá trị điều chỉnh thuần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9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Đồng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33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200.752</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89.454</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5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169.830</w:t>
            </w:r>
            <w:r/>
          </w:p>
        </w:tc>
      </w:tr>
    </w:tbl>
    <w:p>
      <w:pPr>
        <w:pStyle w:val="1043"/>
        <w:numPr>
          <w:ilvl w:val="0"/>
          <w:numId w:val="42"/>
        </w:numPr>
        <w:pBdr>
          <w:top w:val="none" w:color="000000" w:sz="4" w:space="0"/>
          <w:left w:val="none" w:color="000000" w:sz="4" w:space="0"/>
          <w:bottom w:val="none" w:color="000000" w:sz="4" w:space="0"/>
          <w:right w:val="none" w:color="000000" w:sz="4" w:space="0"/>
        </w:pBdr>
        <w:spacing w:after="120" w:before="120" w:line="276" w:lineRule="auto"/>
        <w:ind w:right="0" w:hanging="283" w:left="283"/>
        <w:rPr>
          <w:b/>
          <w:bCs/>
        </w:rPr>
      </w:pPr>
      <w:r>
        <w:rPr>
          <w:rFonts w:ascii="Times New Roman" w:hAnsi="Times New Roman" w:eastAsia="Times New Roman" w:cs="Times New Roman"/>
          <w:b/>
          <w:bCs/>
          <w:color w:val="000000"/>
          <w:sz w:val="24"/>
          <w:u w:val="single"/>
        </w:rPr>
        <w:t xml:space="preserve">Về nguyên tắc khống chế:</w:t>
      </w:r>
      <w:r>
        <w:rPr>
          <w:b/>
          <w:bCs/>
        </w:rPr>
      </w:r>
      <w:r>
        <w:rPr>
          <w:b/>
          <w:bCs/>
        </w:rPr>
      </w:r>
    </w:p>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Theo số liệu tại mục D2, chênh lệch giữa mức giá trung bình của các mức giá chỉ dẫn nằm trong khoảng từ -7,59%</w:t>
      </w:r>
      <w:r>
        <w:rPr>
          <w:rFonts w:ascii="Times New Roman" w:hAnsi="Times New Roman" w:eastAsia="Times New Roman" w:cs="Times New Roman"/>
          <w:color w:val="ff0000"/>
          <w:sz w:val="24"/>
        </w:rPr>
        <w:t xml:space="preserve"> đến </w:t>
      </w:r>
      <w:r>
        <w:rPr>
          <w:rFonts w:ascii="Times New Roman" w:hAnsi="Times New Roman" w:eastAsia="Times New Roman" w:cs="Times New Roman"/>
          <w:color w:val="000000"/>
          <w:sz w:val="22"/>
        </w:rPr>
        <w:t xml:space="preserve">9,24%</w:t>
      </w:r>
      <w:r>
        <w:rPr>
          <w:rFonts w:ascii="Times New Roman" w:hAnsi="Times New Roman" w:eastAsia="Times New Roman" w:cs="Times New Roman"/>
          <w:color w:val="ff0000"/>
          <w:sz w:val="24"/>
        </w:rPr>
        <w:t xml:space="preserve"> </w:t>
      </w:r>
      <w:r>
        <w:rPr>
          <w:rFonts w:ascii="Times New Roman" w:hAnsi="Times New Roman" w:eastAsia="Times New Roman" w:cs="Times New Roman"/>
          <w:color w:val="000000"/>
          <w:sz w:val="24"/>
        </w:rPr>
        <w:t xml:space="preserve">đảm bảo không quá 15% (theo Thông tư số 32/2024/TT-BTC ngày 16/5/2024 của Bộ Tài Chính).</w:t>
      </w:r>
      <w:r/>
    </w:p>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u w:val="single"/>
        </w:rPr>
        <w:t xml:space="preserve">Về thống nhất mức giá chỉ dẫn:</w:t>
      </w:r>
      <w:r/>
    </w:p>
    <w:tbl>
      <w:tblPr>
        <w:tblStyle w:val="1047"/>
        <w:tblInd w:w="108"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778"/>
        <w:gridCol w:w="2154"/>
        <w:gridCol w:w="2030"/>
        <w:gridCol w:w="2321"/>
        <w:gridCol w:w="2256"/>
      </w:tblGrid>
      <w:tr>
        <w:trPr>
          <w:trHeight w:val="284"/>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7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b/>
                <w:color w:val="000000"/>
                <w:sz w:val="24"/>
              </w:rPr>
              <w:t xml:space="preserve">TT</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5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b/>
                <w:color w:val="000000"/>
                <w:sz w:val="24"/>
              </w:rPr>
              <w:t xml:space="preserve">Tài sản</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3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b/>
                <w:color w:val="000000"/>
                <w:sz w:val="24"/>
              </w:rPr>
              <w:t xml:space="preserve">Mức giá chỉ dẫn của các TSSS</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32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b/>
                <w:color w:val="000000"/>
                <w:sz w:val="24"/>
              </w:rPr>
              <w:t xml:space="preserve">Trọng số của các TSSS sau điều chỉnh</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5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b/>
                <w:color w:val="000000"/>
                <w:sz w:val="24"/>
              </w:rPr>
              <w:t xml:space="preserve">Giá trị trung bình của mức giá chỉ dẫn sau điều chỉnh</w:t>
            </w:r>
            <w:r/>
          </w:p>
        </w:tc>
      </w:tr>
      <w:tr>
        <w:trPr>
          <w:trHeight w:val="284"/>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7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1</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5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both"/>
              <w:rPr/>
            </w:pPr>
            <w:r>
              <w:rPr>
                <w:rFonts w:ascii="Times New Roman" w:hAnsi="Times New Roman" w:eastAsia="Times New Roman" w:cs="Times New Roman"/>
                <w:color w:val="000000"/>
                <w:sz w:val="24"/>
              </w:rPr>
              <w:t xml:space="preserve">Tài sản so sánh 1</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3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ff0000"/>
                <w:sz w:val="24"/>
              </w:rPr>
              <w:t xml:space="preserve">9.836.830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32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ff0000"/>
                <w:sz w:val="24"/>
              </w:rPr>
              <w:t xml:space="preserve">35,00%</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5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ff0000"/>
                <w:sz w:val="24"/>
              </w:rPr>
              <w:t xml:space="preserve">      3.442.891 </w:t>
            </w:r>
            <w:r/>
          </w:p>
        </w:tc>
      </w:tr>
      <w:tr>
        <w:trPr>
          <w:trHeight w:val="284"/>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7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2</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5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both"/>
              <w:rPr/>
            </w:pPr>
            <w:r>
              <w:rPr>
                <w:rFonts w:ascii="Times New Roman" w:hAnsi="Times New Roman" w:eastAsia="Times New Roman" w:cs="Times New Roman"/>
                <w:color w:val="000000"/>
                <w:sz w:val="24"/>
              </w:rPr>
              <w:t xml:space="preserve">Tài sản so sánh 2</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3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ff0000"/>
                <w:sz w:val="24"/>
              </w:rPr>
              <w:t xml:space="preserve">8.855.946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32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ff0000"/>
                <w:sz w:val="24"/>
              </w:rPr>
              <w:t xml:space="preserve">35,00%</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5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ff0000"/>
                <w:sz w:val="24"/>
              </w:rPr>
              <w:t xml:space="preserve">      3.099.581 </w:t>
            </w:r>
            <w:r/>
          </w:p>
        </w:tc>
      </w:tr>
      <w:tr>
        <w:trPr>
          <w:trHeight w:val="284"/>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7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3</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5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both"/>
              <w:rPr/>
            </w:pPr>
            <w:r>
              <w:rPr>
                <w:rFonts w:ascii="Times New Roman" w:hAnsi="Times New Roman" w:eastAsia="Times New Roman" w:cs="Times New Roman"/>
                <w:color w:val="000000"/>
                <w:sz w:val="24"/>
              </w:rPr>
              <w:t xml:space="preserve">Tài sản so sánh 3</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3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ff0000"/>
                <w:sz w:val="24"/>
              </w:rPr>
              <w:t xml:space="preserve">8.321.670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32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ff0000"/>
                <w:sz w:val="24"/>
              </w:rPr>
              <w:t xml:space="preserve">30,00%</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5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ff0000"/>
                <w:sz w:val="24"/>
              </w:rPr>
              <w:t xml:space="preserve">      2.496.501 </w:t>
            </w:r>
            <w:r/>
          </w:p>
        </w:tc>
      </w:tr>
      <w:tr>
        <w:trPr>
          <w:trHeight w:val="284"/>
        </w:trPr>
        <w:tc>
          <w:tcPr>
            <w:gridSpan w:val="4"/>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28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b/>
                <w:color w:val="000000"/>
                <w:sz w:val="24"/>
              </w:rPr>
              <w:t xml:space="preserve">Giá trị bình quân theo trọng số</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5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b/>
                <w:color w:val="ff0000"/>
                <w:sz w:val="24"/>
              </w:rPr>
              <w:t xml:space="preserve">      9.038.973 </w:t>
            </w:r>
            <w:r/>
          </w:p>
        </w:tc>
      </w:tr>
      <w:tr>
        <w:trPr>
          <w:trHeight w:val="284"/>
        </w:trPr>
        <w:tc>
          <w:tcPr>
            <w:gridSpan w:val="4"/>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28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b/>
                <w:color w:val="000000"/>
                <w:sz w:val="24"/>
              </w:rPr>
              <w:t xml:space="preserve">Làm tròn</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5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b/>
                <w:color w:val="ff0000"/>
                <w:sz w:val="24"/>
              </w:rPr>
              <w:t xml:space="preserve">      9.000.000 </w:t>
            </w:r>
            <w:r/>
          </w:p>
        </w:tc>
      </w:tr>
    </w:tbl>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pPr>
      <w:r>
        <w:rPr>
          <w:rFonts w:ascii="Times New Roman" w:hAnsi="Times New Roman" w:eastAsia="Times New Roman" w:cs="Times New Roman"/>
          <w:color w:val="000000"/>
          <w:sz w:val="24"/>
        </w:rPr>
        <w:t xml:space="preserve">Tổ thẩm định sử dụng mức giá chỉ dẫn là mức giá bình quân có trọng số của 03 tài sản so sánh làm mức giá của tài sản thẩm định giá, tương ứng là: </w:t>
      </w:r>
      <w:r>
        <w:rPr>
          <w:rFonts w:ascii="Times New Roman" w:hAnsi="Times New Roman" w:eastAsia="Times New Roman" w:cs="Times New Roman"/>
          <w:b/>
          <w:color w:val="000000"/>
          <w:sz w:val="24"/>
        </w:rPr>
        <w:t xml:space="preserve"> 9.000.000 đồng/m².</w:t>
      </w:r>
      <w:r/>
    </w:p>
    <w:p>
      <w:pPr>
        <w:numPr>
          <w:ilvl w:val="0"/>
          <w:numId w:val="41"/>
        </w:numPr>
        <w:pBdr>
          <w:top w:val="none" w:color="000000" w:sz="4" w:space="0"/>
          <w:left w:val="none" w:color="000000" w:sz="4" w:space="0"/>
          <w:bottom w:val="none" w:color="000000" w:sz="4" w:space="0"/>
          <w:right w:val="none" w:color="000000" w:sz="4" w:space="0"/>
        </w:pBdr>
        <w:spacing w:after="0" w:before="120" w:line="276" w:lineRule="auto"/>
        <w:ind w:right="0" w:hanging="360" w:left="360"/>
        <w:jc w:val="both"/>
        <w:rPr/>
      </w:pPr>
      <w:r>
        <w:rPr>
          <w:rFonts w:ascii="Times New Roman" w:hAnsi="Times New Roman" w:eastAsia="Times New Roman" w:cs="Times New Roman"/>
          <w:b/>
          <w:color w:val="000000"/>
          <w:sz w:val="24"/>
        </w:rPr>
        <w:t xml:space="preserve">Xác định giá trị đất ở tại thửa đất số 561, 562.</w:t>
      </w:r>
      <w:r/>
    </w:p>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pPr>
      <w:r>
        <w:rPr>
          <w:rFonts w:ascii="Times New Roman" w:hAnsi="Times New Roman" w:eastAsia="Times New Roman" w:cs="Times New Roman"/>
          <w:color w:val="000000"/>
          <w:sz w:val="24"/>
        </w:rPr>
        <w:t xml:space="preserve">Do 3 thửa đất số 560, 561 và 562 thẩm định nằm cạnh nhau có diện tích, kích thước mặt tiền và các yếu tố về kinh tế, kỹ thuật của 3 thửa đất là tương tự nhau nên tổ thẩm định xác định đơn giá đất ở thửa đất lô số 561, 562 = đơn giá thửa đất số 560 là: </w:t>
      </w:r>
      <w:r>
        <w:rPr>
          <w:rFonts w:ascii="Times New Roman" w:hAnsi="Times New Roman" w:eastAsia="Times New Roman" w:cs="Times New Roman"/>
          <w:b/>
          <w:color w:val="000000"/>
          <w:sz w:val="24"/>
        </w:rPr>
        <w:t xml:space="preserve">9.000.000 đồng/m².</w:t>
      </w:r>
      <w:r/>
    </w:p>
    <w:p>
      <w:pPr>
        <w:numPr>
          <w:ilvl w:val="0"/>
          <w:numId w:val="41"/>
        </w:numPr>
        <w:pBdr>
          <w:top w:val="none" w:color="000000" w:sz="4" w:space="0"/>
          <w:left w:val="none" w:color="000000" w:sz="4" w:space="0"/>
          <w:bottom w:val="none" w:color="000000" w:sz="4" w:space="0"/>
          <w:right w:val="none" w:color="000000" w:sz="4" w:space="0"/>
        </w:pBdr>
        <w:spacing w:after="0" w:before="120" w:line="276" w:lineRule="auto"/>
        <w:ind w:right="0" w:hanging="360" w:left="360"/>
        <w:jc w:val="both"/>
        <w:rPr/>
      </w:pPr>
      <w:r>
        <w:rPr>
          <w:rFonts w:ascii="Times New Roman" w:hAnsi="Times New Roman" w:eastAsia="Times New Roman" w:cs="Times New Roman"/>
          <w:b/>
          <w:bCs/>
          <w:color w:val="000000"/>
          <w:sz w:val="24"/>
          <w:szCs w:val="24"/>
          <w:lang w:val="undefined" w:bidi="undefined"/>
        </w:rPr>
      </w:r>
      <w:r>
        <w:rPr>
          <w:rFonts w:ascii="Times New Roman" w:hAnsi="Times New Roman" w:eastAsia="Times New Roman" w:cs="Times New Roman"/>
          <w:b/>
          <w:color w:val="000000"/>
          <w:sz w:val="24"/>
        </w:rPr>
        <w:t xml:space="preserve">Xác định giá trị đất trồng cây lâu năm tại thửa đất số 560, 561 và 562.</w:t>
      </w:r>
      <w:r/>
    </w:p>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pPr>
      <w:r>
        <w:rPr>
          <w:rFonts w:ascii="Times New Roman" w:hAnsi="Times New Roman" w:eastAsia="Times New Roman" w:cs="Times New Roman"/>
          <w:color w:val="000000"/>
          <w:sz w:val="24"/>
        </w:rPr>
        <w:t xml:space="preserve">Do khu vực tài sản thẩm định tọa lạc rất hạn chế thông tin giao dịch đất trồng cây hàng năm trên thị trường mà chỉ có thông tin giao dịch đất hỗn hợp (đất ở + đất trồng cây lâu năm hoặc đất ở + đất trồng cây hàng năm khác....). Dẫn đến tổ thẩm định khó khă</w:t>
      </w:r>
      <w:r>
        <w:rPr>
          <w:rFonts w:ascii="Times New Roman" w:hAnsi="Times New Roman" w:eastAsia="Times New Roman" w:cs="Times New Roman"/>
          <w:color w:val="000000"/>
          <w:sz w:val="24"/>
        </w:rPr>
        <w:t xml:space="preserve">n trong công tác xác định giá trị đất trồng cây hàng năm khác theo thị trường. Theo thị trường do khách hàng chỉ có nhu cầu xác định giá trị đất trồng cây lâu năm theo khung giá nhà nước ban hành. Do đó, vận dụng Nghị quyết số 19/2025/NQ-HĐND ngày 09 tháng</w:t>
      </w:r>
      <w:r>
        <w:rPr>
          <w:rFonts w:ascii="Times New Roman" w:hAnsi="Times New Roman" w:eastAsia="Times New Roman" w:cs="Times New Roman"/>
          <w:color w:val="000000"/>
          <w:sz w:val="24"/>
        </w:rPr>
        <w:t xml:space="preserve"> 12 năm 2025 của Hội đồng nhân dân tỉnh Lào Cai đơn giá đất trồng cây lâu năm tại VT1 là: </w:t>
      </w:r>
      <w:r>
        <w:rPr>
          <w:rFonts w:ascii="Times New Roman" w:hAnsi="Times New Roman" w:eastAsia="Times New Roman" w:cs="Times New Roman"/>
          <w:b/>
          <w:color w:val="000000"/>
          <w:sz w:val="24"/>
        </w:rPr>
        <w:t xml:space="preserve">35.000 đồng/m</w:t>
      </w:r>
      <w:r>
        <w:rPr>
          <w:rFonts w:ascii="Times New Roman" w:hAnsi="Times New Roman" w:eastAsia="Times New Roman" w:cs="Times New Roman"/>
          <w:b/>
          <w:color w:val="000000"/>
          <w:sz w:val="20"/>
          <w:vertAlign w:val="superscript"/>
        </w:rPr>
        <w:t xml:space="preserve">2</w:t>
      </w:r>
      <w:r>
        <w:rPr>
          <w:rFonts w:ascii="Times New Roman" w:hAnsi="Times New Roman" w:eastAsia="Times New Roman" w:cs="Times New Roman"/>
          <w:b/>
          <w:color w:val="000000"/>
          <w:sz w:val="24"/>
        </w:rPr>
        <w:t xml:space="preserve">.</w:t>
      </w:r>
      <w:r/>
    </w:p>
    <w:p>
      <w:pPr>
        <w:numPr>
          <w:ilvl w:val="0"/>
          <w:numId w:val="41"/>
        </w:numPr>
        <w:pBdr>
          <w:top w:val="none" w:color="000000" w:sz="4" w:space="0"/>
          <w:left w:val="none" w:color="000000" w:sz="4" w:space="0"/>
          <w:bottom w:val="none" w:color="000000" w:sz="4" w:space="0"/>
          <w:right w:val="none" w:color="000000" w:sz="4" w:space="0"/>
        </w:pBdr>
        <w:spacing w:after="0" w:before="120" w:line="276" w:lineRule="auto"/>
        <w:ind/>
        <w:jc w:val="both"/>
        <w:rPr/>
      </w:pPr>
      <w:r>
        <w:rPr>
          <w:rFonts w:ascii="Times New Roman" w:hAnsi="Times New Roman" w:eastAsia="Times New Roman" w:cs="Times New Roman"/>
          <w:b/>
          <w:color w:val="000000"/>
          <w:sz w:val="24"/>
        </w:rPr>
        <w:t xml:space="preserve">Kết quả thẩm định giá:</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color w:val="000000"/>
          <w:spacing w:val="2"/>
          <w:sz w:val="24"/>
        </w:rPr>
        <w:t xml:space="preserve">Dựa trên các lập luận trên, tổ thẩm định ước tính giá trị tài sản thẩm định giá chưa bao gồm các loại thuế, phí và lệ phí liên quan đến việc chuyển nhượng tài sản tại thời điểm tháng 01/2026 như sau:</w:t>
      </w:r>
      <w:r/>
    </w:p>
    <w:tbl>
      <w:tblPr>
        <w:tblStyle w:val="1047"/>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635"/>
        <w:gridCol w:w="3318"/>
        <w:gridCol w:w="1436"/>
        <w:gridCol w:w="1975"/>
        <w:gridCol w:w="2377"/>
      </w:tblGrid>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3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TT</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31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Tài sản</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Diện tích (m²)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7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Đơn giá (đồng/m²)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37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Thành tiền (đồng)</w:t>
            </w:r>
            <w:r/>
          </w:p>
        </w:tc>
      </w:tr>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3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I</w:t>
            </w:r>
            <w:r/>
          </w:p>
        </w:tc>
        <w:tc>
          <w:tcPr>
            <w:gridSpan w:val="3"/>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2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both"/>
              <w:rPr/>
            </w:pPr>
            <w:r>
              <w:rPr>
                <w:rFonts w:ascii="Times New Roman" w:hAnsi="Times New Roman" w:eastAsia="Times New Roman" w:cs="Times New Roman"/>
                <w:b/>
                <w:color w:val="000000"/>
                <w:sz w:val="24"/>
              </w:rPr>
              <w:t xml:space="preserve">Quyền sử dụng đất tại thửa đất số: 560, tờ bản đồ số: P6-18 có địa chỉ: Tổ dân phố 6, thị trấn Tằng Loỏng, huyện Bảo Thắng, tỉnh Lào Cai (này là xã Tằng Loỏng, tỉnh Lào Cai) theo Giấy chứng nhận quyền sử dụng đất quyền sở hữu tài sản gắn liền với đất số: B</w:t>
            </w:r>
            <w:r>
              <w:rPr>
                <w:rFonts w:ascii="Times New Roman" w:hAnsi="Times New Roman" w:eastAsia="Times New Roman" w:cs="Times New Roman"/>
                <w:b/>
                <w:color w:val="000000"/>
                <w:sz w:val="24"/>
              </w:rPr>
              <w:t xml:space="preserve">K 713663, số vào sổ cấp GCN: CH 01114 do UBND huyện Bảo Thắng cấp ngày 12/4/2012 cho ông Bùi Đức Toàn</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37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right"/>
              <w:rPr/>
            </w:pPr>
            <w:r>
              <w:rPr>
                <w:rFonts w:ascii="Times New Roman" w:hAnsi="Times New Roman" w:eastAsia="Times New Roman" w:cs="Times New Roman"/>
                <w:b/>
                <w:color w:val="000000"/>
                <w:sz w:val="24"/>
              </w:rPr>
              <w:t xml:space="preserve"> </w:t>
            </w:r>
            <w:r/>
          </w:p>
        </w:tc>
      </w:tr>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3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4"/>
              </w:rPr>
              <w:t xml:space="preserve">1</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31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after="0" w:line="276" w:lineRule="auto"/>
              <w:ind w:right="0" w:firstLine="0" w:left="0"/>
              <w:rPr>
                <w:highlight w:val="none"/>
              </w:rPr>
            </w:pPr>
            <w:r>
              <w:rPr>
                <w:rFonts w:ascii="Times New Roman" w:hAnsi="Times New Roman" w:eastAsia="Times New Roman" w:cs="Times New Roman"/>
                <w:color w:val="000000"/>
                <w:sz w:val="24"/>
                <w:highlight w:val="none"/>
              </w:rPr>
              <w:t xml:space="preserve">Đất ở tại</w:t>
            </w:r>
            <w:r>
              <w:rPr>
                <w:rFonts w:ascii="Times New Roman" w:hAnsi="Times New Roman" w:eastAsia="Times New Roman" w:cs="Times New Roman"/>
                <w:color w:val="000000"/>
                <w:sz w:val="24"/>
                <w:highlight w:val="none"/>
              </w:rPr>
              <w:t xml:space="preserve"> đô thị</w:t>
            </w:r>
            <w:r>
              <w:rPr>
                <w:highlight w:val="none"/>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36"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 100,0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7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4"/>
              </w:rPr>
              <w:t xml:space="preserve"> 9.000.000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37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right"/>
              <w:rPr/>
            </w:pPr>
            <w:r>
              <w:rPr>
                <w:rFonts w:ascii="Times New Roman" w:hAnsi="Times New Roman" w:eastAsia="Times New Roman" w:cs="Times New Roman"/>
                <w:color w:val="000000"/>
                <w:sz w:val="24"/>
              </w:rPr>
              <w:t xml:space="preserve">900.000.000</w:t>
            </w:r>
            <w:r/>
          </w:p>
        </w:tc>
      </w:tr>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3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4"/>
              </w:rPr>
              <w:t xml:space="preserve">2</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31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pPr>
            <w:r>
              <w:rPr>
                <w:rFonts w:ascii="Times New Roman" w:hAnsi="Times New Roman" w:eastAsia="Times New Roman" w:cs="Times New Roman"/>
                <w:color w:val="000000"/>
                <w:sz w:val="24"/>
              </w:rPr>
              <w:t xml:space="preserve">Đất trồng cây lâu năm</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36"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   27,5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7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4"/>
              </w:rPr>
              <w:t xml:space="preserve">      35.000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37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right"/>
              <w:rPr/>
            </w:pPr>
            <w:r>
              <w:rPr>
                <w:rFonts w:ascii="Times New Roman" w:hAnsi="Times New Roman" w:eastAsia="Times New Roman" w:cs="Times New Roman"/>
                <w:color w:val="000000"/>
                <w:sz w:val="24"/>
              </w:rPr>
              <w:t xml:space="preserve">962.500</w:t>
            </w:r>
            <w:r/>
          </w:p>
        </w:tc>
      </w:tr>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3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II</w:t>
            </w:r>
            <w:r/>
          </w:p>
        </w:tc>
        <w:tc>
          <w:tcPr>
            <w:gridSpan w:val="3"/>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2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both"/>
              <w:rPr/>
            </w:pPr>
            <w:r>
              <w:rPr>
                <w:rFonts w:ascii="Times New Roman" w:hAnsi="Times New Roman" w:eastAsia="Times New Roman" w:cs="Times New Roman"/>
                <w:b/>
                <w:color w:val="000000"/>
                <w:sz w:val="24"/>
              </w:rPr>
              <w:t xml:space="preserve">Quyền sử dụng đất tại thửa đất số: 561, tờ bản đồ số: P6-18 có địa chỉ: Tổ dân phố 6, thị trấn Tằng Loỏng, huyện Bảo Thắng, tỉnh Lào Cai (này là xã Tằng Loỏng, tỉnh Lào Cai) theo Giấy chứng nhận quyền sử dụng đất quyền sở hữu tài sản gắn liền với đất số: B</w:t>
            </w:r>
            <w:r>
              <w:rPr>
                <w:rFonts w:ascii="Times New Roman" w:hAnsi="Times New Roman" w:eastAsia="Times New Roman" w:cs="Times New Roman"/>
                <w:b/>
                <w:color w:val="000000"/>
                <w:sz w:val="24"/>
              </w:rPr>
              <w:t xml:space="preserve">K 713664, số vào sổ cấp GCN: CH 01114 do UBND huyện Bảo Thắng cấp ngày 12/4/2012 cho ông Bùi Đức Toàn</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37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right"/>
              <w:rPr/>
            </w:pPr>
            <w:r>
              <w:rPr>
                <w:rFonts w:ascii="Times New Roman" w:hAnsi="Times New Roman" w:eastAsia="Times New Roman" w:cs="Times New Roman"/>
                <w:b/>
                <w:color w:val="000000"/>
                <w:sz w:val="24"/>
              </w:rPr>
              <w:t xml:space="preserve"> </w:t>
            </w:r>
            <w:r/>
          </w:p>
        </w:tc>
      </w:tr>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3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4"/>
              </w:rPr>
              <w:t xml:space="preserve">1</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31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after="0" w:line="276" w:lineRule="auto"/>
              <w:ind w:right="0" w:firstLine="0" w:left="0"/>
              <w:rPr>
                <w:highlight w:val="none"/>
              </w:rPr>
            </w:pPr>
            <w:r>
              <w:rPr>
                <w:rFonts w:ascii="Times New Roman" w:hAnsi="Times New Roman" w:eastAsia="Times New Roman" w:cs="Times New Roman"/>
                <w:color w:val="000000"/>
                <w:sz w:val="24"/>
                <w:highlight w:val="none"/>
              </w:rPr>
              <w:t xml:space="preserve">Đất ở tại</w:t>
            </w:r>
            <w:r>
              <w:rPr>
                <w:rFonts w:ascii="Times New Roman" w:hAnsi="Times New Roman" w:eastAsia="Times New Roman" w:cs="Times New Roman"/>
                <w:color w:val="000000"/>
                <w:sz w:val="24"/>
                <w:highlight w:val="none"/>
              </w:rPr>
              <w:t xml:space="preserve"> đô thị</w:t>
            </w:r>
            <w:r>
              <w:rPr>
                <w:highlight w:val="none"/>
              </w:rPr>
            </w:r>
            <w:r>
              <w:rPr>
                <w:highlight w:val="none"/>
              </w:rPr>
            </w:r>
            <w:r>
              <w:rPr>
                <w:rFonts w:ascii="Times New Roman" w:hAnsi="Times New Roman" w:eastAsia="Times New Roman" w:cs="Times New Roman"/>
                <w:color w:val="000000"/>
                <w:sz w:val="24"/>
                <w:highlight w:val="yellow"/>
              </w:rPr>
            </w:r>
            <w:r>
              <w:rPr>
                <w:highlight w:val="yellow"/>
              </w:rPr>
            </w:r>
            <w:r>
              <w:rPr>
                <w:highlight w:val="none"/>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36"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 100,0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7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4"/>
              </w:rPr>
              <w:t xml:space="preserve"> 9.000.000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37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right"/>
              <w:rPr/>
            </w:pPr>
            <w:r>
              <w:rPr>
                <w:rFonts w:ascii="Times New Roman" w:hAnsi="Times New Roman" w:eastAsia="Times New Roman" w:cs="Times New Roman"/>
                <w:color w:val="000000"/>
                <w:sz w:val="24"/>
              </w:rPr>
              <w:t xml:space="preserve">900.000.000</w:t>
            </w:r>
            <w:r/>
          </w:p>
        </w:tc>
      </w:tr>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3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4"/>
              </w:rPr>
              <w:t xml:space="preserve">2</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31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pPr>
            <w:r>
              <w:rPr>
                <w:rFonts w:ascii="Times New Roman" w:hAnsi="Times New Roman" w:eastAsia="Times New Roman" w:cs="Times New Roman"/>
                <w:color w:val="000000"/>
                <w:sz w:val="24"/>
              </w:rPr>
              <w:t xml:space="preserve">Đất trồng cây lâu năm</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36"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   27,5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7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4"/>
              </w:rPr>
              <w:t xml:space="preserve">      35.000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37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right"/>
              <w:rPr/>
            </w:pPr>
            <w:r>
              <w:rPr>
                <w:rFonts w:ascii="Times New Roman" w:hAnsi="Times New Roman" w:eastAsia="Times New Roman" w:cs="Times New Roman"/>
                <w:color w:val="000000"/>
                <w:sz w:val="24"/>
              </w:rPr>
              <w:t xml:space="preserve">962.500</w:t>
            </w:r>
            <w:r/>
          </w:p>
        </w:tc>
      </w:tr>
      <w:tr>
        <w:trPr>
          <w:trHeight w:val="2198"/>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3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III</w:t>
            </w:r>
            <w:r/>
          </w:p>
        </w:tc>
        <w:tc>
          <w:tcPr>
            <w:gridSpan w:val="3"/>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2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both"/>
              <w:rPr/>
            </w:pPr>
            <w:r>
              <w:rPr>
                <w:rFonts w:ascii="Times New Roman" w:hAnsi="Times New Roman" w:eastAsia="Times New Roman" w:cs="Times New Roman"/>
                <w:b/>
                <w:color w:val="000000"/>
                <w:sz w:val="24"/>
              </w:rPr>
              <w:t xml:space="preserve">Quyền sử dụng đất tại thửa đất số: 562, tờ bản đồ số: P6-18 có địa chỉ: Tổ dân phố 6, thị trấn Tằng Loỏng, huyện Bảo Thắng, tỉnh Lào Cai (này là xã Tằng Loỏng, tỉnh Lào Cai) theo Giấy chứng nhận quyền sử dụng đất quyền sở hữu tài sản gắn liền với đất số: B</w:t>
            </w:r>
            <w:r>
              <w:rPr>
                <w:rFonts w:ascii="Times New Roman" w:hAnsi="Times New Roman" w:eastAsia="Times New Roman" w:cs="Times New Roman"/>
                <w:b/>
                <w:color w:val="000000"/>
                <w:sz w:val="24"/>
              </w:rPr>
              <w:t xml:space="preserve">K 711045, số vào sổ cấp GCN: CH01348 do UBND huyện Bảo Thắng cấp ngày 12/4/2012 cho ông Bùi Đức Toàn</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37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right"/>
              <w:rPr/>
            </w:pPr>
            <w:r>
              <w:rPr>
                <w:rFonts w:ascii="Times New Roman" w:hAnsi="Times New Roman" w:eastAsia="Times New Roman" w:cs="Times New Roman"/>
                <w:b/>
                <w:color w:val="000000"/>
                <w:sz w:val="24"/>
              </w:rPr>
              <w:t xml:space="preserve"> </w:t>
            </w:r>
            <w:r/>
          </w:p>
        </w:tc>
      </w:tr>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3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4"/>
              </w:rPr>
              <w:t xml:space="preserve">1</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31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after="0" w:line="276" w:lineRule="auto"/>
              <w:ind w:right="0" w:firstLine="0" w:left="0"/>
              <w:rPr>
                <w:highlight w:val="none"/>
              </w:rPr>
            </w:pPr>
            <w:r>
              <w:rPr>
                <w:rFonts w:ascii="Times New Roman" w:hAnsi="Times New Roman" w:eastAsia="Times New Roman" w:cs="Times New Roman"/>
                <w:color w:val="000000"/>
                <w:sz w:val="24"/>
                <w:highlight w:val="none"/>
              </w:rPr>
              <w:t xml:space="preserve">Đất ở tại</w:t>
            </w:r>
            <w:r>
              <w:rPr>
                <w:rFonts w:ascii="Times New Roman" w:hAnsi="Times New Roman" w:eastAsia="Times New Roman" w:cs="Times New Roman"/>
                <w:color w:val="000000"/>
                <w:sz w:val="24"/>
                <w:highlight w:val="none"/>
              </w:rPr>
              <w:t xml:space="preserve"> đô thị</w:t>
            </w:r>
            <w:r>
              <w:rPr>
                <w:highlight w:val="none"/>
              </w:rPr>
            </w:r>
            <w:r>
              <w:rPr>
                <w:highlight w:val="none"/>
              </w:rPr>
            </w:r>
            <w:r>
              <w:rPr>
                <w:rFonts w:ascii="Times New Roman" w:hAnsi="Times New Roman" w:eastAsia="Times New Roman" w:cs="Times New Roman"/>
                <w:color w:val="000000"/>
                <w:sz w:val="24"/>
                <w:highlight w:val="yellow"/>
              </w:rPr>
            </w:r>
            <w:r>
              <w:rPr>
                <w:highlight w:val="yellow"/>
              </w:rPr>
            </w:r>
            <w:r>
              <w:rPr>
                <w:highlight w:val="none"/>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36"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 100,0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7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right"/>
              <w:rPr/>
            </w:pPr>
            <w:r>
              <w:rPr>
                <w:rFonts w:ascii="Times New Roman" w:hAnsi="Times New Roman" w:eastAsia="Times New Roman" w:cs="Times New Roman"/>
                <w:color w:val="000000"/>
                <w:sz w:val="24"/>
              </w:rPr>
              <w:t xml:space="preserve"> 9.000.000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37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right"/>
              <w:rPr/>
            </w:pPr>
            <w:r>
              <w:rPr>
                <w:rFonts w:ascii="Times New Roman" w:hAnsi="Times New Roman" w:eastAsia="Times New Roman" w:cs="Times New Roman"/>
                <w:color w:val="000000"/>
                <w:sz w:val="24"/>
              </w:rPr>
              <w:t xml:space="preserve">900.000.000</w:t>
            </w:r>
            <w:r/>
          </w:p>
        </w:tc>
      </w:tr>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3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4"/>
              </w:rPr>
              <w:t xml:space="preserve">2</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31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pPr>
            <w:r>
              <w:rPr>
                <w:rFonts w:ascii="Times New Roman" w:hAnsi="Times New Roman" w:eastAsia="Times New Roman" w:cs="Times New Roman"/>
                <w:color w:val="000000"/>
                <w:sz w:val="24"/>
              </w:rPr>
              <w:t xml:space="preserve">Đất trồng cây lâu năm</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36"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   27,5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7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right"/>
              <w:rPr/>
            </w:pPr>
            <w:r>
              <w:rPr>
                <w:rFonts w:ascii="Times New Roman" w:hAnsi="Times New Roman" w:eastAsia="Times New Roman" w:cs="Times New Roman"/>
                <w:color w:val="000000"/>
                <w:sz w:val="24"/>
              </w:rPr>
              <w:t xml:space="preserve">      35.000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37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right"/>
              <w:rPr/>
            </w:pPr>
            <w:r>
              <w:rPr>
                <w:rFonts w:ascii="Times New Roman" w:hAnsi="Times New Roman" w:eastAsia="Times New Roman" w:cs="Times New Roman"/>
                <w:color w:val="000000"/>
                <w:sz w:val="24"/>
              </w:rPr>
              <w:t xml:space="preserve">962.500</w:t>
            </w:r>
            <w:r/>
          </w:p>
        </w:tc>
      </w:tr>
      <w:tr>
        <w:trPr>
          <w:trHeight w:val="20"/>
        </w:trPr>
        <w:tc>
          <w:tcPr>
            <w:gridSpan w:val="4"/>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364"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b/>
                <w:color w:val="000000"/>
                <w:sz w:val="24"/>
              </w:rPr>
              <w:t xml:space="preserve">Tổng cộng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377"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right"/>
              <w:rPr/>
            </w:pPr>
            <w:r>
              <w:rPr>
                <w:rFonts w:ascii="Times New Roman" w:hAnsi="Times New Roman" w:eastAsia="Times New Roman" w:cs="Times New Roman"/>
                <w:b/>
                <w:color w:val="000000"/>
                <w:sz w:val="24"/>
              </w:rPr>
              <w:t xml:space="preserve">2.702.887.500 </w:t>
            </w:r>
            <w:r/>
          </w:p>
        </w:tc>
      </w:tr>
      <w:tr>
        <w:trPr>
          <w:trHeight w:val="20"/>
        </w:trPr>
        <w:tc>
          <w:tcPr>
            <w:gridSpan w:val="5"/>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974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b/>
                <w:i/>
                <w:color w:val="000000"/>
                <w:sz w:val="24"/>
              </w:rPr>
              <w:t xml:space="preserve">(Bằng chữ: Hai tỷ bảy trăm linh hai triệu tám trăm tám mươi bảy nghìn năm trăm đồng./.)</w:t>
            </w:r>
            <w:r/>
          </w:p>
        </w:tc>
      </w:tr>
    </w:tbl>
    <w:p>
      <w:pPr>
        <w:pBdr>
          <w:top w:val="none" w:color="000000" w:sz="4" w:space="0"/>
          <w:left w:val="none" w:color="000000" w:sz="4" w:space="0"/>
          <w:bottom w:val="none" w:color="000000" w:sz="4" w:space="0"/>
          <w:right w:val="none" w:color="000000" w:sz="4" w:space="0"/>
        </w:pBdr>
        <w:spacing w:after="0" w:before="240" w:line="276" w:lineRule="auto"/>
        <w:ind w:right="0" w:firstLine="0" w:left="0"/>
        <w:jc w:val="both"/>
        <w:rPr/>
      </w:pPr>
      <w:r>
        <w:rPr>
          <w:rFonts w:ascii="Times New Roman" w:hAnsi="Times New Roman" w:eastAsia="Times New Roman" w:cs="Times New Roman"/>
          <w:b/>
          <w:color w:val="000000"/>
          <w:sz w:val="24"/>
        </w:rPr>
        <w:t xml:space="preserve">IX. THỜI HẠN HIỆU LỰC CỦA KẾT QUẢ THẨM ĐỊNH GIÁ</w:t>
      </w:r>
      <w:r/>
    </w:p>
    <w:p>
      <w:pPr>
        <w:pStyle w:val="1043"/>
        <w:numPr>
          <w:ilvl w:val="0"/>
          <w:numId w:val="43"/>
        </w:numPr>
        <w:pBdr>
          <w:top w:val="none" w:color="000000" w:sz="4" w:space="0"/>
          <w:left w:val="none" w:color="000000" w:sz="4" w:space="0"/>
          <w:bottom w:val="none" w:color="000000" w:sz="4" w:space="0"/>
          <w:right w:val="none" w:color="000000" w:sz="4" w:space="0"/>
        </w:pBdr>
        <w:spacing w:after="120" w:before="120" w:line="276" w:lineRule="auto"/>
        <w:ind w:right="0" w:hanging="283" w:left="283"/>
        <w:jc w:val="both"/>
        <w:rPr/>
      </w:pPr>
      <w:r>
        <w:rPr>
          <w:rFonts w:ascii="Times New Roman" w:hAnsi="Times New Roman" w:eastAsia="Times New Roman" w:cs="Times New Roman"/>
          <w:color w:val="000000"/>
          <w:sz w:val="24"/>
        </w:rPr>
        <w:t xml:space="preserve">Tối đa 06 (sáu) tháng tính từ ngày ký đối với tài sản là Bất động sản.</w:t>
      </w: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0"/>
        <w:jc w:val="both"/>
        <w:rPr/>
      </w:pPr>
      <w:r>
        <w:rPr>
          <w:rFonts w:ascii="Times New Roman" w:hAnsi="Times New Roman" w:eastAsia="Times New Roman" w:cs="Times New Roman"/>
          <w:b/>
          <w:color w:val="000000"/>
          <w:spacing w:val="-4"/>
          <w:sz w:val="24"/>
        </w:rPr>
        <w:t xml:space="preserve">X. TUYÊN BỐ CHUNG VÀ MIỄN TRỪ TRÁCH NHIỆM</w:t>
      </w:r>
      <w:r/>
    </w:p>
    <w:p>
      <w:pPr>
        <w:pStyle w:val="1043"/>
        <w:numPr>
          <w:ilvl w:val="0"/>
          <w:numId w:val="46"/>
        </w:numPr>
        <w:pBdr>
          <w:top w:val="none" w:color="000000" w:sz="4" w:space="0"/>
          <w:left w:val="none" w:color="000000" w:sz="4" w:space="0"/>
          <w:bottom w:val="none" w:color="000000" w:sz="4" w:space="0"/>
          <w:right w:val="none" w:color="000000" w:sz="4" w:space="0"/>
        </w:pBdr>
        <w:spacing w:after="120" w:before="120" w:line="276" w:lineRule="auto"/>
        <w:ind w:right="0" w:hanging="283" w:left="283"/>
        <w:jc w:val="both"/>
        <w:rPr/>
      </w:pPr>
      <w:r>
        <w:rPr>
          <w:rFonts w:ascii="Times New Roman" w:hAnsi="Times New Roman" w:eastAsia="Times New Roman" w:cs="Times New Roman"/>
          <w:color w:val="000000"/>
          <w:sz w:val="24"/>
        </w:rPr>
        <w:t xml:space="preserve">Công ty Cổ phần Thấm định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p>
    <w:p>
      <w:pPr>
        <w:pStyle w:val="1043"/>
        <w:numPr>
          <w:ilvl w:val="0"/>
          <w:numId w:val="46"/>
        </w:numPr>
        <w:pBdr>
          <w:top w:val="none" w:color="000000" w:sz="4" w:space="0"/>
          <w:left w:val="none" w:color="000000" w:sz="4" w:space="0"/>
          <w:bottom w:val="none" w:color="000000" w:sz="4" w:space="0"/>
          <w:right w:val="none" w:color="000000" w:sz="4" w:space="0"/>
        </w:pBdr>
        <w:spacing w:after="120" w:before="120" w:line="276" w:lineRule="auto"/>
        <w:ind w:right="0" w:hanging="283" w:left="283"/>
        <w:jc w:val="both"/>
        <w:rPr/>
      </w:pPr>
      <w:r>
        <w:rPr>
          <w:rFonts w:ascii="Times New Roman" w:hAnsi="Times New Roman" w:eastAsia="Times New Roman" w:cs="Times New Roman"/>
          <w:color w:val="000000"/>
          <w:sz w:val="24"/>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thẩm định gi</w:t>
      </w:r>
      <w:r>
        <w:rPr>
          <w:rFonts w:ascii="Times New Roman" w:hAnsi="Times New Roman" w:eastAsia="Times New Roman" w:cs="Times New Roman"/>
          <w:color w:val="000000"/>
          <w:sz w:val="24"/>
        </w:rPr>
        <w:t xml:space="preserve">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p>
    <w:p>
      <w:pPr>
        <w:pStyle w:val="1043"/>
        <w:numPr>
          <w:ilvl w:val="0"/>
          <w:numId w:val="46"/>
        </w:numPr>
        <w:pBdr>
          <w:top w:val="none" w:color="000000" w:sz="4" w:space="0"/>
          <w:left w:val="none" w:color="000000" w:sz="4" w:space="0"/>
          <w:bottom w:val="none" w:color="000000" w:sz="4" w:space="0"/>
          <w:right w:val="none" w:color="000000" w:sz="4" w:space="0"/>
        </w:pBdr>
        <w:spacing w:after="120" w:before="120" w:line="276" w:lineRule="auto"/>
        <w:ind w:right="0" w:hanging="283" w:left="283"/>
        <w:jc w:val="both"/>
        <w:rPr/>
      </w:pPr>
      <w:r>
        <w:rPr>
          <w:rFonts w:ascii="Times New Roman" w:hAnsi="Times New Roman" w:eastAsia="Times New Roman" w:cs="Times New Roman"/>
          <w:color w:val="000000"/>
          <w:sz w:val="24"/>
        </w:rPr>
        <w:t xml:space="preserve">Chứng thư, Báo cáo này được soạn thảo theo Hợp đồng số 275/2026/0196/VFI-HĐTĐ</w:t>
      </w:r>
      <w:r>
        <w:rPr>
          <w:rFonts w:ascii="Times New Roman" w:hAnsi="Times New Roman" w:eastAsia="Times New Roman" w:cs="Times New Roman"/>
          <w:b w:val="0"/>
          <w:bCs w:val="0"/>
          <w:color w:val="000000"/>
          <w:sz w:val="24"/>
        </w:rPr>
        <w:t xml:space="preserve">.</w:t>
      </w:r>
      <w:r>
        <w:rPr>
          <w:rFonts w:ascii="Times New Roman" w:hAnsi="Times New Roman" w:eastAsia="Times New Roman" w:cs="Times New Roman"/>
          <w:b w:val="0"/>
          <w:bCs w:val="0"/>
          <w:color w:val="000000"/>
          <w:sz w:val="24"/>
        </w:rPr>
        <w:t xml:space="preserve">27.A</w:t>
      </w:r>
      <w:r>
        <w:rPr>
          <w:rFonts w:ascii="Times New Roman" w:hAnsi="Times New Roman" w:eastAsia="Times New Roman" w:cs="Times New Roman"/>
          <w:b w:val="0"/>
          <w:bCs w:val="0"/>
          <w:color w:val="000000"/>
          <w:sz w:val="24"/>
        </w:rPr>
        <w:t xml:space="preserve"> </w:t>
      </w:r>
      <w:r>
        <w:rPr>
          <w:rFonts w:ascii="Times New Roman" w:hAnsi="Times New Roman" w:eastAsia="Times New Roman" w:cs="Times New Roman"/>
          <w:color w:val="000000"/>
          <w:sz w:val="24"/>
        </w:rPr>
        <w:t xml:space="preserve">được ký kết ngày 25/01/2026 và tuân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w:t>
      </w:r>
      <w:r>
        <w:rPr>
          <w:rFonts w:ascii="Times New Roman" w:hAnsi="Times New Roman" w:eastAsia="Times New Roman" w:cs="Times New Roman"/>
          <w:color w:val="000000"/>
          <w:sz w:val="24"/>
        </w:rPr>
        <w:t xml:space="preserve">g (gọi tắt là “các bên liên quan”).</w:t>
      </w:r>
      <w:r/>
    </w:p>
    <w:p>
      <w:pPr>
        <w:pStyle w:val="1043"/>
        <w:numPr>
          <w:ilvl w:val="0"/>
          <w:numId w:val="46"/>
        </w:numPr>
        <w:pBdr>
          <w:top w:val="none" w:color="000000" w:sz="4" w:space="0"/>
          <w:left w:val="none" w:color="000000" w:sz="4" w:space="0"/>
          <w:bottom w:val="none" w:color="000000" w:sz="4" w:space="0"/>
          <w:right w:val="none" w:color="000000" w:sz="4" w:space="0"/>
        </w:pBdr>
        <w:spacing w:after="120" w:before="120" w:line="276" w:lineRule="auto"/>
        <w:ind w:right="0" w:hanging="283" w:left="283"/>
        <w:jc w:val="both"/>
        <w:rPr/>
      </w:pPr>
      <w:r>
        <w:rPr>
          <w:rFonts w:ascii="Times New Roman" w:hAnsi="Times New Roman" w:eastAsia="Times New Roman" w:cs="Times New Roman"/>
          <w:color w:val="000000"/>
          <w:sz w:val="24"/>
        </w:rPr>
        <w:t xml:space="preserve">Các bên liên quan khi đọc và thực hiện sử dụng sản phẩm tư vấn này, tức là đã chấp nhận và đồng ý với những điều khoản sau</w:t>
      </w:r>
      <w:r>
        <w:rPr>
          <w:rFonts w:ascii="Times New Roman" w:hAnsi="Times New Roman" w:eastAsia="Times New Roman" w:cs="Times New Roman"/>
          <w:color w:val="000000"/>
          <w:sz w:val="22"/>
        </w:rPr>
        <w:t xml:space="preserve">:</w:t>
      </w:r>
      <w:r/>
    </w:p>
    <w:p>
      <w:pPr>
        <w:pStyle w:val="1043"/>
        <w:numPr>
          <w:ilvl w:val="0"/>
          <w:numId w:val="45"/>
        </w:numPr>
        <w:pBdr>
          <w:top w:val="none" w:color="000000" w:sz="4" w:space="0"/>
          <w:left w:val="none" w:color="000000" w:sz="4" w:space="0"/>
          <w:bottom w:val="none" w:color="000000" w:sz="4" w:space="0"/>
          <w:right w:val="none" w:color="000000" w:sz="4" w:space="0"/>
        </w:pBdr>
        <w:spacing w:after="120" w:before="120" w:line="276" w:lineRule="auto"/>
        <w:ind w:right="0" w:hanging="425" w:left="425"/>
        <w:jc w:val="both"/>
        <w:rPr/>
      </w:pPr>
      <w:r>
        <w:rPr>
          <w:rFonts w:ascii="Times New Roman" w:hAnsi="Times New Roman" w:eastAsia="Times New Roman" w:cs="Times New Roman"/>
          <w:color w:val="000000"/>
          <w:sz w:val="24"/>
        </w:rPr>
        <w:t xml:space="preserve">Sản phẩm tư vấn của Chúng tôi chỉ nhằm mục đích duy nhất đã ghi tại Mục 4 của Chứng thư mà không nhằm bất kỳ mục đích nào khác và mọi hành động khách hàng thực hiện đều thuộc quyết định cuối cùng của Quý Khách hàng và các bên liên quan tham gia giao dịch (</w:t>
      </w:r>
      <w:r>
        <w:rPr>
          <w:rFonts w:ascii="Times New Roman" w:hAnsi="Times New Roman" w:eastAsia="Times New Roman" w:cs="Times New Roman"/>
          <w:color w:val="000000"/>
          <w:sz w:val="24"/>
        </w:rPr>
        <w:t xml:space="preserve">nếu có), bao gồm cả việc xem xét các vấn đề nằm ngoài phạm vi công việc của Chúng tôi như Quý Khách hàng đã biết, và không nên sử dụng cho bất kỳ mục đích nào khác. Nếu Quý Khách hàng thực hiện cung cấp cho các bên liên quan nào khác để nhằm thực hiện bất </w:t>
      </w:r>
      <w:r>
        <w:rPr>
          <w:rFonts w:ascii="Times New Roman" w:hAnsi="Times New Roman" w:eastAsia="Times New Roman" w:cs="Times New Roman"/>
          <w:color w:val="000000"/>
          <w:sz w:val="24"/>
        </w:rPr>
        <w:t xml:space="preserve">kỳ mục đích nào thì mọi trách nhiệm có liên quan đều thuộc Quý Khách hàng và các bên liên quan đó tham gia vào các giao dịch có liên quan.</w:t>
      </w:r>
      <w:r/>
    </w:p>
    <w:p>
      <w:pPr>
        <w:pStyle w:val="1043"/>
        <w:numPr>
          <w:ilvl w:val="0"/>
          <w:numId w:val="45"/>
        </w:numPr>
        <w:pBdr>
          <w:top w:val="none" w:color="000000" w:sz="4" w:space="0"/>
          <w:left w:val="none" w:color="000000" w:sz="4" w:space="0"/>
          <w:bottom w:val="none" w:color="000000" w:sz="4" w:space="0"/>
          <w:right w:val="none" w:color="000000" w:sz="4" w:space="0"/>
        </w:pBdr>
        <w:spacing w:after="120" w:before="120" w:line="276" w:lineRule="auto"/>
        <w:ind w:right="0" w:hanging="425" w:left="425"/>
        <w:jc w:val="both"/>
        <w:rPr/>
      </w:pPr>
      <w:r>
        <w:rPr>
          <w:rFonts w:ascii="Times New Roman" w:hAnsi="Times New Roman" w:eastAsia="Times New Roman" w:cs="Times New Roman"/>
          <w:color w:val="000000"/>
          <w:sz w:val="24"/>
        </w:rPr>
        <w:t xml:space="preserve">Lotus VFI, Ban Lãnh đạo, toàn thể nhân viên, Thẩm định viên và đại diện pháp luật của Lotus VFI không chấp nhận bất kỳ nghĩa vụ hoặc trách nhiệm nào đối với các bên liên quan, cho dù được thỏa thuận trong hợp đồng hoặc ngoài hợp đồng (bao gồm nhưng không g</w:t>
      </w:r>
      <w:r>
        <w:rPr>
          <w:rFonts w:ascii="Times New Roman" w:hAnsi="Times New Roman" w:eastAsia="Times New Roman" w:cs="Times New Roman"/>
          <w:color w:val="000000"/>
          <w:sz w:val="24"/>
        </w:rPr>
        <w:t xml:space="preserve">iới hạn lỗi bất cẩn và vi phạm nghĩa vụ theo luật định) hoặc phát sinh trong bất kỳ trường hợp nào khác, và không chịu trách nhiệm đối với bất kỳ tổn thất, thiệt hại hay chi phí trong bất cứ hoàn cảnh nào phát sinh từ bất kỳ mục đích sử dụng Sản phẩm tư vấ</w:t>
      </w:r>
      <w:r>
        <w:rPr>
          <w:rFonts w:ascii="Times New Roman" w:hAnsi="Times New Roman" w:eastAsia="Times New Roman" w:cs="Times New Roman"/>
          <w:color w:val="000000"/>
          <w:sz w:val="24"/>
        </w:rPr>
        <w:t xml:space="preserve">n của các bên liên quan, hoặc do hậu quả của việc cung cấp Chứng thư, Báo cáo cho các bên liên quan.</w:t>
      </w:r>
      <w:r/>
    </w:p>
    <w:p>
      <w:pPr>
        <w:pStyle w:val="1043"/>
        <w:numPr>
          <w:ilvl w:val="0"/>
          <w:numId w:val="45"/>
        </w:numPr>
        <w:pBdr>
          <w:top w:val="none" w:color="000000" w:sz="4" w:space="0"/>
          <w:left w:val="none" w:color="000000" w:sz="4" w:space="0"/>
          <w:bottom w:val="none" w:color="000000" w:sz="4" w:space="0"/>
          <w:right w:val="none" w:color="000000" w:sz="4" w:space="0"/>
        </w:pBdr>
        <w:spacing w:after="120" w:before="120" w:line="276" w:lineRule="auto"/>
        <w:ind w:right="0" w:hanging="425" w:left="425"/>
        <w:jc w:val="both"/>
        <w:rPr/>
      </w:pPr>
      <w:r>
        <w:rPr>
          <w:rFonts w:ascii="Times New Roman" w:hAnsi="Times New Roman" w:eastAsia="Times New Roman" w:cs="Times New Roman"/>
          <w:color w:val="000000"/>
          <w:sz w:val="24"/>
        </w:rPr>
        <w:t xml:space="preserve">Khách hàng hoặc bất kỳ bên nào khác sử dụng báo cáo này và bất kỳ hoạt động nào của bất kỳ bên liên quan nào có tham chiếu tới sản phẩm tư vấn này nếu có bất kỳ thắc mắc nào mà không có yêu cầu giải trình bằng văn bản gửi đến Lotus VFI trước 03 (ba) ngày l</w:t>
      </w:r>
      <w:r>
        <w:rPr>
          <w:rFonts w:ascii="Times New Roman" w:hAnsi="Times New Roman" w:eastAsia="Times New Roman" w:cs="Times New Roman"/>
          <w:color w:val="000000"/>
          <w:sz w:val="24"/>
        </w:rPr>
        <w:t xml:space="preserve">àm việc tính từ ngày báo cáo được tham chiếu hoặc sử dụng thì đều được coi là đã đọc, hiểu rõ toàn bộ nội dung sản phẩm tư vấn này và chấp nhận mục đích thẩm định giá, cơ sở giá trị, các giả định, các tính toán, các nội dung miễn trừ trách nhiệm, những điề</w:t>
      </w:r>
      <w:r>
        <w:rPr>
          <w:rFonts w:ascii="Times New Roman" w:hAnsi="Times New Roman" w:eastAsia="Times New Roman" w:cs="Times New Roman"/>
          <w:color w:val="000000"/>
          <w:sz w:val="24"/>
        </w:rPr>
        <w:t xml:space="preserve">u khoản loại trừ và hạn chế, kết quả thẩm định giá và toàn bộ giá trị đã được trình bày trên báo cáo này và được coi là đã đồng ý với toàn bộ nội dung của sản phẩm tư vấn đã được trình bày, đồng thời cam kết và đảm bảo không có bất kỳ khiếu lại nào có thể </w:t>
      </w:r>
      <w:r>
        <w:rPr>
          <w:rFonts w:ascii="Times New Roman" w:hAnsi="Times New Roman" w:eastAsia="Times New Roman" w:cs="Times New Roman"/>
          <w:color w:val="000000"/>
          <w:sz w:val="24"/>
        </w:rPr>
        <w:t xml:space="preserve">gây tổn hại đến danh dự, trách nhiệm pháp lý, nghĩa vụ kinh tế… của các cá nhân và tập thể Lotus VFI.</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b/>
          <w:color w:val="000000"/>
          <w:sz w:val="24"/>
        </w:rPr>
        <w:t xml:space="preserve">XI. NHỮNG ĐIỀU KHOẢN LOẠI TRỪ VÀ HẠN CHẾ CỦA KẾT QUẢ THẨM ĐỊNH GIÁ</w:t>
      </w:r>
      <w:r/>
    </w:p>
    <w:p>
      <w:pPr>
        <w:pStyle w:val="1043"/>
        <w:numPr>
          <w:ilvl w:val="0"/>
          <w:numId w:val="47"/>
        </w:numPr>
        <w:pBdr>
          <w:top w:val="none" w:color="000000" w:sz="4" w:space="0"/>
          <w:left w:val="none" w:color="000000" w:sz="4" w:space="0"/>
          <w:bottom w:val="none" w:color="000000" w:sz="4" w:space="0"/>
          <w:right w:val="none" w:color="000000" w:sz="4" w:space="0"/>
        </w:pBdr>
        <w:spacing w:after="120" w:before="120" w:line="276" w:lineRule="auto"/>
        <w:ind w:right="0" w:hanging="425" w:left="425"/>
        <w:jc w:val="both"/>
        <w:rPr/>
      </w:pPr>
      <w:r>
        <w:rPr>
          <w:rFonts w:ascii="Times New Roman" w:hAnsi="Times New Roman" w:eastAsia="Times New Roman" w:cs="Times New Roman"/>
          <w:color w:val="000000"/>
          <w:sz w:val="24"/>
        </w:rPr>
        <w:t xml:space="preserve">Chứng thư này chỉ được cung cấp theo yêu cầu của khách hàng. Chỉ bản chính và bản sao Chứng thư thẩm định giá do Công ty Cổ phần Thẩm định và Đầu tư Tài chính Hoa Sen cấp mới có giá trị. Mọi hành vi sử dụng bản sao Chứng thư/Báo cáo kết quả thẩm định giá m</w:t>
      </w:r>
      <w:r>
        <w:rPr>
          <w:rFonts w:ascii="Times New Roman" w:hAnsi="Times New Roman" w:eastAsia="Times New Roman" w:cs="Times New Roman"/>
          <w:color w:val="000000"/>
          <w:sz w:val="24"/>
        </w:rPr>
        <w:t xml:space="preserve">à không có xác nhận của Công ty Cổ phần Thẩm định và Đầu tư Tài chính Hoa Sen đều vi phạm pháp luật và không có giá trị.</w:t>
      </w:r>
      <w:r/>
    </w:p>
    <w:p>
      <w:pPr>
        <w:pStyle w:val="1043"/>
        <w:numPr>
          <w:ilvl w:val="0"/>
          <w:numId w:val="47"/>
        </w:numPr>
        <w:pBdr>
          <w:top w:val="none" w:color="000000" w:sz="4" w:space="0"/>
          <w:left w:val="none" w:color="000000" w:sz="4" w:space="0"/>
          <w:bottom w:val="none" w:color="000000" w:sz="4" w:space="0"/>
          <w:right w:val="none" w:color="000000" w:sz="4" w:space="0"/>
        </w:pBdr>
        <w:spacing w:after="120" w:before="120" w:line="276" w:lineRule="auto"/>
        <w:ind w:right="0" w:hanging="425" w:left="425"/>
        <w:jc w:val="both"/>
        <w:rPr/>
      </w:pPr>
      <w:r>
        <w:rPr>
          <w:rFonts w:ascii="Times New Roman" w:hAnsi="Times New Roman" w:eastAsia="Times New Roman" w:cs="Times New Roman"/>
          <w:color w:val="000000"/>
          <w:sz w:val="24"/>
        </w:rPr>
        <w:t xml:space="preserve">Kết quả thẩm định giá trên chỉ xác nhận khi khách hàng hoàn tất các thủ tục pháp lý và nghĩa vụ tài chính liên quan đến tài sản thẩm định theo quy định của pháp luật hiện hành.</w:t>
      </w:r>
      <w:r/>
    </w:p>
    <w:p>
      <w:pPr>
        <w:pStyle w:val="1043"/>
        <w:numPr>
          <w:ilvl w:val="0"/>
          <w:numId w:val="47"/>
        </w:numPr>
        <w:pBdr>
          <w:top w:val="none" w:color="000000" w:sz="4" w:space="0"/>
          <w:left w:val="none" w:color="000000" w:sz="4" w:space="0"/>
          <w:bottom w:val="none" w:color="000000" w:sz="4" w:space="0"/>
          <w:right w:val="none" w:color="000000" w:sz="4" w:space="0"/>
        </w:pBdr>
        <w:spacing w:after="120" w:before="120" w:line="276" w:lineRule="auto"/>
        <w:ind w:right="0" w:hanging="425" w:left="425"/>
        <w:jc w:val="both"/>
        <w:rPr/>
      </w:pPr>
      <w:r>
        <w:rPr>
          <w:rFonts w:ascii="Times New Roman" w:hAnsi="Times New Roman" w:eastAsia="Times New Roman" w:cs="Times New Roman"/>
          <w:color w:val="000000"/>
          <w:sz w:val="24"/>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p>
    <w:p>
      <w:pPr>
        <w:pStyle w:val="1043"/>
        <w:numPr>
          <w:ilvl w:val="0"/>
          <w:numId w:val="47"/>
        </w:numPr>
        <w:pBdr>
          <w:top w:val="none" w:color="000000" w:sz="4" w:space="0"/>
          <w:left w:val="none" w:color="000000" w:sz="4" w:space="0"/>
          <w:bottom w:val="none" w:color="000000" w:sz="4" w:space="0"/>
          <w:right w:val="none" w:color="000000" w:sz="4" w:space="0"/>
        </w:pBdr>
        <w:spacing w:after="120" w:before="120" w:line="276" w:lineRule="auto"/>
        <w:ind w:right="0" w:hanging="425" w:left="425"/>
        <w:jc w:val="both"/>
        <w:rPr/>
      </w:pPr>
      <w:r>
        <w:rPr>
          <w:rFonts w:ascii="Times New Roman" w:hAnsi="Times New Roman" w:eastAsia="Times New Roman" w:cs="Times New Roman"/>
          <w:color w:val="000000"/>
          <w:sz w:val="24"/>
        </w:rPr>
        <w:t xml:space="preserve">Các phương pháp tính toán trên cơ sở tài liệu được cung cấp bởi khách hàng và dựa trên các tài liệu khác có liên quan do tổ thẩm định thu thập, cũng như các điều kiện và kỳ vọng tại thời điểm thẩm định giá phù hợp với các luật định, chính sách quản lý của </w:t>
      </w:r>
      <w:r>
        <w:rPr>
          <w:rFonts w:ascii="Times New Roman" w:hAnsi="Times New Roman" w:eastAsia="Times New Roman" w:cs="Times New Roman"/>
          <w:color w:val="000000"/>
          <w:sz w:val="24"/>
        </w:rPr>
        <w:t xml:space="preserve">Nhà nước hiện hành và các điều kiện, giả định theo quan điểm hợp lý của tổ thẩm định kèm theo báo cáo này. Một số vấn đề, sự kiện tương lai không có khả năng tính toán chính xác, hoặc nằm ngoài phạm vi chuyên môn nên cần vận dụng các giả định cho việc thẩm</w:t>
      </w:r>
      <w:r>
        <w:rPr>
          <w:rFonts w:ascii="Times New Roman" w:hAnsi="Times New Roman" w:eastAsia="Times New Roman" w:cs="Times New Roman"/>
          <w:color w:val="000000"/>
          <w:sz w:val="24"/>
        </w:rPr>
        <w:t xml:space="preserve"> định giá này, tổ thẩm định không đảm bảo là các giả định làm cơ sở thẩm định giá là chính xác hoàn toàn.</w:t>
      </w:r>
      <w:r/>
    </w:p>
    <w:p>
      <w:pPr>
        <w:pStyle w:val="1043"/>
        <w:numPr>
          <w:ilvl w:val="0"/>
          <w:numId w:val="47"/>
        </w:numPr>
        <w:pBdr>
          <w:top w:val="none" w:color="000000" w:sz="4" w:space="0"/>
          <w:left w:val="none" w:color="000000" w:sz="4" w:space="0"/>
          <w:bottom w:val="none" w:color="000000" w:sz="4" w:space="0"/>
          <w:right w:val="none" w:color="000000" w:sz="4" w:space="0"/>
        </w:pBdr>
        <w:spacing w:after="120" w:before="120" w:line="276" w:lineRule="auto"/>
        <w:ind w:right="0" w:hanging="425" w:left="425"/>
        <w:jc w:val="both"/>
        <w:rPr/>
      </w:pPr>
      <w:r>
        <w:rPr>
          <w:rFonts w:ascii="Times New Roman" w:hAnsi="Times New Roman" w:eastAsia="Times New Roman" w:cs="Times New Roman"/>
          <w:color w:val="000000"/>
          <w:sz w:val="24"/>
        </w:rPr>
        <w:t xml:space="preserve">Công ty Cổ phần Thẩm định và Đầu tư Tài chính Hoa Sen không chịu trách nhiệm kiểm tra thông tin của những bản sao (bản photo) các giấy tờ liên quan đến tính chất pháp lý của tài sản yêu cầu thẩm định giá so với bản gốc. Đồng thời Công ty không tiến hành ki</w:t>
      </w:r>
      <w:r>
        <w:rPr>
          <w:rFonts w:ascii="Times New Roman" w:hAnsi="Times New Roman" w:eastAsia="Times New Roman" w:cs="Times New Roman"/>
          <w:color w:val="000000"/>
          <w:sz w:val="24"/>
        </w:rPr>
        <w:t xml:space="preserve">ểm tra hồ sơ pháp lý gốc để xác nhận về chủ sử dụng của tài sản định giá và Công ty Cổ phần Thẩm định và Đầu tư Tài chính Hoa Sen cũng không đảm bảo về việc phát sinh sử dụng khác của tài sản có thể được thể hiện ở những tài liệu pháp lý mà Khách hàng chưa</w:t>
      </w:r>
      <w:r>
        <w:rPr>
          <w:rFonts w:ascii="Times New Roman" w:hAnsi="Times New Roman" w:eastAsia="Times New Roman" w:cs="Times New Roman"/>
          <w:color w:val="000000"/>
          <w:sz w:val="24"/>
        </w:rPr>
        <w:t xml:space="preserve"> cung cấp. Công ty Cổ phần Thẩm định và Đầu tư Tài chính Hoa Sen giả định rằng tất cả các tài liệu pháp lý được cung cấp từ phía Khách hàng đều trung thực và hợp lý. Công ty Cổ phần Thẩm định và Đầu tư Tài chính Hoa Sen cũng khuyến cáo rằng những đối tượng</w:t>
      </w:r>
      <w:r>
        <w:rPr>
          <w:rFonts w:ascii="Times New Roman" w:hAnsi="Times New Roman" w:eastAsia="Times New Roman" w:cs="Times New Roman"/>
          <w:color w:val="000000"/>
          <w:sz w:val="24"/>
        </w:rPr>
        <w:t xml:space="preserve"> sử dụng bản báo cáo nên thận trọng trong việc làm rõ các tài liệu pháp lý có liên quan đến vấn đề này trước khi đưa ra các quyết định về tài sản định giá.</w:t>
      </w:r>
      <w:r/>
    </w:p>
    <w:p>
      <w:pPr>
        <w:pStyle w:val="1043"/>
        <w:numPr>
          <w:ilvl w:val="0"/>
          <w:numId w:val="47"/>
        </w:numPr>
        <w:pBdr>
          <w:top w:val="none" w:color="000000" w:sz="4" w:space="0"/>
          <w:left w:val="none" w:color="000000" w:sz="4" w:space="0"/>
          <w:bottom w:val="none" w:color="000000" w:sz="4" w:space="0"/>
          <w:right w:val="none" w:color="000000" w:sz="4" w:space="0"/>
        </w:pBdr>
        <w:spacing w:after="120" w:before="120" w:line="276" w:lineRule="auto"/>
        <w:ind w:right="0" w:hanging="425" w:left="425"/>
        <w:jc w:val="both"/>
        <w:rPr/>
      </w:pPr>
      <w:r>
        <w:rPr>
          <w:rFonts w:ascii="Times New Roman" w:hAnsi="Times New Roman" w:eastAsia="Times New Roman" w:cs="Times New Roman"/>
          <w:color w:val="000000"/>
          <w:sz w:val="24"/>
        </w:rPr>
        <w:t xml:space="preserve">Khách hàng yêu cầu thẩm định giá và người hướng dẫn tổ thẩm định thực hiện thẩm định hiện trạng tài sản phải chịu hoàn toàn trách nhiệm về thông tin liên quan đến đặc điểm kinh tế - kỹ thuật, tính năng và tính pháp lý của tài sản thẩm định giá đã cung cấp </w:t>
      </w:r>
      <w:r>
        <w:rPr>
          <w:rFonts w:ascii="Times New Roman" w:hAnsi="Times New Roman" w:eastAsia="Times New Roman" w:cs="Times New Roman"/>
          <w:color w:val="000000"/>
          <w:sz w:val="24"/>
        </w:rPr>
        <w:t xml:space="preserve">cho Công ty Cổ phần Thẩm định và Đầu tư Tài chính Hoa Sen tại thời điểm và địa điểm thẩm định giá.</w:t>
      </w:r>
      <w:r/>
    </w:p>
    <w:p>
      <w:pPr>
        <w:pStyle w:val="1043"/>
        <w:numPr>
          <w:ilvl w:val="0"/>
          <w:numId w:val="47"/>
        </w:numPr>
        <w:pBdr>
          <w:top w:val="none" w:color="000000" w:sz="4" w:space="0"/>
          <w:left w:val="none" w:color="000000" w:sz="4" w:space="0"/>
          <w:bottom w:val="none" w:color="000000" w:sz="4" w:space="0"/>
          <w:right w:val="none" w:color="000000" w:sz="4" w:space="0"/>
        </w:pBdr>
        <w:spacing w:after="120" w:before="120" w:line="276" w:lineRule="auto"/>
        <w:ind w:right="0" w:hanging="425" w:left="425"/>
        <w:jc w:val="both"/>
        <w:rPr/>
      </w:pPr>
      <w:r>
        <w:rPr>
          <w:rFonts w:ascii="Times New Roman" w:hAnsi="Times New Roman" w:eastAsia="Times New Roman" w:cs="Times New Roman"/>
          <w:color w:val="000000"/>
          <w:sz w:val="24"/>
        </w:rPr>
        <w:t xml:space="preserve">Chúng tôi nhấn mạnh rằng việc thẩm định giá không phải là môn khoa học chính xác, mà là kết luận đưa ra trong nhiều trường hợp sẽ mang tính chủ quan và phụ thuộc vào đánh giá cá nhân. Vì thế, chúng tôi đưa ra giá trị tài sản thẩm định là giá trị ước tính. </w:t>
      </w:r>
      <w:r>
        <w:rPr>
          <w:rFonts w:ascii="Times New Roman" w:hAnsi="Times New Roman" w:eastAsia="Times New Roman" w:cs="Times New Roman"/>
          <w:color w:val="000000"/>
          <w:sz w:val="24"/>
        </w:rPr>
        <w:t xml:space="preserve">Giá trị ước tính này không nhất thiết phải trùng khớp với giá trị dùng để giao dịch.</w:t>
      </w:r>
      <w:r/>
    </w:p>
    <w:p>
      <w:pPr>
        <w:pStyle w:val="1043"/>
        <w:numPr>
          <w:ilvl w:val="0"/>
          <w:numId w:val="47"/>
        </w:numPr>
        <w:pBdr>
          <w:top w:val="none" w:color="000000" w:sz="4" w:space="0"/>
          <w:left w:val="none" w:color="000000" w:sz="4" w:space="0"/>
          <w:bottom w:val="none" w:color="000000" w:sz="4" w:space="0"/>
          <w:right w:val="none" w:color="000000" w:sz="4" w:space="0"/>
        </w:pBdr>
        <w:spacing w:after="120" w:before="120" w:line="276" w:lineRule="auto"/>
        <w:ind w:right="0" w:hanging="425" w:left="425"/>
        <w:jc w:val="both"/>
        <w:rPr/>
      </w:pPr>
      <w:r>
        <w:rPr>
          <w:rFonts w:ascii="Times New Roman" w:hAnsi="Times New Roman" w:eastAsia="Times New Roman" w:cs="Times New Roman"/>
          <w:color w:val="000000"/>
          <w:sz w:val="24"/>
        </w:rPr>
        <w:t xml:space="preserve">Chúng tôi chỉ hoạt động trong lĩnh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w:t>
      </w:r>
      <w:r>
        <w:rPr>
          <w:rFonts w:ascii="Times New Roman" w:hAnsi="Times New Roman" w:eastAsia="Times New Roman" w:cs="Times New Roman"/>
          <w:color w:val="000000"/>
          <w:sz w:val="24"/>
        </w:rPr>
        <w:t xml:space="preserve">ch, số ô, số thửa, tờ bản đồ theo Giấy chứng nhận quyền sử dụng đất đã cung cấp cho chúng tôi.</w:t>
      </w:r>
      <w:r/>
    </w:p>
    <w:p>
      <w:pPr>
        <w:pStyle w:val="1043"/>
        <w:numPr>
          <w:ilvl w:val="0"/>
          <w:numId w:val="47"/>
        </w:numPr>
        <w:pBdr>
          <w:top w:val="none" w:color="000000" w:sz="4" w:space="0"/>
          <w:left w:val="none" w:color="000000" w:sz="4" w:space="0"/>
          <w:bottom w:val="none" w:color="000000" w:sz="4" w:space="0"/>
          <w:right w:val="none" w:color="000000" w:sz="4" w:space="0"/>
        </w:pBdr>
        <w:spacing w:after="120" w:before="120" w:line="276" w:lineRule="auto"/>
        <w:ind w:right="0" w:hanging="425" w:left="425"/>
        <w:jc w:val="both"/>
        <w:rPr/>
      </w:pPr>
      <w:r>
        <w:rPr>
          <w:rFonts w:ascii="Times New Roman" w:hAnsi="Times New Roman" w:eastAsia="Times New Roman" w:cs="Times New Roman"/>
          <w:color w:val="000000"/>
          <w:sz w:val="24"/>
        </w:rPr>
        <w:t xml:space="preserve">Chúng tôi giả định rằng tài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w:t>
      </w:r>
      <w:r>
        <w:rPr>
          <w:rFonts w:ascii="Times New Roman" w:hAnsi="Times New Roman" w:eastAsia="Times New Roman" w:cs="Times New Roman"/>
          <w:color w:val="000000"/>
          <w:sz w:val="24"/>
        </w:rPr>
        <w:t xml:space="preserve"> trừ mọi trách nhiệm phát sinh, liên đới (nếu có) trong trường hợp này.</w:t>
      </w:r>
      <w:r/>
    </w:p>
    <w:p>
      <w:pPr>
        <w:pStyle w:val="1043"/>
        <w:numPr>
          <w:ilvl w:val="0"/>
          <w:numId w:val="47"/>
        </w:numPr>
        <w:pBdr>
          <w:top w:val="none" w:color="000000" w:sz="4" w:space="0"/>
          <w:left w:val="none" w:color="000000" w:sz="4" w:space="0"/>
          <w:bottom w:val="none" w:color="000000" w:sz="4" w:space="0"/>
          <w:right w:val="none" w:color="000000" w:sz="4" w:space="0"/>
        </w:pBdr>
        <w:spacing w:after="0" w:before="120" w:line="276" w:lineRule="auto"/>
        <w:ind w:right="0" w:hanging="425" w:left="425"/>
        <w:jc w:val="both"/>
        <w:rPr/>
      </w:pPr>
      <w:r>
        <w:rPr>
          <w:rFonts w:ascii="Times New Roman" w:hAnsi="Times New Roman" w:eastAsia="Times New Roman" w:cs="Times New Roman"/>
          <w:color w:val="000000"/>
          <w:sz w:val="24"/>
        </w:rPr>
        <w:t xml:space="preserve">Trên giấy chứng nhận không thể hiện sơ đồ của thửa đất, </w:t>
      </w:r>
      <w:r>
        <w:rPr>
          <w:rFonts w:ascii="Times New Roman" w:hAnsi="Times New Roman" w:eastAsia="Times New Roman" w:cs="Times New Roman"/>
          <w:b w:val="0"/>
          <w:bCs w:val="0"/>
          <w:i w:val="0"/>
          <w:iCs w:val="0"/>
          <w:color w:val="ff0000"/>
          <w:sz w:val="24"/>
          <w:szCs w:val="24"/>
        </w:rPr>
        <w:t xml:space="preserve">tổ thẩm định đã yêu cầu và không được cung cấp thêm hồ sơ nào khác liên quan đến các thửa đất</w:t>
      </w:r>
      <w:r/>
      <w:r>
        <w:rPr>
          <w:rFonts w:ascii="Times New Roman" w:hAnsi="Times New Roman" w:eastAsia="Times New Roman" w:cs="Times New Roman"/>
          <w:color w:val="000000"/>
          <w:sz w:val="24"/>
        </w:rPr>
        <w:t xml:space="preserve">, qua khảo sát thực tế dưới dự hướng dẫn của khách hàng, 3 thửa đất thẩm định có kích thước, diện tích và hình dáng giống hệt nhau, kích thước đo mỗi thửa là 5x25,5m, hình dáng vuông vức, trên 3 thửa đấ</w:t>
      </w:r>
      <w:r>
        <w:rPr>
          <w:rFonts w:ascii="Times New Roman" w:hAnsi="Times New Roman" w:eastAsia="Times New Roman" w:cs="Times New Roman"/>
          <w:color w:val="000000"/>
          <w:sz w:val="24"/>
        </w:rPr>
        <w:t xml:space="preserve">t này có 01 nhà xưởng. Tổ thẩm định giả định các thông tin đã khảo sát được là trùng khớp với thông tin được cấp tại </w:t>
      </w:r>
      <w:r>
        <w:rPr>
          <w:rFonts w:ascii="Times New Roman" w:hAnsi="Times New Roman" w:eastAsia="Times New Roman" w:cs="Times New Roman"/>
          <w:color w:val="ff0000"/>
          <w:sz w:val="24"/>
        </w:rPr>
        <w:t xml:space="preserve">Giấy chứng nhận quyền sử dụng đất quyền sở hữu tài sản gắn liền với đất số: BK 713663, số vào sổ cấp GCN: CH 01114 do UBND huyện Bảo Thắng cấp ngày 12/4/2012 cho ông Bùi Đức Toàn; Giấy chứng nhận quyền sử dụng đất quyền sở hữu tài sản gắn liền với đất số: </w:t>
      </w:r>
      <w:r>
        <w:rPr>
          <w:rFonts w:ascii="Times New Roman" w:hAnsi="Times New Roman" w:eastAsia="Times New Roman" w:cs="Times New Roman"/>
          <w:color w:val="ff0000"/>
          <w:sz w:val="24"/>
        </w:rPr>
        <w:t xml:space="preserve">BK 713664, số vào sổ cấp GCN: CH 01114 do UBND huyện Bảo Thắng cấp ngày 12/4/2012 cho ông Bùi Đức Toàn và Giấy chứng nhận quyền sử dụng đất quyền sở hữu tài sản gắn liền với đất số: BK 711045, số vào sổ cấp GCN: CH01348 do UBND huyện Bảo Thắng cấp ngày 12/</w:t>
      </w:r>
      <w:r>
        <w:rPr>
          <w:rFonts w:ascii="Times New Roman" w:hAnsi="Times New Roman" w:eastAsia="Times New Roman" w:cs="Times New Roman"/>
          <w:color w:val="ff0000"/>
          <w:sz w:val="24"/>
        </w:rPr>
        <w:t xml:space="preserve">4/2012 cho ông Bùi Đức Toàn</w:t>
      </w:r>
      <w:r>
        <w:rPr>
          <w:rFonts w:ascii="Times New Roman" w:hAnsi="Times New Roman" w:eastAsia="Times New Roman" w:cs="Times New Roman"/>
          <w:color w:val="000000"/>
          <w:sz w:val="24"/>
        </w:rPr>
        <w:t xml:space="preserve">. Sau ngày phát hành chứng có văn bản xác thực liên quan đến hình dáng, kích thước của sổ thì sẽ được thẩm định bằng 1 cuộc thẩm định giá khác. Kính đề nghị đơn vị sử dụng chứng thư lưu ý và xem xét.</w:t>
      </w:r>
      <w:r/>
    </w:p>
    <w:p>
      <w:pPr>
        <w:pStyle w:val="1043"/>
        <w:numPr>
          <w:ilvl w:val="0"/>
          <w:numId w:val="47"/>
        </w:numPr>
        <w:pBdr>
          <w:top w:val="none" w:color="000000" w:sz="4" w:space="0"/>
          <w:left w:val="none" w:color="000000" w:sz="4" w:space="0"/>
          <w:bottom w:val="none" w:color="000000" w:sz="4" w:space="0"/>
          <w:right w:val="none" w:color="000000" w:sz="4" w:space="0"/>
        </w:pBdr>
        <w:spacing w:after="120" w:before="120" w:line="276" w:lineRule="auto"/>
        <w:ind w:right="0" w:hanging="425" w:left="425"/>
        <w:jc w:val="both"/>
        <w:rPr/>
      </w:pPr>
      <w:r>
        <w:rPr>
          <w:rFonts w:ascii="Times New Roman" w:hAnsi="Times New Roman" w:eastAsia="Times New Roman" w:cs="Times New Roman"/>
          <w:color w:val="ff0000"/>
          <w:sz w:val="24"/>
        </w:rPr>
        <w:t xml:space="preserve">Qua khảo sát hiện trạng tài sản, tổ thẩm định nhận thấy trên 3 thửa đất thẩm định có 01 tài sản là nhà xưởng kết cấu tường gạch mái tôn, tường phía trên quây tôn. Hiện công trình xây dựng này chưa được chứng nhận trên Giấy chứng nhận quyền sử dụng đất quyề</w:t>
      </w:r>
      <w:r>
        <w:rPr>
          <w:rFonts w:ascii="Times New Roman" w:hAnsi="Times New Roman" w:eastAsia="Times New Roman" w:cs="Times New Roman"/>
          <w:color w:val="ff0000"/>
          <w:sz w:val="24"/>
        </w:rPr>
        <w:t xml:space="preserve">n sở hữu tài sản gắn liền với đất số: BK 713663, số vào sổ cấp GCN: CH 01114 do UBND huyện Bảo Thắng cấp ngày 12/4/2012 cho ông Bùi Đức Toàn; Giấy chứng nhận quyền sử dụng đất quyền sở hữu tài sản gắn liền với đất số: BK 713664, số vào sổ cấp GCN: CH 01114</w:t>
      </w:r>
      <w:r>
        <w:rPr>
          <w:rFonts w:ascii="Times New Roman" w:hAnsi="Times New Roman" w:eastAsia="Times New Roman" w:cs="Times New Roman"/>
          <w:color w:val="ff0000"/>
          <w:sz w:val="24"/>
        </w:rPr>
        <w:t xml:space="preserve"> do UBND huyện Bảo Thắng cấp ngày 12/4/2012 cho ông Bùi Đức Toàn và Giấy chứng nhận quyền sử dụng đất quyền sở hữu tài sản gắn liền với đất số: BK 711045, số vào sổ cấp GCN: CH01348 do UBND huyện Bảo Thắng cấp ngày 12/4/2012 cho ông Bùi Đức Toàn. Mặt khác,</w:t>
      </w:r>
      <w:r>
        <w:rPr>
          <w:rFonts w:ascii="Times New Roman" w:hAnsi="Times New Roman" w:eastAsia="Times New Roman" w:cs="Times New Roman"/>
          <w:color w:val="ff0000"/>
          <w:sz w:val="24"/>
        </w:rPr>
        <w:t xml:space="preserve"> Tổ thẩm định không thu thập được bất kỳ hồ sơ tài liệu pháp lý nào (giấy phép xây dựng, hồ sơ thiết kế, hồ sơ hoàn công…) liên quan đến công trình nhà ở này. Do đó, kết quả của Chứng thư và Báo cáo Thẩm định giá của chúng tôi chỉ xác định Giá trị quyền sử</w:t>
      </w:r>
      <w:r>
        <w:rPr>
          <w:rFonts w:ascii="Times New Roman" w:hAnsi="Times New Roman" w:eastAsia="Times New Roman" w:cs="Times New Roman"/>
          <w:color w:val="ff0000"/>
          <w:sz w:val="24"/>
        </w:rPr>
        <w:t xml:space="preserve"> dụng đất. Kính đề nghị người sử dụng Chứng thư, Báo cáo thẩm định giá này (các tổ chức tín dụng) lưu ý khi xét cấp tín dụng.</w:t>
      </w:r>
      <w:r/>
    </w:p>
    <w:p>
      <w:pPr>
        <w:pStyle w:val="1043"/>
        <w:numPr>
          <w:ilvl w:val="0"/>
          <w:numId w:val="47"/>
        </w:numPr>
        <w:pBdr>
          <w:top w:val="none" w:color="000000" w:sz="4" w:space="0"/>
          <w:left w:val="none" w:color="000000" w:sz="4" w:space="0"/>
          <w:bottom w:val="none" w:color="000000" w:sz="4" w:space="0"/>
          <w:right w:val="none" w:color="000000" w:sz="4" w:space="0"/>
        </w:pBdr>
        <w:spacing w:after="120" w:before="120" w:line="276" w:lineRule="auto"/>
        <w:ind w:right="0" w:hanging="425" w:left="425"/>
        <w:jc w:val="both"/>
        <w:rPr/>
      </w:pPr>
      <w:r>
        <w:rPr>
          <w:rFonts w:ascii="Times New Roman" w:hAnsi="Times New Roman" w:eastAsia="Times New Roman" w:cs="Times New Roman"/>
          <w:color w:val="000000"/>
          <w:sz w:val="24"/>
        </w:rPr>
        <w:t xml:space="preserve">Tổ thẩm định giá sử dụng Phương pháp so sánh để xác định giá trị tài sản thẩm định giá trong đó việc thu thập thông tin TSSS đã giao dịch thành công còn gặp nhiều hạn chế, vì vậy tổ thẩm định giá sử dụng các TSSS là các tài sản đang được giao bán trên thị </w:t>
      </w:r>
      <w:r>
        <w:rPr>
          <w:rFonts w:ascii="Times New Roman" w:hAnsi="Times New Roman" w:eastAsia="Times New Roman" w:cs="Times New Roman"/>
          <w:color w:val="000000"/>
          <w:sz w:val="24"/>
        </w:rPr>
        <w:t xml:space="preserve">trường. Kết quả thẩm định giá có thể thay đổi khi các TSSS được giao dịch thành công. Khách hàng và các bên thứ ba khi sử dụng kết quả thẩm định giá cần lưu ý khi sử dụng Chứng thư thẩm định giá.</w:t>
      </w:r>
      <w:r/>
    </w:p>
    <w:p>
      <w:pPr>
        <w:pStyle w:val="1043"/>
        <w:numPr>
          <w:ilvl w:val="0"/>
          <w:numId w:val="47"/>
        </w:numPr>
        <w:pBdr>
          <w:top w:val="none" w:color="000000" w:sz="4" w:space="0"/>
          <w:left w:val="none" w:color="000000" w:sz="4" w:space="0"/>
          <w:bottom w:val="none" w:color="000000" w:sz="4" w:space="0"/>
          <w:right w:val="none" w:color="000000" w:sz="4" w:space="0"/>
        </w:pBdr>
        <w:spacing w:after="120" w:before="120" w:line="276" w:lineRule="auto"/>
        <w:ind w:right="0" w:hanging="425" w:left="425"/>
        <w:jc w:val="both"/>
        <w:rPr/>
      </w:pPr>
      <w:r>
        <w:rPr>
          <w:rFonts w:ascii="Times New Roman" w:hAnsi="Times New Roman" w:eastAsia="Times New Roman" w:cs="Times New Roman"/>
          <w:color w:val="000000"/>
          <w:sz w:val="24"/>
        </w:rPr>
        <w:t xml:space="preserve">Kết quả thẩm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w:t>
      </w:r>
      <w:r>
        <w:rPr>
          <w:rFonts w:ascii="Times New Roman" w:hAnsi="Times New Roman" w:eastAsia="Times New Roman" w:cs="Times New Roman"/>
          <w:color w:val="000000"/>
          <w:sz w:val="24"/>
        </w:rPr>
        <w:t xml:space="preserve">định giá.</w:t>
      </w:r>
      <w:r/>
    </w:p>
    <w:p>
      <w:pPr>
        <w:pStyle w:val="1043"/>
        <w:numPr>
          <w:ilvl w:val="0"/>
          <w:numId w:val="47"/>
        </w:numPr>
        <w:pBdr>
          <w:top w:val="none" w:color="000000" w:sz="4" w:space="0"/>
          <w:left w:val="none" w:color="000000" w:sz="4" w:space="0"/>
          <w:bottom w:val="none" w:color="000000" w:sz="4" w:space="0"/>
          <w:right w:val="none" w:color="000000" w:sz="4" w:space="0"/>
        </w:pBdr>
        <w:spacing w:after="120" w:before="120" w:line="276" w:lineRule="auto"/>
        <w:ind w:right="0" w:hanging="425" w:left="425"/>
        <w:jc w:val="both"/>
        <w:rPr/>
      </w:pPr>
      <w:r>
        <w:rPr>
          <w:rFonts w:ascii="Times New Roman" w:hAnsi="Times New Roman" w:eastAsia="Times New Roman" w:cs="Times New Roman"/>
          <w:color w:val="000000"/>
          <w:sz w:val="24"/>
        </w:rPr>
        <w:t xml:space="preserve">Tổ thẩm định đã gửi các bản dự thảo chứng thư cho các đơn vị sử dụng chứng thư đọc, xem xét, cân nhắc và quyết định ra bản chứng thư này, sau ngày phát hành chứng thư chúng tôi hiểu rằng tất cả các bên đã thống nhất với các giả định, giả thiết và hạn chế, </w:t>
      </w:r>
      <w:r>
        <w:rPr>
          <w:rFonts w:ascii="Times New Roman" w:hAnsi="Times New Roman" w:eastAsia="Times New Roman" w:cs="Times New Roman"/>
          <w:color w:val="000000"/>
          <w:sz w:val="24"/>
        </w:rPr>
        <w:t xml:space="preserve">kết quả…. và chấp nhận sử dụng tất cả nội dung được trình bày trong chứng thư này.</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b/>
          <w:color w:val="000000"/>
          <w:sz w:val="24"/>
        </w:rPr>
        <w:t xml:space="preserve">X. CÁC PHỤ LỤC KÈM THEO </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color w:val="000000"/>
          <w:sz w:val="24"/>
        </w:rPr>
        <w:t xml:space="preserve">Phụ lục 1: Hình ảnh hiện trạng của tài sản.</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color w:val="000000"/>
          <w:sz w:val="24"/>
        </w:rPr>
        <w:t xml:space="preserve">Phụ lục 2: Thông tin thu thập thị trường.</w:t>
      </w:r>
      <w:r/>
    </w:p>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pPr>
      <w:r>
        <w:rPr>
          <w:rFonts w:ascii="Times New Roman" w:hAnsi="Times New Roman" w:eastAsia="Times New Roman" w:cs="Times New Roman"/>
          <w:color w:val="000000"/>
          <w:sz w:val="24"/>
        </w:rPr>
        <w:t xml:space="preserve">Báo cáo kết quả thẩm định giá được phát hành 03 (ba) bản chính bằng tiếng Việt kèm theo Chứng thư thẩm định giá số 275/2026/0196/VFI-CT.27.A ngày 26/01/2026 tại Công ty Cổ phần Thẩm định và Đầu tư Tài chính Hoa Sen.</w:t>
      </w:r>
      <w:r/>
    </w:p>
    <w:tbl>
      <w:tblPr>
        <w:tblStyle w:val="1047"/>
        <w:tblInd w:w="-221"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4621"/>
        <w:gridCol w:w="5148"/>
      </w:tblGrid>
      <w:tr>
        <w:trPr>
          <w:trHeight w:val="1087"/>
        </w:trPr>
        <w:tc>
          <w:tcPr>
            <w:tcBorders/>
            <w:tcMar>
              <w:left w:w="108" w:type="dxa"/>
              <w:top w:w="0" w:type="dxa"/>
              <w:right w:w="108" w:type="dxa"/>
              <w:bottom w:w="0" w:type="dxa"/>
            </w:tcMar>
            <w:tcW w:w="462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120" w:line="276" w:lineRule="auto"/>
              <w:ind w:right="0" w:firstLine="0" w:left="0"/>
              <w:jc w:val="center"/>
              <w:rPr/>
            </w:pPr>
            <w:r>
              <w:rPr>
                <w:rFonts w:ascii="Times New Roman" w:hAnsi="Times New Roman" w:eastAsia="Times New Roman" w:cs="Times New Roman"/>
                <w:b/>
                <w:color w:val="000000"/>
                <w:spacing w:val="3"/>
                <w:sz w:val="24"/>
                <w:highlight w:val="none"/>
              </w:rPr>
            </w:r>
            <w:r>
              <w:rPr>
                <w:rFonts w:ascii="Times New Roman" w:hAnsi="Times New Roman" w:eastAsia="Times New Roman" w:cs="Times New Roman"/>
                <w:b/>
                <w:color w:val="000000"/>
                <w:spacing w:val="3"/>
                <w:sz w:val="24"/>
                <w:highlight w:val="none"/>
              </w:rPr>
            </w:r>
            <w:r>
              <w:rPr>
                <w:rFonts w:ascii="Times New Roman" w:hAnsi="Times New Roman" w:eastAsia="Times New Roman" w:cs="Times New Roman"/>
                <w:b/>
                <w:color w:val="000000"/>
                <w:spacing w:val="3"/>
                <w:sz w:val="24"/>
                <w:highlight w:val="none"/>
              </w:rPr>
            </w:r>
          </w:p>
          <w:p>
            <w:pPr>
              <w:pBdr>
                <w:top w:val="none" w:color="000000" w:sz="4" w:space="0"/>
                <w:left w:val="none" w:color="000000" w:sz="4" w:space="0"/>
                <w:bottom w:val="none" w:color="000000" w:sz="4" w:space="0"/>
                <w:right w:val="none" w:color="000000" w:sz="4" w:space="0"/>
              </w:pBdr>
              <w:spacing w:after="0" w:before="120" w:line="276" w:lineRule="auto"/>
              <w:ind w:right="0" w:firstLine="0" w:left="0"/>
              <w:jc w:val="center"/>
              <w:rPr>
                <w:rFonts w:ascii="Times New Roman" w:hAnsi="Times New Roman" w:eastAsia="Times New Roman" w:cs="Times New Roman"/>
                <w:b/>
                <w:bCs/>
                <w:color w:val="000000"/>
                <w:spacing w:val="3"/>
                <w:sz w:val="24"/>
                <w:szCs w:val="24"/>
                <w:highlight w:val="none"/>
              </w:rPr>
            </w:pPr>
            <w:r>
              <w:rPr>
                <w:rFonts w:ascii="Times New Roman" w:hAnsi="Times New Roman" w:eastAsia="Times New Roman" w:cs="Times New Roman"/>
                <w:b/>
                <w:color w:val="000000"/>
                <w:spacing w:val="3"/>
                <w:sz w:val="24"/>
              </w:rPr>
              <w:t xml:space="preserve">THẨM ĐỊNH VIÊN VỀ GIÁ</w:t>
            </w:r>
            <w:r/>
          </w:p>
        </w:tc>
        <w:tc>
          <w:tcPr>
            <w:tcBorders/>
            <w:tcMar>
              <w:left w:w="108" w:type="dxa"/>
              <w:top w:w="0" w:type="dxa"/>
              <w:right w:w="108" w:type="dxa"/>
              <w:bottom w:w="0" w:type="dxa"/>
            </w:tcMar>
            <w:tcW w:w="514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b/>
                <w:color w:val="000000"/>
                <w:spacing w:val="3"/>
                <w:sz w:val="24"/>
              </w:rPr>
              <w:t xml:space="preserve">CÔNG TY CỔ PHẦN THẨM ĐỊNH VÀ ĐẦU TƯ TÀI CHÍNH HOA SEN</w:t>
            </w:r>
            <w:r/>
          </w:p>
          <w:p>
            <w:pPr>
              <w:pBdr>
                <w:top w:val="none" w:color="000000" w:sz="4" w:space="0"/>
                <w:left w:val="none" w:color="000000" w:sz="4" w:space="0"/>
                <w:bottom w:val="none" w:color="000000" w:sz="4" w:space="0"/>
                <w:right w:val="none" w:color="000000" w:sz="4" w:space="0"/>
              </w:pBdr>
              <w:spacing w:after="0" w:before="120" w:line="276" w:lineRule="auto"/>
              <w:ind w:right="0" w:firstLine="0" w:left="0"/>
              <w:jc w:val="center"/>
              <w:rPr/>
            </w:pPr>
            <w:r>
              <w:rPr>
                <w:rFonts w:ascii="Times New Roman" w:hAnsi="Times New Roman" w:eastAsia="Times New Roman" w:cs="Times New Roman"/>
                <w:b/>
                <w:color w:val="000000"/>
                <w:sz w:val="24"/>
              </w:rPr>
              <w:t xml:space="preserve">CHỦ TỊCH HĐQT</w:t>
            </w:r>
            <w:r>
              <w:rPr>
                <w:rFonts w:ascii="Times New Roman" w:hAnsi="Times New Roman" w:eastAsia="Times New Roman" w:cs="Times New Roman"/>
                <w:color w:val="000000"/>
                <w:sz w:val="24"/>
              </w:rPr>
              <w:t xml:space="preserve"> </w:t>
            </w:r>
            <w:r>
              <w:rPr>
                <w:rFonts w:ascii="Times New Roman" w:hAnsi="Times New Roman" w:eastAsia="Times New Roman" w:cs="Times New Roman"/>
                <w:b/>
                <w:color w:val="000000"/>
                <w:sz w:val="24"/>
              </w:rPr>
              <w:t xml:space="preserve">KIÊM TỔNG GIÁM ĐỐC</w:t>
            </w:r>
            <w:r/>
          </w:p>
        </w:tc>
      </w:tr>
      <w:tr>
        <w:trPr>
          <w:trHeight w:val="1508"/>
        </w:trPr>
        <w:tc>
          <w:tcPr>
            <w:tcBorders/>
            <w:tcMar>
              <w:left w:w="108" w:type="dxa"/>
              <w:top w:w="0" w:type="dxa"/>
              <w:right w:w="108" w:type="dxa"/>
              <w:bottom w:w="0" w:type="dxa"/>
            </w:tcMar>
            <w:tcW w:w="4621"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120" w:line="276" w:lineRule="auto"/>
              <w:ind w:right="0" w:firstLine="0" w:left="0"/>
              <w:jc w:val="center"/>
              <w:rPr/>
            </w:pPr>
            <w:r>
              <w:rPr>
                <w:rFonts w:ascii="Times New Roman" w:hAnsi="Times New Roman" w:eastAsia="Times New Roman" w:cs="Times New Roman"/>
                <w:b/>
                <w:color w:val="000000"/>
                <w:spacing w:val="3"/>
                <w:sz w:val="24"/>
              </w:rPr>
              <w:t xml:space="preserve"> </w:t>
            </w:r>
            <w:r/>
          </w:p>
          <w:p>
            <w:pPr>
              <w:pBdr>
                <w:top w:val="none" w:color="000000" w:sz="4" w:space="0"/>
                <w:left w:val="none" w:color="000000" w:sz="4" w:space="0"/>
                <w:bottom w:val="none" w:color="000000" w:sz="4" w:space="0"/>
                <w:right w:val="none" w:color="000000" w:sz="4" w:space="0"/>
              </w:pBdr>
              <w:spacing w:after="0" w:before="120" w:line="276" w:lineRule="auto"/>
              <w:ind w:right="0" w:firstLine="0" w:left="0"/>
              <w:jc w:val="center"/>
              <w:rPr/>
            </w:pPr>
            <w:r>
              <w:rPr>
                <w:rFonts w:ascii="Times New Roman" w:hAnsi="Times New Roman" w:eastAsia="Times New Roman" w:cs="Times New Roman"/>
                <w:b/>
                <w:color w:val="000000"/>
                <w:spacing w:val="3"/>
                <w:sz w:val="24"/>
              </w:rPr>
              <w:t xml:space="preserve"> </w:t>
            </w:r>
            <w:r/>
          </w:p>
          <w:p>
            <w:pPr>
              <w:pBdr>
                <w:top w:val="none" w:color="000000" w:sz="4" w:space="0"/>
                <w:left w:val="none" w:color="000000" w:sz="4" w:space="0"/>
                <w:bottom w:val="none" w:color="000000" w:sz="4" w:space="0"/>
                <w:right w:val="none" w:color="000000" w:sz="4" w:space="0"/>
              </w:pBdr>
              <w:spacing w:after="0" w:before="120" w:line="276" w:lineRule="auto"/>
              <w:ind w:right="0" w:firstLine="0" w:left="0"/>
              <w:jc w:val="center"/>
              <w:rPr/>
            </w:pPr>
            <w:r>
              <w:rPr>
                <w:rFonts w:ascii="Times New Roman" w:hAnsi="Times New Roman" w:eastAsia="Times New Roman" w:cs="Times New Roman"/>
                <w:b/>
                <w:color w:val="000000"/>
                <w:spacing w:val="3"/>
                <w:sz w:val="24"/>
              </w:rPr>
              <w:t xml:space="preserve"> </w:t>
            </w:r>
            <w:r/>
          </w:p>
          <w:p>
            <w:pPr>
              <w:pBdr>
                <w:top w:val="none" w:color="000000" w:sz="4" w:space="0"/>
                <w:left w:val="none" w:color="000000" w:sz="4" w:space="0"/>
                <w:bottom w:val="none" w:color="000000" w:sz="4" w:space="0"/>
                <w:right w:val="none" w:color="000000" w:sz="4" w:space="0"/>
              </w:pBdr>
              <w:spacing w:after="0" w:before="120" w:line="276" w:lineRule="auto"/>
              <w:ind w:right="0" w:firstLine="0" w:left="0"/>
              <w:rPr/>
            </w:pPr>
            <w:r>
              <w:rPr>
                <w:rFonts w:ascii="Times New Roman" w:hAnsi="Times New Roman" w:eastAsia="Times New Roman" w:cs="Times New Roman"/>
                <w:b/>
                <w:color w:val="000000"/>
                <w:spacing w:val="3"/>
                <w:sz w:val="24"/>
              </w:rPr>
              <w:t xml:space="preserve"> </w:t>
            </w:r>
            <w:r/>
          </w:p>
        </w:tc>
        <w:tc>
          <w:tcPr>
            <w:tcBorders/>
            <w:tcMar>
              <w:left w:w="108" w:type="dxa"/>
              <w:top w:w="0" w:type="dxa"/>
              <w:right w:w="108" w:type="dxa"/>
              <w:bottom w:w="0" w:type="dxa"/>
            </w:tcMar>
            <w:tcW w:w="5148"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120" w:line="276" w:lineRule="auto"/>
              <w:ind w:right="0" w:firstLine="0" w:left="0"/>
              <w:rPr/>
            </w:pPr>
            <w:r>
              <w:rPr>
                <w:rFonts w:ascii="Times New Roman" w:hAnsi="Times New Roman" w:eastAsia="Times New Roman" w:cs="Times New Roman"/>
                <w:b/>
                <w:color w:val="000000"/>
                <w:spacing w:val="3"/>
                <w:sz w:val="24"/>
              </w:rPr>
              <w:t xml:space="preserve"> </w:t>
            </w:r>
            <w:r/>
          </w:p>
          <w:p>
            <w:pPr>
              <w:pBdr>
                <w:top w:val="none" w:color="000000" w:sz="4" w:space="0"/>
                <w:left w:val="none" w:color="000000" w:sz="4" w:space="0"/>
                <w:bottom w:val="none" w:color="000000" w:sz="4" w:space="0"/>
                <w:right w:val="none" w:color="000000" w:sz="4" w:space="0"/>
              </w:pBdr>
              <w:spacing w:after="0" w:before="120" w:line="276" w:lineRule="auto"/>
              <w:ind w:right="0" w:firstLine="0" w:left="0"/>
              <w:rPr/>
            </w:pPr>
            <w:r>
              <w:rPr>
                <w:rFonts w:ascii="Times New Roman" w:hAnsi="Times New Roman" w:eastAsia="Times New Roman" w:cs="Times New Roman"/>
                <w:b/>
                <w:color w:val="000000"/>
                <w:spacing w:val="3"/>
                <w:sz w:val="24"/>
              </w:rPr>
              <w:t xml:space="preserve"> </w:t>
            </w:r>
            <w:r/>
          </w:p>
          <w:p>
            <w:pPr>
              <w:pBdr>
                <w:top w:val="none" w:color="000000" w:sz="4" w:space="0"/>
                <w:left w:val="none" w:color="000000" w:sz="4" w:space="0"/>
                <w:bottom w:val="none" w:color="000000" w:sz="4" w:space="0"/>
                <w:right w:val="none" w:color="000000" w:sz="4" w:space="0"/>
              </w:pBdr>
              <w:spacing w:after="0" w:before="120" w:line="276" w:lineRule="auto"/>
              <w:ind w:right="0" w:firstLine="0" w:left="0"/>
              <w:rPr/>
            </w:pPr>
            <w:r>
              <w:rPr>
                <w:rFonts w:ascii="Times New Roman" w:hAnsi="Times New Roman" w:eastAsia="Times New Roman" w:cs="Times New Roman"/>
                <w:b/>
                <w:color w:val="000000"/>
                <w:spacing w:val="3"/>
                <w:sz w:val="24"/>
              </w:rPr>
              <w:t xml:space="preserve"> </w:t>
            </w:r>
            <w:r/>
          </w:p>
          <w:p>
            <w:pPr>
              <w:pBdr>
                <w:top w:val="none" w:color="000000" w:sz="4" w:space="0"/>
                <w:left w:val="none" w:color="000000" w:sz="4" w:space="0"/>
                <w:bottom w:val="none" w:color="000000" w:sz="4" w:space="0"/>
                <w:right w:val="none" w:color="000000" w:sz="4" w:space="0"/>
              </w:pBdr>
              <w:spacing w:after="0" w:before="120" w:line="276" w:lineRule="auto"/>
              <w:ind w:right="0" w:firstLine="0" w:left="0"/>
              <w:rPr/>
            </w:pPr>
            <w:r>
              <w:rPr>
                <w:rFonts w:ascii="Times New Roman" w:hAnsi="Times New Roman" w:eastAsia="Times New Roman" w:cs="Times New Roman"/>
                <w:b/>
                <w:color w:val="000000"/>
                <w:spacing w:val="3"/>
                <w:sz w:val="24"/>
              </w:rPr>
              <w:t xml:space="preserve"> </w:t>
            </w:r>
            <w:r/>
          </w:p>
          <w:p>
            <w:pPr>
              <w:pBdr>
                <w:top w:val="none" w:color="000000" w:sz="4" w:space="0"/>
                <w:left w:val="none" w:color="000000" w:sz="4" w:space="0"/>
                <w:bottom w:val="none" w:color="000000" w:sz="4" w:space="0"/>
                <w:right w:val="none" w:color="000000" w:sz="4" w:space="0"/>
              </w:pBdr>
              <w:spacing w:after="0" w:before="120" w:line="276" w:lineRule="auto"/>
              <w:ind w:right="0" w:firstLine="0" w:left="0"/>
              <w:rPr/>
            </w:pPr>
            <w:r>
              <w:rPr>
                <w:rFonts w:ascii="Times New Roman" w:hAnsi="Times New Roman" w:eastAsia="Times New Roman" w:cs="Times New Roman"/>
                <w:b/>
                <w:color w:val="000000"/>
                <w:spacing w:val="3"/>
                <w:sz w:val="24"/>
              </w:rPr>
              <w:t xml:space="preserve"> </w:t>
            </w:r>
            <w:r/>
          </w:p>
        </w:tc>
      </w:tr>
      <w:tr>
        <w:trPr>
          <w:trHeight w:val="53"/>
        </w:trPr>
        <w:tc>
          <w:tcPr>
            <w:tcBorders/>
            <w:tcMar>
              <w:left w:w="108" w:type="dxa"/>
              <w:top w:w="0" w:type="dxa"/>
              <w:right w:w="108" w:type="dxa"/>
              <w:bottom w:w="0" w:type="dxa"/>
            </w:tcMar>
            <w:tcW w:w="4621" w:type="dxa"/>
            <w:vAlign w:val="top"/>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b/>
                <w:color w:val="000000"/>
                <w:sz w:val="24"/>
              </w:rPr>
              <w:t xml:space="preserve">Nguyễn Thị Thùy</w:t>
            </w:r>
            <w:r>
              <w:rPr>
                <w:rFonts w:ascii="Times New Roman" w:hAnsi="Times New Roman" w:eastAsia="Times New Roman" w:cs="Times New Roman"/>
                <w:color w:val="000000"/>
                <w:sz w:val="24"/>
              </w:rPr>
              <w:t xml:space="preserve"> </w:t>
            </w:r>
            <w:r>
              <w:rPr>
                <w:rFonts w:ascii="Times New Roman" w:hAnsi="Times New Roman" w:eastAsia="Times New Roman" w:cs="Times New Roman"/>
                <w:b/>
                <w:color w:val="000000"/>
                <w:sz w:val="24"/>
              </w:rPr>
              <w:t xml:space="preserve">Dương</w:t>
            </w:r>
            <w:r/>
          </w:p>
          <w:p>
            <w:pPr>
              <w:pBdr>
                <w:top w:val="none" w:color="000000" w:sz="4" w:space="0"/>
                <w:left w:val="none" w:color="000000" w:sz="4" w:space="0"/>
                <w:bottom w:val="none" w:color="000000" w:sz="4" w:space="0"/>
                <w:right w:val="none" w:color="000000" w:sz="4" w:space="0"/>
              </w:pBdr>
              <w:spacing w:after="0" w:before="120" w:line="276" w:lineRule="auto"/>
              <w:ind w:right="0" w:firstLine="0" w:left="0"/>
              <w:jc w:val="center"/>
              <w:rPr/>
            </w:pPr>
            <w:r>
              <w:rPr>
                <w:rFonts w:ascii="Times New Roman" w:hAnsi="Times New Roman" w:eastAsia="Times New Roman" w:cs="Times New Roman"/>
                <w:color w:val="000000"/>
                <w:spacing w:val="3"/>
                <w:sz w:val="24"/>
                <w:highlight w:val="white"/>
              </w:rPr>
              <w:t xml:space="preserve">Số thẻ thẩm định viên về giá: </w:t>
            </w:r>
            <w:r>
              <w:rPr>
                <w:rFonts w:ascii="Times New Roman" w:hAnsi="Times New Roman" w:eastAsia="Times New Roman" w:cs="Times New Roman"/>
                <w:color w:val="000000"/>
                <w:sz w:val="24"/>
              </w:rPr>
              <w:t xml:space="preserve">XVI25TS.2576</w:t>
            </w:r>
            <w:r/>
          </w:p>
        </w:tc>
        <w:tc>
          <w:tcPr>
            <w:tcBorders/>
            <w:tcMar>
              <w:left w:w="108" w:type="dxa"/>
              <w:top w:w="0" w:type="dxa"/>
              <w:right w:w="108" w:type="dxa"/>
              <w:bottom w:w="0" w:type="dxa"/>
            </w:tcMar>
            <w:tcW w:w="5148" w:type="dxa"/>
            <w:vAlign w:val="top"/>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b/>
                <w:color w:val="000000"/>
                <w:sz w:val="24"/>
              </w:rPr>
              <w:t xml:space="preserve">Vũ Văn Quân</w:t>
            </w:r>
            <w:r/>
          </w:p>
          <w:p>
            <w:pPr>
              <w:pBdr>
                <w:top w:val="none" w:color="000000" w:sz="4" w:space="0"/>
                <w:left w:val="none" w:color="000000" w:sz="4" w:space="0"/>
                <w:bottom w:val="none" w:color="000000" w:sz="4" w:space="0"/>
                <w:right w:val="none" w:color="000000" w:sz="4" w:space="0"/>
              </w:pBdr>
              <w:spacing w:after="0" w:before="120" w:line="276" w:lineRule="auto"/>
              <w:ind w:right="0" w:firstLine="0" w:left="0"/>
              <w:jc w:val="center"/>
              <w:rPr/>
            </w:pPr>
            <w:r>
              <w:rPr>
                <w:rFonts w:ascii="Times New Roman" w:hAnsi="Times New Roman" w:eastAsia="Times New Roman" w:cs="Times New Roman"/>
                <w:color w:val="000000"/>
                <w:spacing w:val="3"/>
                <w:sz w:val="24"/>
              </w:rPr>
              <w:t xml:space="preserve">Số thẻ thẩm định viên về giá: </w:t>
            </w:r>
            <w:r>
              <w:rPr>
                <w:rFonts w:ascii="Times New Roman" w:hAnsi="Times New Roman" w:eastAsia="Times New Roman" w:cs="Times New Roman"/>
                <w:color w:val="000000"/>
                <w:sz w:val="24"/>
              </w:rPr>
              <w:t xml:space="preserve"> XII17.1825 </w:t>
            </w:r>
            <w:r/>
          </w:p>
        </w:tc>
      </w:tr>
      <w:tr>
        <w:trPr>
          <w:trHeight w:val="53"/>
        </w:trPr>
        <w:tc>
          <w:tcPr>
            <w:tcBorders/>
            <w:tcMar>
              <w:left w:w="108" w:type="dxa"/>
              <w:top w:w="0" w:type="dxa"/>
              <w:right w:w="108" w:type="dxa"/>
              <w:bottom w:w="0" w:type="dxa"/>
            </w:tcMar>
            <w:tcW w:w="462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b/>
                <w:color w:val="000000"/>
                <w:sz w:val="24"/>
                <w:highlight w:val="none"/>
              </w:rPr>
            </w:r>
            <w:r>
              <w:rPr>
                <w:rFonts w:ascii="Times New Roman" w:hAnsi="Times New Roman" w:eastAsia="Times New Roman" w:cs="Times New Roman"/>
                <w:b/>
                <w:color w:val="000000"/>
                <w:sz w:val="24"/>
                <w:highlight w:val="none"/>
              </w:rPr>
            </w:r>
            <w:r>
              <w:rPr>
                <w:rFonts w:ascii="Times New Roman" w:hAnsi="Times New Roman" w:eastAsia="Times New Roman" w:cs="Times New Roman"/>
                <w:b/>
                <w:color w:val="000000"/>
                <w:sz w:val="24"/>
                <w:highlight w:val="none"/>
              </w:rPr>
            </w:r>
          </w:p>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eastAsia="Times New Roman" w:cs="Times New Roman"/>
                <w:b/>
                <w:bCs/>
                <w:color w:val="000000"/>
                <w:sz w:val="24"/>
                <w:szCs w:val="24"/>
                <w:highlight w:val="none"/>
              </w:rPr>
            </w:pPr>
            <w:r>
              <w:rPr>
                <w:rFonts w:ascii="Times New Roman" w:hAnsi="Times New Roman" w:eastAsia="Times New Roman" w:cs="Times New Roman"/>
                <w:b/>
                <w:color w:val="000000"/>
                <w:sz w:val="24"/>
              </w:rPr>
              <w:t xml:space="preserve">TRỢ LÝ THẨM ĐỊNH VIÊN</w:t>
            </w:r>
            <w:r/>
          </w:p>
        </w:tc>
        <w:tc>
          <w:tcPr>
            <w:tcBorders/>
            <w:tcMar>
              <w:left w:w="108" w:type="dxa"/>
              <w:top w:w="0" w:type="dxa"/>
              <w:right w:w="108" w:type="dxa"/>
              <w:bottom w:w="0" w:type="dxa"/>
            </w:tcMar>
            <w:tcW w:w="5148" w:type="dxa"/>
            <w:vAlign w:val="top"/>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b/>
                <w:color w:val="000000"/>
                <w:spacing w:val="3"/>
                <w:sz w:val="24"/>
                <w:highlight w:val="none"/>
              </w:rPr>
            </w:r>
            <w:r>
              <w:rPr>
                <w:rFonts w:ascii="Times New Roman" w:hAnsi="Times New Roman" w:eastAsia="Times New Roman" w:cs="Times New Roman"/>
                <w:b/>
                <w:color w:val="000000"/>
                <w:spacing w:val="3"/>
                <w:sz w:val="24"/>
                <w:highlight w:val="none"/>
              </w:rPr>
            </w:r>
            <w:r>
              <w:rPr>
                <w:rFonts w:ascii="Times New Roman" w:hAnsi="Times New Roman" w:eastAsia="Times New Roman" w:cs="Times New Roman"/>
                <w:b/>
                <w:color w:val="000000"/>
                <w:spacing w:val="3"/>
                <w:sz w:val="24"/>
                <w:highlight w:val="none"/>
              </w:rPr>
            </w:r>
          </w:p>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eastAsia="Times New Roman" w:cs="Times New Roman"/>
                <w:b/>
                <w:bCs/>
                <w:color w:val="000000"/>
                <w:spacing w:val="3"/>
                <w:sz w:val="24"/>
                <w:szCs w:val="24"/>
                <w:highlight w:val="none"/>
              </w:rPr>
            </w:pPr>
            <w:r>
              <w:rPr>
                <w:rFonts w:ascii="Times New Roman" w:hAnsi="Times New Roman" w:eastAsia="Times New Roman" w:cs="Times New Roman"/>
                <w:b/>
                <w:color w:val="000000"/>
                <w:spacing w:val="3"/>
                <w:sz w:val="24"/>
              </w:rPr>
              <w:t xml:space="preserve">KIỂM SOÁT VIÊN</w:t>
            </w:r>
            <w:r/>
          </w:p>
        </w:tc>
      </w:tr>
      <w:tr>
        <w:trPr>
          <w:trHeight w:val="53"/>
        </w:trPr>
        <w:tc>
          <w:tcPr>
            <w:tcBorders/>
            <w:tcMar>
              <w:left w:w="108" w:type="dxa"/>
              <w:top w:w="0" w:type="dxa"/>
              <w:right w:w="108" w:type="dxa"/>
              <w:bottom w:w="0" w:type="dxa"/>
            </w:tcMar>
            <w:tcW w:w="4621"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 </w:t>
            </w:r>
            <w:r/>
          </w:p>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 </w:t>
            </w:r>
            <w:r/>
          </w:p>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 </w:t>
            </w:r>
            <w:r/>
          </w:p>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b/>
                <w:color w:val="000000"/>
                <w:spacing w:val="3"/>
                <w:sz w:val="24"/>
              </w:rPr>
              <w:t xml:space="preserve"> </w:t>
            </w:r>
            <w:r/>
          </w:p>
        </w:tc>
        <w:tc>
          <w:tcPr>
            <w:tcBorders/>
            <w:tcMar>
              <w:left w:w="108" w:type="dxa"/>
              <w:top w:w="0" w:type="dxa"/>
              <w:right w:w="108" w:type="dxa"/>
              <w:bottom w:w="0" w:type="dxa"/>
            </w:tcMar>
            <w:tcW w:w="5148" w:type="dxa"/>
            <w:vAlign w:val="top"/>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b/>
                <w:color w:val="000000"/>
                <w:spacing w:val="3"/>
                <w:sz w:val="24"/>
              </w:rPr>
              <w:t xml:space="preserve"> </w:t>
            </w:r>
            <w:r/>
          </w:p>
        </w:tc>
      </w:tr>
      <w:tr>
        <w:trPr>
          <w:trHeight w:val="53"/>
        </w:trPr>
        <w:tc>
          <w:tcPr>
            <w:tcBorders/>
            <w:tcMar>
              <w:left w:w="108" w:type="dxa"/>
              <w:top w:w="0" w:type="dxa"/>
              <w:right w:w="108" w:type="dxa"/>
              <w:bottom w:w="0" w:type="dxa"/>
            </w:tcMar>
            <w:tcW w:w="462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b/>
                <w:color w:val="000000"/>
                <w:sz w:val="24"/>
              </w:rPr>
              <w:t xml:space="preserve"> Nguyễn Thị Thùy Dung </w:t>
            </w:r>
            <w:r/>
          </w:p>
        </w:tc>
        <w:tc>
          <w:tcPr>
            <w:tcBorders/>
            <w:tcMar>
              <w:left w:w="108" w:type="dxa"/>
              <w:top w:w="0" w:type="dxa"/>
              <w:right w:w="108" w:type="dxa"/>
              <w:bottom w:w="0" w:type="dxa"/>
            </w:tcMar>
            <w:tcW w:w="5148" w:type="dxa"/>
            <w:vAlign w:val="top"/>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b/>
                <w:color w:val="000000"/>
                <w:sz w:val="24"/>
              </w:rPr>
              <w:t xml:space="preserve">Nguyễn Thị Thùy</w:t>
            </w:r>
            <w:r/>
          </w:p>
        </w:tc>
      </w:tr>
    </w:tbl>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 </w:t>
      </w:r>
      <w:r/>
    </w:p>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 </w:t>
      </w:r>
      <w:r/>
    </w:p>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 </w:t>
      </w:r>
      <w:r/>
    </w:p>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 </w:t>
      </w:r>
      <w:r/>
    </w:p>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 </w:t>
      </w:r>
      <w:r/>
    </w:p>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 </w:t>
      </w:r>
      <w:r/>
    </w:p>
    <w:p>
      <w:pPr>
        <w:pBdr/>
        <w:shd w:val="nil" w:color="auto"/>
        <w:spacing/>
        <w:ind/>
        <w:rPr>
          <w:rFonts w:ascii="Arial" w:hAnsi="Arial" w:eastAsia="Arial" w:cs="Arial"/>
          <w:sz w:val="22"/>
          <w:szCs w:val="22"/>
        </w:rPr>
      </w:pPr>
      <w:r>
        <w:rPr>
          <w:rFonts w:ascii="Times New Roman" w:hAnsi="Times New Roman" w:eastAsia="Times New Roman" w:cs="Times New Roman"/>
          <w:b/>
          <w:color w:val="000000"/>
          <w:sz w:val="24"/>
          <w:highlight w:val="none"/>
        </w:rPr>
        <w:br w:type="page" w:clear="all"/>
      </w:r>
      <w:r>
        <w:rPr>
          <w:rFonts w:ascii="Times New Roman" w:hAnsi="Times New Roman" w:eastAsia="Times New Roman" w:cs="Times New Roman"/>
          <w:b/>
          <w:color w:val="000000"/>
          <w:sz w:val="24"/>
          <w:highlight w:val="none"/>
        </w:rPr>
      </w:r>
      <w:r>
        <w:rPr>
          <w:rFonts w:ascii="Arial" w:hAnsi="Arial" w:eastAsia="Arial" w:cs="Arial"/>
          <w:sz w:val="22"/>
          <w:szCs w:val="22"/>
        </w:rPr>
      </w:r>
    </w:p>
    <w:p>
      <w:pPr>
        <w:pBdr>
          <w:top w:val="none" w:color="000000" w:sz="4" w:space="0"/>
          <w:left w:val="none" w:color="000000" w:sz="4" w:space="0"/>
          <w:bottom w:val="none" w:color="000000" w:sz="4" w:space="0"/>
          <w:right w:val="none" w:color="000000" w:sz="4" w:space="0"/>
        </w:pBdr>
        <w:spacing w:line="276" w:lineRule="auto"/>
        <w:ind w:right="0" w:firstLine="0" w:left="0"/>
        <w:jc w:val="center"/>
        <w:rPr>
          <w:rFonts w:ascii="Times New Roman" w:hAnsi="Times New Roman" w:eastAsia="Times New Roman" w:cs="Times New Roman"/>
          <w:b/>
          <w:bCs/>
          <w:color w:val="000000"/>
          <w:sz w:val="24"/>
          <w:szCs w:val="24"/>
          <w:highlight w:val="none"/>
        </w:rPr>
      </w:pPr>
      <w:r>
        <w:rPr>
          <w:rFonts w:ascii="Times New Roman" w:hAnsi="Times New Roman" w:eastAsia="Times New Roman" w:cs="Times New Roman"/>
          <w:b/>
          <w:color w:val="000000"/>
          <w:sz w:val="24"/>
        </w:rPr>
        <w:t xml:space="preserve">GIẤY CHỨNG NHẬN QSDĐ</w:t>
      </w:r>
      <w:r>
        <w:rPr>
          <w:rFonts w:ascii="Times New Roman" w:hAnsi="Times New Roman" w:eastAsia="Times New Roman" w:cs="Times New Roman"/>
          <w:b/>
          <w:bCs/>
          <w:color w:val="000000"/>
          <w:sz w:val="24"/>
          <w:szCs w:val="24"/>
          <w:highlight w:val="none"/>
        </w:rPr>
      </w:r>
    </w:p>
    <w:p>
      <w:pPr>
        <w:pBdr>
          <w:top w:val="none" w:color="000000" w:sz="4" w:space="0"/>
          <w:left w:val="none" w:color="000000" w:sz="4" w:space="0"/>
          <w:bottom w:val="none" w:color="000000" w:sz="4" w:space="0"/>
          <w:right w:val="none" w:color="000000" w:sz="4" w:space="0"/>
        </w:pBdr>
        <w:spacing w:line="276" w:lineRule="auto"/>
        <w:ind w:right="0" w:firstLine="0" w:left="0"/>
        <w:jc w:val="center"/>
        <w:rPr/>
      </w:pPr>
      <w:r>
        <mc:AlternateContent>
          <mc:Choice Requires="wpg">
            <w:drawing>
              <wp:inline xmlns:wp="http://schemas.openxmlformats.org/drawingml/2006/wordprocessingDrawing" distT="0" distB="0" distL="0" distR="0">
                <wp:extent cx="6048375" cy="4200525"/>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548401" name=""/>
                        <pic:cNvPicPr>
                          <a:picLocks noChangeAspect="1"/>
                        </pic:cNvPicPr>
                        <pic:nvPr/>
                      </pic:nvPicPr>
                      <pic:blipFill rotWithShape="1">
                        <a:blip r:embed="rId18"/>
                        <a:stretch/>
                      </pic:blipFill>
                      <pic:spPr bwMode="auto">
                        <a:xfrm>
                          <a:off x="0" y="0"/>
                          <a:ext cx="6048374" cy="420052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476.25pt;height:330.75pt;mso-wrap-distance-left:0.00pt;mso-wrap-distance-top:0.00pt;mso-wrap-distance-right:0.00pt;mso-wrap-distance-bottom:0.00pt;z-index:1;" stroked="false">
                <v:imagedata r:id="rId18" o:title=""/>
                <o:lock v:ext="edit" rotation="t"/>
              </v:shape>
            </w:pict>
          </mc:Fallback>
        </mc:AlternateContent>
      </w:r>
      <w:r/>
    </w:p>
    <w:p>
      <w:pPr>
        <w:pBdr>
          <w:top w:val="none" w:color="000000" w:sz="4" w:space="0"/>
          <w:left w:val="none" w:color="000000" w:sz="4" w:space="0"/>
          <w:bottom w:val="none" w:color="000000" w:sz="4" w:space="0"/>
          <w:right w:val="none" w:color="000000" w:sz="4" w:space="0"/>
        </w:pBdr>
        <w:spacing w:line="276" w:lineRule="auto"/>
        <w:ind w:right="0" w:firstLine="0" w:left="0"/>
        <w:jc w:val="center"/>
        <w:rPr/>
      </w:pPr>
      <w:r>
        <mc:AlternateContent>
          <mc:Choice Requires="wpg">
            <w:drawing>
              <wp:inline xmlns:wp="http://schemas.openxmlformats.org/drawingml/2006/wordprocessingDrawing" distT="0" distB="0" distL="0" distR="0">
                <wp:extent cx="6048375" cy="4219575"/>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8820712" name=""/>
                        <pic:cNvPicPr>
                          <a:picLocks noChangeAspect="1"/>
                        </pic:cNvPicPr>
                        <pic:nvPr/>
                      </pic:nvPicPr>
                      <pic:blipFill rotWithShape="1">
                        <a:blip r:embed="rId19"/>
                        <a:stretch/>
                      </pic:blipFill>
                      <pic:spPr bwMode="auto">
                        <a:xfrm>
                          <a:off x="0" y="0"/>
                          <a:ext cx="6048374" cy="421957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476.25pt;height:332.25pt;mso-wrap-distance-left:0.00pt;mso-wrap-distance-top:0.00pt;mso-wrap-distance-right:0.00pt;mso-wrap-distance-bottom:0.00pt;z-index:1;" stroked="false">
                <v:imagedata r:id="rId19" o:title=""/>
                <o:lock v:ext="edit" rotation="t"/>
              </v:shape>
            </w:pict>
          </mc:Fallback>
        </mc:AlternateContent>
      </w:r>
      <w:r/>
    </w:p>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 </w:t>
      </w:r>
      <w:r/>
    </w:p>
    <w:p>
      <w:pPr>
        <w:pBdr>
          <w:top w:val="none" w:color="000000" w:sz="4" w:space="0"/>
          <w:left w:val="none" w:color="000000" w:sz="4" w:space="0"/>
          <w:bottom w:val="none" w:color="000000" w:sz="4" w:space="0"/>
          <w:right w:val="none" w:color="000000" w:sz="4" w:space="0"/>
        </w:pBdr>
        <w:spacing w:line="276" w:lineRule="auto"/>
        <w:ind w:right="0" w:firstLine="0" w:left="0"/>
        <w:jc w:val="center"/>
        <w:rPr/>
      </w:pPr>
      <w:r>
        <mc:AlternateContent>
          <mc:Choice Requires="wpg">
            <w:drawing>
              <wp:inline xmlns:wp="http://schemas.openxmlformats.org/drawingml/2006/wordprocessingDrawing" distT="0" distB="0" distL="0" distR="0">
                <wp:extent cx="6048375" cy="7848600"/>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1337678" name=""/>
                        <pic:cNvPicPr>
                          <a:picLocks noChangeAspect="1"/>
                        </pic:cNvPicPr>
                        <pic:nvPr/>
                      </pic:nvPicPr>
                      <pic:blipFill rotWithShape="1">
                        <a:blip r:embed="rId20"/>
                        <a:stretch/>
                      </pic:blipFill>
                      <pic:spPr bwMode="auto">
                        <a:xfrm>
                          <a:off x="0" y="0"/>
                          <a:ext cx="6048374" cy="78485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476.25pt;height:618.00pt;mso-wrap-distance-left:0.00pt;mso-wrap-distance-top:0.00pt;mso-wrap-distance-right:0.00pt;mso-wrap-distance-bottom:0.00pt;z-index:1;" stroked="false">
                <v:imagedata r:id="rId20" o:title=""/>
                <o:lock v:ext="edit" rotation="t"/>
              </v:shape>
            </w:pict>
          </mc:Fallback>
        </mc:AlternateContent>
      </w:r>
      <w:r/>
    </w:p>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 </w:t>
      </w:r>
      <w:r/>
    </w:p>
    <w:p>
      <w:pPr>
        <w:pBdr>
          <w:top w:val="none" w:color="000000" w:sz="4" w:space="0"/>
          <w:left w:val="none" w:color="000000" w:sz="4" w:space="0"/>
          <w:bottom w:val="none" w:color="000000" w:sz="4" w:space="0"/>
          <w:right w:val="none" w:color="000000" w:sz="4" w:space="0"/>
        </w:pBdr>
        <w:spacing w:line="276" w:lineRule="auto"/>
        <w:ind w:right="0" w:firstLine="0" w:left="0"/>
        <w:rPr/>
      </w:pPr>
      <w:r>
        <w:br w:type="page" w:clear="all"/>
      </w:r>
      <w:r/>
    </w:p>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4"/>
        </w:rPr>
        <w:t xml:space="preserve"> </w:t>
      </w:r>
      <w:r/>
    </w:p>
    <w:p>
      <w:pPr>
        <w:pBdr>
          <w:top w:val="none" w:color="000000" w:sz="4" w:space="0"/>
          <w:left w:val="none" w:color="000000" w:sz="4" w:space="0"/>
          <w:bottom w:val="none" w:color="000000" w:sz="4" w:space="0"/>
          <w:right w:val="none" w:color="000000" w:sz="4" w:space="0"/>
        </w:pBdr>
        <w:spacing w:line="276" w:lineRule="auto"/>
        <w:ind w:right="0" w:firstLine="0" w:left="0"/>
        <w:jc w:val="center"/>
        <w:rPr/>
      </w:pPr>
      <w:r>
        <mc:AlternateContent>
          <mc:Choice Requires="wpg">
            <w:drawing>
              <wp:inline xmlns:wp="http://schemas.openxmlformats.org/drawingml/2006/wordprocessingDrawing" distT="0" distB="0" distL="0" distR="0">
                <wp:extent cx="6048375" cy="4229100"/>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305815" name=""/>
                        <pic:cNvPicPr>
                          <a:picLocks noChangeAspect="1"/>
                        </pic:cNvPicPr>
                        <pic:nvPr/>
                      </pic:nvPicPr>
                      <pic:blipFill rotWithShape="1">
                        <a:blip r:embed="rId21"/>
                        <a:stretch/>
                      </pic:blipFill>
                      <pic:spPr bwMode="auto">
                        <a:xfrm>
                          <a:off x="0" y="0"/>
                          <a:ext cx="6048374" cy="42290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476.25pt;height:333.00pt;mso-wrap-distance-left:0.00pt;mso-wrap-distance-top:0.00pt;mso-wrap-distance-right:0.00pt;mso-wrap-distance-bottom:0.00pt;z-index:1;" stroked="false">
                <v:imagedata r:id="rId21" o:title=""/>
                <o:lock v:ext="edit" rotation="t"/>
              </v:shape>
            </w:pict>
          </mc:Fallback>
        </mc:AlternateContent>
      </w:r>
      <w:r/>
    </w:p>
    <w:p>
      <w:pPr>
        <w:pBdr>
          <w:top w:val="none" w:color="000000" w:sz="4" w:space="0"/>
          <w:left w:val="none" w:color="000000" w:sz="4" w:space="0"/>
          <w:bottom w:val="none" w:color="000000" w:sz="4" w:space="0"/>
          <w:right w:val="none" w:color="000000" w:sz="4" w:space="0"/>
        </w:pBdr>
        <w:spacing w:line="276" w:lineRule="auto"/>
        <w:ind w:right="0" w:firstLine="0" w:left="0"/>
        <w:jc w:val="center"/>
        <w:rPr/>
      </w:pPr>
      <w:r>
        <mc:AlternateContent>
          <mc:Choice Requires="wpg">
            <w:drawing>
              <wp:inline xmlns:wp="http://schemas.openxmlformats.org/drawingml/2006/wordprocessingDrawing" distT="0" distB="0" distL="0" distR="0">
                <wp:extent cx="6048375" cy="4229100"/>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121542" name=""/>
                        <pic:cNvPicPr>
                          <a:picLocks noChangeAspect="1"/>
                        </pic:cNvPicPr>
                        <pic:nvPr/>
                      </pic:nvPicPr>
                      <pic:blipFill rotWithShape="1">
                        <a:blip r:embed="rId22"/>
                        <a:stretch/>
                      </pic:blipFill>
                      <pic:spPr bwMode="auto">
                        <a:xfrm>
                          <a:off x="0" y="0"/>
                          <a:ext cx="6048374" cy="42290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476.25pt;height:333.00pt;mso-wrap-distance-left:0.00pt;mso-wrap-distance-top:0.00pt;mso-wrap-distance-right:0.00pt;mso-wrap-distance-bottom:0.00pt;z-index:1;" stroked="false">
                <v:imagedata r:id="rId22" o:title=""/>
                <o:lock v:ext="edit" rotation="t"/>
              </v:shape>
            </w:pict>
          </mc:Fallback>
        </mc:AlternateContent>
      </w:r>
      <w:r/>
    </w:p>
    <w:p>
      <w:pPr>
        <w:pBdr>
          <w:top w:val="none" w:color="000000" w:sz="4" w:space="0"/>
          <w:left w:val="none" w:color="000000" w:sz="4" w:space="0"/>
          <w:bottom w:val="none" w:color="000000" w:sz="4" w:space="0"/>
          <w:right w:val="none" w:color="000000" w:sz="4" w:space="0"/>
        </w:pBdr>
        <w:spacing w:line="276" w:lineRule="auto"/>
        <w:ind w:right="0" w:firstLine="0" w:left="0"/>
        <w:jc w:val="center"/>
        <w:rPr/>
      </w:pPr>
      <w:r>
        <mc:AlternateContent>
          <mc:Choice Requires="wpg">
            <w:drawing>
              <wp:inline xmlns:wp="http://schemas.openxmlformats.org/drawingml/2006/wordprocessingDrawing" distT="0" distB="0" distL="0" distR="0">
                <wp:extent cx="5295900" cy="7486650"/>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046984" name=""/>
                        <pic:cNvPicPr>
                          <a:picLocks noChangeAspect="1"/>
                        </pic:cNvPicPr>
                        <pic:nvPr/>
                      </pic:nvPicPr>
                      <pic:blipFill rotWithShape="1">
                        <a:blip r:embed="rId23"/>
                        <a:stretch/>
                      </pic:blipFill>
                      <pic:spPr bwMode="auto">
                        <a:xfrm>
                          <a:off x="0" y="0"/>
                          <a:ext cx="5295899" cy="748665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417.00pt;height:589.50pt;mso-wrap-distance-left:0.00pt;mso-wrap-distance-top:0.00pt;mso-wrap-distance-right:0.00pt;mso-wrap-distance-bottom:0.00pt;z-index:1;" stroked="false">
                <v:imagedata r:id="rId23" o:title=""/>
                <o:lock v:ext="edit" rotation="t"/>
              </v:shape>
            </w:pict>
          </mc:Fallback>
        </mc:AlternateContent>
      </w:r>
      <w:r/>
    </w:p>
    <w:p>
      <w:pPr>
        <w:pBdr>
          <w:top w:val="none" w:color="000000" w:sz="4" w:space="0"/>
          <w:left w:val="none" w:color="000000" w:sz="4" w:space="0"/>
          <w:bottom w:val="none" w:color="000000" w:sz="4" w:space="0"/>
          <w:right w:val="none" w:color="000000" w:sz="4" w:space="0"/>
        </w:pBdr>
        <w:spacing w:line="276" w:lineRule="auto"/>
        <w:ind w:right="0" w:firstLine="0" w:left="0"/>
        <w:jc w:val="center"/>
        <w:rPr/>
      </w:pPr>
      <w:r>
        <mc:AlternateContent>
          <mc:Choice Requires="wpg">
            <w:drawing>
              <wp:inline xmlns:wp="http://schemas.openxmlformats.org/drawingml/2006/wordprocessingDrawing" distT="0" distB="0" distL="0" distR="0">
                <wp:extent cx="6048375" cy="4114800"/>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7387621" name=""/>
                        <pic:cNvPicPr>
                          <a:picLocks noChangeAspect="1"/>
                        </pic:cNvPicPr>
                        <pic:nvPr/>
                      </pic:nvPicPr>
                      <pic:blipFill rotWithShape="1">
                        <a:blip r:embed="rId24"/>
                        <a:stretch/>
                      </pic:blipFill>
                      <pic:spPr bwMode="auto">
                        <a:xfrm>
                          <a:off x="0" y="0"/>
                          <a:ext cx="6048374" cy="41147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476.25pt;height:324.00pt;mso-wrap-distance-left:0.00pt;mso-wrap-distance-top:0.00pt;mso-wrap-distance-right:0.00pt;mso-wrap-distance-bottom:0.00pt;z-index:1;" stroked="false">
                <v:imagedata r:id="rId24" o:title=""/>
                <o:lock v:ext="edit" rotation="t"/>
              </v:shape>
            </w:pict>
          </mc:Fallback>
        </mc:AlternateContent>
      </w:r>
      <w:r/>
    </w:p>
    <w:p>
      <w:pPr>
        <w:pBdr>
          <w:top w:val="none" w:color="000000" w:sz="4" w:space="0"/>
          <w:left w:val="none" w:color="000000" w:sz="4" w:space="0"/>
          <w:bottom w:val="none" w:color="000000" w:sz="4" w:space="0"/>
          <w:right w:val="none" w:color="000000" w:sz="4" w:space="0"/>
        </w:pBdr>
        <w:spacing w:line="276" w:lineRule="auto"/>
        <w:ind w:right="0" w:firstLine="0" w:left="0"/>
        <w:jc w:val="center"/>
        <w:rPr/>
      </w:pPr>
      <w:r>
        <mc:AlternateContent>
          <mc:Choice Requires="wpg">
            <w:drawing>
              <wp:inline xmlns:wp="http://schemas.openxmlformats.org/drawingml/2006/wordprocessingDrawing" distT="0" distB="0" distL="0" distR="0">
                <wp:extent cx="6048375" cy="4222450"/>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5635719" name=""/>
                        <pic:cNvPicPr>
                          <a:picLocks noChangeAspect="1"/>
                        </pic:cNvPicPr>
                        <pic:nvPr/>
                      </pic:nvPicPr>
                      <pic:blipFill rotWithShape="1">
                        <a:blip r:embed="rId25"/>
                        <a:stretch/>
                      </pic:blipFill>
                      <pic:spPr bwMode="auto">
                        <a:xfrm>
                          <a:off x="0" y="0"/>
                          <a:ext cx="6048374" cy="422245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476.25pt;height:332.48pt;mso-wrap-distance-left:0.00pt;mso-wrap-distance-top:0.00pt;mso-wrap-distance-right:0.00pt;mso-wrap-distance-bottom:0.00pt;z-index:1;" stroked="false">
                <v:imagedata r:id="rId25" o:title=""/>
                <o:lock v:ext="edit" rotation="t"/>
              </v:shape>
            </w:pict>
          </mc:Fallback>
        </mc:AlternateContent>
      </w:r>
      <w:r/>
    </w:p>
    <w:p>
      <w:pPr>
        <w:pBdr>
          <w:top w:val="none" w:color="000000" w:sz="4" w:space="0"/>
          <w:left w:val="none" w:color="000000" w:sz="4" w:space="0"/>
          <w:bottom w:val="none" w:color="000000" w:sz="4" w:space="0"/>
          <w:right w:val="none" w:color="000000" w:sz="4" w:space="0"/>
        </w:pBdr>
        <w:spacing w:line="276" w:lineRule="auto"/>
        <w:ind w:right="0" w:firstLine="0" w:left="0"/>
        <w:jc w:val="center"/>
        <w:rPr/>
      </w:pPr>
      <w:r>
        <mc:AlternateContent>
          <mc:Choice Requires="wpg">
            <w:drawing>
              <wp:inline xmlns:wp="http://schemas.openxmlformats.org/drawingml/2006/wordprocessingDrawing" distT="0" distB="0" distL="0" distR="0">
                <wp:extent cx="5514975" cy="7391400"/>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0032941" name=""/>
                        <pic:cNvPicPr>
                          <a:picLocks noChangeAspect="1"/>
                        </pic:cNvPicPr>
                        <pic:nvPr/>
                      </pic:nvPicPr>
                      <pic:blipFill rotWithShape="1">
                        <a:blip r:embed="rId26"/>
                        <a:stretch/>
                      </pic:blipFill>
                      <pic:spPr bwMode="auto">
                        <a:xfrm>
                          <a:off x="0" y="0"/>
                          <a:ext cx="5514975" cy="73913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434.25pt;height:582.00pt;mso-wrap-distance-left:0.00pt;mso-wrap-distance-top:0.00pt;mso-wrap-distance-right:0.00pt;mso-wrap-distance-bottom:0.00pt;z-index:1;" stroked="false">
                <v:imagedata r:id="rId26" o:title=""/>
                <o:lock v:ext="edit" rotation="t"/>
              </v:shape>
            </w:pict>
          </mc:Fallback>
        </mc:AlternateContent>
      </w:r>
      <w:r/>
    </w:p>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 </w:t>
      </w:r>
      <w:r/>
    </w:p>
    <w:p>
      <w:pPr>
        <w:pBdr>
          <w:top w:val="none" w:color="000000" w:sz="4" w:space="0"/>
          <w:left w:val="none" w:color="000000" w:sz="4" w:space="0"/>
          <w:bottom w:val="none" w:color="000000" w:sz="4" w:space="0"/>
          <w:right w:val="none" w:color="000000" w:sz="4" w:space="0"/>
        </w:pBdr>
        <w:spacing w:line="276" w:lineRule="auto"/>
        <w:ind w:right="0" w:firstLine="0" w:left="0"/>
        <w:rPr/>
      </w:pPr>
      <w:r>
        <w:br w:type="page" w:clear="all"/>
      </w:r>
      <w:r/>
    </w:p>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4"/>
        </w:rPr>
        <w:t xml:space="preserve"> </w:t>
      </w:r>
      <w:r/>
    </w:p>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BIÊN BẢN KHẢO SÁT</w:t>
      </w:r>
      <w:r/>
    </w:p>
    <w:p>
      <w:pPr>
        <w:pBdr>
          <w:top w:val="none" w:color="000000" w:sz="4" w:space="0"/>
          <w:left w:val="none" w:color="000000" w:sz="4" w:space="0"/>
          <w:bottom w:val="none" w:color="000000" w:sz="4" w:space="0"/>
          <w:right w:val="none" w:color="000000" w:sz="4" w:space="0"/>
        </w:pBdr>
        <w:spacing w:line="276" w:lineRule="auto"/>
        <w:ind w:right="0" w:firstLine="0" w:left="0"/>
        <w:jc w:val="center"/>
        <w:rPr/>
      </w:pPr>
      <w:r>
        <mc:AlternateContent>
          <mc:Choice Requires="wpg">
            <w:drawing>
              <wp:inline xmlns:wp="http://schemas.openxmlformats.org/drawingml/2006/wordprocessingDrawing" distT="0" distB="0" distL="0" distR="0">
                <wp:extent cx="6048375" cy="8064500"/>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4222457" name=""/>
                        <pic:cNvPicPr>
                          <a:picLocks noChangeAspect="1"/>
                        </pic:cNvPicPr>
                        <pic:nvPr/>
                      </pic:nvPicPr>
                      <pic:blipFill rotWithShape="1">
                        <a:blip r:embed="rId27"/>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476.25pt;height:635.00pt;mso-wrap-distance-left:0.00pt;mso-wrap-distance-top:0.00pt;mso-wrap-distance-right:0.00pt;mso-wrap-distance-bottom:0.00pt;z-index:1;" stroked="false">
                <v:imagedata r:id="rId27" o:title=""/>
                <o:lock v:ext="edit" rotation="t"/>
              </v:shape>
            </w:pict>
          </mc:Fallback>
        </mc:AlternateContent>
      </w:r>
      <w:r/>
    </w:p>
    <w:p>
      <w:pPr>
        <w:pBdr>
          <w:top w:val="none" w:color="000000" w:sz="4" w:space="0"/>
          <w:left w:val="none" w:color="000000" w:sz="4" w:space="0"/>
          <w:bottom w:val="none" w:color="000000" w:sz="4" w:space="0"/>
          <w:right w:val="none" w:color="000000" w:sz="4" w:space="0"/>
        </w:pBdr>
        <w:spacing w:line="276" w:lineRule="auto"/>
        <w:ind w:right="0" w:firstLine="0" w:left="0"/>
        <w:rPr/>
      </w:pPr>
      <w:r>
        <w:br w:type="page" w:clear="all"/>
      </w:r>
      <w:r/>
    </w:p>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 </w:t>
      </w:r>
      <w:r/>
    </w:p>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PHỤ LỤC 1: HÌNH ẢNH HIỆN TRẠNG CỦA TÀI SẢN</w:t>
      </w:r>
      <w:r/>
    </w:p>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i/>
          <w:color w:val="000000"/>
          <w:sz w:val="24"/>
        </w:rPr>
        <w:t xml:space="preserve">(Kèm theo Báo cáo thẩm định số 275/2026/0196/VFI-BC.27.A ngày 26 tháng 01 năm 2026 của Công ty Cổ phần Thẩm định và Đầu tư Tài chính Hoa Sen)</w:t>
      </w:r>
      <w:r/>
    </w:p>
    <w:tbl>
      <w:tblPr>
        <w:tblStyle w:val="1047"/>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4837"/>
        <w:gridCol w:w="4837"/>
      </w:tblGrid>
      <w:tr>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483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b/>
                <w:i/>
                <w:color w:val="000000"/>
                <w:sz w:val="22"/>
              </w:rPr>
              <w:t xml:space="preserve">Hướng</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483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b/>
                <w:i/>
                <w:color w:val="000000"/>
                <w:sz w:val="22"/>
              </w:rPr>
              <w:t xml:space="preserve">Tổng quan tài sản</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4837" w:type="dxa"/>
            <w:vAlign w:val="top"/>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mc:AlternateContent>
                <mc:Choice Requires="wpg">
                  <w:drawing>
                    <wp:inline xmlns:wp="http://schemas.openxmlformats.org/drawingml/2006/wordprocessingDrawing" distT="0" distB="0" distL="0" distR="0">
                      <wp:extent cx="1190625" cy="2552700"/>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7743557" name=""/>
                              <pic:cNvPicPr>
                                <a:picLocks noChangeAspect="1"/>
                              </pic:cNvPicPr>
                              <pic:nvPr/>
                            </pic:nvPicPr>
                            <pic:blipFill rotWithShape="1">
                              <a:blip r:embed="rId28"/>
                              <a:stretch/>
                            </pic:blipFill>
                            <pic:spPr bwMode="auto">
                              <a:xfrm>
                                <a:off x="0" y="0"/>
                                <a:ext cx="1190624" cy="25526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93.75pt;height:201.00pt;mso-wrap-distance-left:0.00pt;mso-wrap-distance-top:0.00pt;mso-wrap-distance-right:0.00pt;mso-wrap-distance-bottom:0.00pt;z-index:1;" stroked="false">
                      <v:imagedata r:id="rId28" o:title=""/>
                      <o:lock v:ext="edit" rotation="t"/>
                    </v:shape>
                  </w:pict>
                </mc:Fallback>
              </mc:AlternateContent>
            </w:r>
            <w:r/>
          </w:p>
        </w:tc>
        <w:tc>
          <w:tcPr>
            <w:tcBorders>
              <w:bottom w:val="single" w:color="000000" w:sz="8" w:space="0"/>
              <w:right w:val="single" w:color="000000" w:sz="8" w:space="0"/>
            </w:tcBorders>
            <w:tcMar>
              <w:left w:w="108" w:type="dxa"/>
              <w:top w:w="0" w:type="dxa"/>
              <w:right w:w="108" w:type="dxa"/>
              <w:bottom w:w="0" w:type="dxa"/>
            </w:tcMar>
            <w:tcW w:w="4837" w:type="dxa"/>
            <w:vAlign w:val="top"/>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mc:AlternateContent>
                <mc:Choice Requires="wpg">
                  <w:drawing>
                    <wp:inline xmlns:wp="http://schemas.openxmlformats.org/drawingml/2006/wordprocessingDrawing" distT="0" distB="0" distL="0" distR="0">
                      <wp:extent cx="2943225" cy="2466975"/>
                      <wp:effectExtent l="0" t="0" r="0" b="0"/>
                      <wp:docPr id="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644416" name=""/>
                              <pic:cNvPicPr>
                                <a:picLocks noChangeAspect="1"/>
                              </pic:cNvPicPr>
                              <pic:nvPr/>
                            </pic:nvPicPr>
                            <pic:blipFill rotWithShape="1">
                              <a:blip r:embed="rId29"/>
                              <a:stretch/>
                            </pic:blipFill>
                            <pic:spPr bwMode="auto">
                              <a:xfrm>
                                <a:off x="0" y="0"/>
                                <a:ext cx="2943224" cy="246697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231.75pt;height:194.25pt;mso-wrap-distance-left:0.00pt;mso-wrap-distance-top:0.00pt;mso-wrap-distance-right:0.00pt;mso-wrap-distance-bottom:0.00pt;z-index:1;" stroked="false">
                      <v:imagedata r:id="rId29" o:title=""/>
                      <o:lock v:ext="edit" rotation="t"/>
                    </v:shape>
                  </w:pict>
                </mc:Fallback>
              </mc:AlternateConten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483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b/>
                <w:i/>
                <w:color w:val="000000"/>
                <w:sz w:val="22"/>
              </w:rPr>
              <w:t xml:space="preserve">Người khảo sát</w:t>
            </w:r>
            <w:r/>
          </w:p>
        </w:tc>
        <w:tc>
          <w:tcPr>
            <w:tcBorders>
              <w:bottom w:val="single" w:color="000000" w:sz="8" w:space="0"/>
              <w:right w:val="single" w:color="000000" w:sz="8" w:space="0"/>
            </w:tcBorders>
            <w:tcMar>
              <w:left w:w="108" w:type="dxa"/>
              <w:top w:w="0" w:type="dxa"/>
              <w:right w:w="108" w:type="dxa"/>
              <w:bottom w:w="0" w:type="dxa"/>
            </w:tcMar>
            <w:tcW w:w="483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b/>
                <w:i/>
                <w:color w:val="000000"/>
                <w:sz w:val="22"/>
              </w:rPr>
              <w:t xml:space="preserve">Đường trước tài sản</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483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mc:AlternateContent>
                <mc:Choice Requires="wpg">
                  <w:drawing>
                    <wp:inline xmlns:wp="http://schemas.openxmlformats.org/drawingml/2006/wordprocessingDrawing" distT="0" distB="0" distL="0" distR="0">
                      <wp:extent cx="3076575" cy="2047875"/>
                      <wp:effectExtent l="0" t="0" r="0" b="0"/>
                      <wp:docPr id="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4964291" name=""/>
                              <pic:cNvPicPr>
                                <a:picLocks noChangeAspect="1"/>
                              </pic:cNvPicPr>
                              <pic:nvPr/>
                            </pic:nvPicPr>
                            <pic:blipFill rotWithShape="1">
                              <a:blip r:embed="rId30"/>
                              <a:stretch/>
                            </pic:blipFill>
                            <pic:spPr bwMode="auto">
                              <a:xfrm>
                                <a:off x="0" y="0"/>
                                <a:ext cx="3076574" cy="204787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242.25pt;height:161.25pt;mso-wrap-distance-left:0.00pt;mso-wrap-distance-top:0.00pt;mso-wrap-distance-right:0.00pt;mso-wrap-distance-bottom:0.00pt;z-index:1;" stroked="false">
                      <v:imagedata r:id="rId30" o:title=""/>
                      <o:lock v:ext="edit" rotation="t"/>
                    </v:shape>
                  </w:pict>
                </mc:Fallback>
              </mc:AlternateContent>
            </w:r>
            <w:r/>
          </w:p>
        </w:tc>
        <w:tc>
          <w:tcPr>
            <w:tcBorders>
              <w:bottom w:val="single" w:color="000000" w:sz="8" w:space="0"/>
              <w:right w:val="single" w:color="000000" w:sz="8" w:space="0"/>
            </w:tcBorders>
            <w:tcMar>
              <w:left w:w="108" w:type="dxa"/>
              <w:top w:w="0" w:type="dxa"/>
              <w:right w:w="108" w:type="dxa"/>
              <w:bottom w:w="0" w:type="dxa"/>
            </w:tcMar>
            <w:tcW w:w="483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mc:AlternateContent>
                <mc:Choice Requires="wpg">
                  <w:drawing>
                    <wp:inline xmlns:wp="http://schemas.openxmlformats.org/drawingml/2006/wordprocessingDrawing" distT="0" distB="0" distL="0" distR="0">
                      <wp:extent cx="2943225" cy="2209800"/>
                      <wp:effectExtent l="0" t="0" r="0" b="0"/>
                      <wp:docPr id="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8460885" name=""/>
                              <pic:cNvPicPr>
                                <a:picLocks noChangeAspect="1"/>
                              </pic:cNvPicPr>
                              <pic:nvPr/>
                            </pic:nvPicPr>
                            <pic:blipFill rotWithShape="1">
                              <a:blip r:embed="rId31"/>
                              <a:stretch/>
                            </pic:blipFill>
                            <pic:spPr bwMode="auto">
                              <a:xfrm>
                                <a:off x="0" y="0"/>
                                <a:ext cx="2943224" cy="22097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231.75pt;height:174.00pt;mso-wrap-distance-left:0.00pt;mso-wrap-distance-top:0.00pt;mso-wrap-distance-right:0.00pt;mso-wrap-distance-bottom:0.00pt;z-index:1;" stroked="false">
                      <v:imagedata r:id="rId31" o:title=""/>
                      <o:lock v:ext="edit" rotation="t"/>
                    </v:shape>
                  </w:pict>
                </mc:Fallback>
              </mc:AlternateConten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483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b/>
                <w:i/>
                <w:color w:val="000000"/>
                <w:sz w:val="22"/>
              </w:rPr>
              <w:t xml:space="preserve">Hiện trạng tài sản</w:t>
            </w:r>
            <w:r/>
          </w:p>
        </w:tc>
        <w:tc>
          <w:tcPr>
            <w:tcBorders>
              <w:bottom w:val="single" w:color="000000" w:sz="8" w:space="0"/>
              <w:right w:val="single" w:color="000000" w:sz="8" w:space="0"/>
            </w:tcBorders>
            <w:tcMar>
              <w:left w:w="108" w:type="dxa"/>
              <w:top w:w="0" w:type="dxa"/>
              <w:right w:w="108" w:type="dxa"/>
              <w:bottom w:w="0" w:type="dxa"/>
            </w:tcMar>
            <w:tcW w:w="483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b/>
                <w:i/>
                <w:color w:val="000000"/>
                <w:sz w:val="22"/>
              </w:rPr>
              <w:t xml:space="preserve">Hiện trạng tài sản</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483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mc:AlternateContent>
                <mc:Choice Requires="wpg">
                  <w:drawing>
                    <wp:inline xmlns:wp="http://schemas.openxmlformats.org/drawingml/2006/wordprocessingDrawing" distT="0" distB="0" distL="0" distR="0">
                      <wp:extent cx="2943225" cy="2209800"/>
                      <wp:effectExtent l="0" t="0" r="0" b="0"/>
                      <wp:docPr id="2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3606948" name=""/>
                              <pic:cNvPicPr>
                                <a:picLocks noChangeAspect="1"/>
                              </pic:cNvPicPr>
                              <pic:nvPr/>
                            </pic:nvPicPr>
                            <pic:blipFill rotWithShape="1">
                              <a:blip r:embed="rId32"/>
                              <a:stretch/>
                            </pic:blipFill>
                            <pic:spPr bwMode="auto">
                              <a:xfrm>
                                <a:off x="0" y="0"/>
                                <a:ext cx="2943224" cy="22097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231.75pt;height:174.00pt;mso-wrap-distance-left:0.00pt;mso-wrap-distance-top:0.00pt;mso-wrap-distance-right:0.00pt;mso-wrap-distance-bottom:0.00pt;z-index:1;" stroked="false">
                      <v:imagedata r:id="rId32" o:title=""/>
                      <o:lock v:ext="edit" rotation="t"/>
                    </v:shape>
                  </w:pict>
                </mc:Fallback>
              </mc:AlternateContent>
            </w:r>
            <w:r/>
          </w:p>
        </w:tc>
        <w:tc>
          <w:tcPr>
            <w:tcBorders>
              <w:bottom w:val="single" w:color="000000" w:sz="8" w:space="0"/>
              <w:right w:val="single" w:color="000000" w:sz="8" w:space="0"/>
            </w:tcBorders>
            <w:tcMar>
              <w:left w:w="108" w:type="dxa"/>
              <w:top w:w="0" w:type="dxa"/>
              <w:right w:w="108" w:type="dxa"/>
              <w:bottom w:w="0" w:type="dxa"/>
            </w:tcMar>
            <w:tcW w:w="483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mc:AlternateContent>
                <mc:Choice Requires="wpg">
                  <w:drawing>
                    <wp:inline xmlns:wp="http://schemas.openxmlformats.org/drawingml/2006/wordprocessingDrawing" distT="0" distB="0" distL="0" distR="0">
                      <wp:extent cx="2943225" cy="2209800"/>
                      <wp:effectExtent l="0" t="0" r="0" b="0"/>
                      <wp:docPr id="2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3232316" name=""/>
                              <pic:cNvPicPr>
                                <a:picLocks noChangeAspect="1"/>
                              </pic:cNvPicPr>
                              <pic:nvPr/>
                            </pic:nvPicPr>
                            <pic:blipFill rotWithShape="1">
                              <a:blip r:embed="rId33"/>
                              <a:stretch/>
                            </pic:blipFill>
                            <pic:spPr bwMode="auto">
                              <a:xfrm>
                                <a:off x="0" y="0"/>
                                <a:ext cx="2943224" cy="22097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231.75pt;height:174.00pt;mso-wrap-distance-left:0.00pt;mso-wrap-distance-top:0.00pt;mso-wrap-distance-right:0.00pt;mso-wrap-distance-bottom:0.00pt;z-index:1;" stroked="false">
                      <v:imagedata r:id="rId33" o:title=""/>
                      <o:lock v:ext="edit" rotation="t"/>
                    </v:shape>
                  </w:pict>
                </mc:Fallback>
              </mc:AlternateConten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483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mc:AlternateContent>
                <mc:Choice Requires="wpg">
                  <w:drawing>
                    <wp:inline xmlns:wp="http://schemas.openxmlformats.org/drawingml/2006/wordprocessingDrawing" distT="0" distB="0" distL="0" distR="0">
                      <wp:extent cx="2943225" cy="2209800"/>
                      <wp:effectExtent l="0" t="0" r="0" b="0"/>
                      <wp:docPr id="2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0091118" name=""/>
                              <pic:cNvPicPr>
                                <a:picLocks noChangeAspect="1"/>
                              </pic:cNvPicPr>
                              <pic:nvPr/>
                            </pic:nvPicPr>
                            <pic:blipFill rotWithShape="1">
                              <a:blip r:embed="rId34"/>
                              <a:stretch/>
                            </pic:blipFill>
                            <pic:spPr bwMode="auto">
                              <a:xfrm>
                                <a:off x="0" y="0"/>
                                <a:ext cx="2943224" cy="22097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231.75pt;height:174.00pt;mso-wrap-distance-left:0.00pt;mso-wrap-distance-top:0.00pt;mso-wrap-distance-right:0.00pt;mso-wrap-distance-bottom:0.00pt;z-index:1;" stroked="false">
                      <v:imagedata r:id="rId34" o:title=""/>
                      <o:lock v:ext="edit" rotation="t"/>
                    </v:shape>
                  </w:pict>
                </mc:Fallback>
              </mc:AlternateContent>
            </w:r>
            <w:r/>
          </w:p>
        </w:tc>
        <w:tc>
          <w:tcPr>
            <w:tcBorders>
              <w:bottom w:val="single" w:color="000000" w:sz="8" w:space="0"/>
              <w:right w:val="single" w:color="000000" w:sz="8" w:space="0"/>
            </w:tcBorders>
            <w:tcMar>
              <w:left w:w="108" w:type="dxa"/>
              <w:top w:w="0" w:type="dxa"/>
              <w:right w:w="108" w:type="dxa"/>
              <w:bottom w:w="0" w:type="dxa"/>
            </w:tcMar>
            <w:tcW w:w="483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mc:AlternateContent>
                <mc:Choice Requires="wpg">
                  <w:drawing>
                    <wp:inline xmlns:wp="http://schemas.openxmlformats.org/drawingml/2006/wordprocessingDrawing" distT="0" distB="0" distL="0" distR="0">
                      <wp:extent cx="2943225" cy="2209800"/>
                      <wp:effectExtent l="0" t="0" r="0" b="0"/>
                      <wp:docPr id="2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0786386" name=""/>
                              <pic:cNvPicPr>
                                <a:picLocks noChangeAspect="1"/>
                              </pic:cNvPicPr>
                              <pic:nvPr/>
                            </pic:nvPicPr>
                            <pic:blipFill rotWithShape="1">
                              <a:blip r:embed="rId35"/>
                              <a:stretch/>
                            </pic:blipFill>
                            <pic:spPr bwMode="auto">
                              <a:xfrm>
                                <a:off x="0" y="0"/>
                                <a:ext cx="2943224" cy="22097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231.75pt;height:174.00pt;mso-wrap-distance-left:0.00pt;mso-wrap-distance-top:0.00pt;mso-wrap-distance-right:0.00pt;mso-wrap-distance-bottom:0.00pt;z-index:1;" stroked="false">
                      <v:imagedata r:id="rId35" o:title=""/>
                      <o:lock v:ext="edit" rotation="t"/>
                    </v:shape>
                  </w:pict>
                </mc:Fallback>
              </mc:AlternateConten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483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mc:AlternateContent>
                <mc:Choice Requires="wpg">
                  <w:drawing>
                    <wp:inline xmlns:wp="http://schemas.openxmlformats.org/drawingml/2006/wordprocessingDrawing" distT="0" distB="0" distL="0" distR="0">
                      <wp:extent cx="2943225" cy="2209800"/>
                      <wp:effectExtent l="0" t="0" r="0" b="0"/>
                      <wp:docPr id="2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5713898" name=""/>
                              <pic:cNvPicPr>
                                <a:picLocks noChangeAspect="1"/>
                              </pic:cNvPicPr>
                              <pic:nvPr/>
                            </pic:nvPicPr>
                            <pic:blipFill rotWithShape="1">
                              <a:blip r:embed="rId36"/>
                              <a:stretch/>
                            </pic:blipFill>
                            <pic:spPr bwMode="auto">
                              <a:xfrm>
                                <a:off x="0" y="0"/>
                                <a:ext cx="2943224" cy="22097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3" o:spid="_x0000_s23" type="#_x0000_t75" style="width:231.75pt;height:174.00pt;mso-wrap-distance-left:0.00pt;mso-wrap-distance-top:0.00pt;mso-wrap-distance-right:0.00pt;mso-wrap-distance-bottom:0.00pt;z-index:1;" stroked="false">
                      <v:imagedata r:id="rId36" o:title=""/>
                      <o:lock v:ext="edit" rotation="t"/>
                    </v:shape>
                  </w:pict>
                </mc:Fallback>
              </mc:AlternateContent>
            </w:r>
            <w:r/>
          </w:p>
        </w:tc>
        <w:tc>
          <w:tcPr>
            <w:tcBorders>
              <w:bottom w:val="single" w:color="000000" w:sz="8" w:space="0"/>
              <w:right w:val="single" w:color="000000" w:sz="8" w:space="0"/>
            </w:tcBorders>
            <w:tcMar>
              <w:left w:w="108" w:type="dxa"/>
              <w:top w:w="0" w:type="dxa"/>
              <w:right w:w="108" w:type="dxa"/>
              <w:bottom w:w="0" w:type="dxa"/>
            </w:tcMar>
            <w:tcW w:w="483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mc:AlternateContent>
                <mc:Choice Requires="wpg">
                  <w:drawing>
                    <wp:inline xmlns:wp="http://schemas.openxmlformats.org/drawingml/2006/wordprocessingDrawing" distT="0" distB="0" distL="0" distR="0">
                      <wp:extent cx="2943225" cy="2209800"/>
                      <wp:effectExtent l="0" t="0" r="0" b="0"/>
                      <wp:docPr id="2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7017511" name=""/>
                              <pic:cNvPicPr>
                                <a:picLocks noChangeAspect="1"/>
                              </pic:cNvPicPr>
                              <pic:nvPr/>
                            </pic:nvPicPr>
                            <pic:blipFill rotWithShape="1">
                              <a:blip r:embed="rId37"/>
                              <a:stretch/>
                            </pic:blipFill>
                            <pic:spPr bwMode="auto">
                              <a:xfrm>
                                <a:off x="0" y="0"/>
                                <a:ext cx="2943224" cy="22097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4" o:spid="_x0000_s24" type="#_x0000_t75" style="width:231.75pt;height:174.00pt;mso-wrap-distance-left:0.00pt;mso-wrap-distance-top:0.00pt;mso-wrap-distance-right:0.00pt;mso-wrap-distance-bottom:0.00pt;z-index:1;" stroked="false">
                      <v:imagedata r:id="rId37" o:title=""/>
                      <o:lock v:ext="edit" rotation="t"/>
                    </v:shape>
                  </w:pict>
                </mc:Fallback>
              </mc:AlternateContent>
            </w:r>
            <w:r/>
          </w:p>
        </w:tc>
      </w:tr>
    </w:tbl>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i/>
          <w:color w:val="000000"/>
          <w:sz w:val="24"/>
        </w:rPr>
        <w:t xml:space="preserve"> </w:t>
      </w:r>
      <w:r/>
    </w:p>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b/>
          <w:color w:val="000000"/>
          <w:sz w:val="24"/>
        </w:rPr>
        <w:t xml:space="preserve"> </w:t>
      </w:r>
      <w:r/>
    </w:p>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b/>
          <w:color w:val="000000"/>
          <w:sz w:val="24"/>
        </w:rPr>
        <w:t xml:space="preserve"> </w:t>
      </w:r>
      <w:r/>
    </w:p>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b/>
          <w:color w:val="000000"/>
          <w:sz w:val="24"/>
        </w:rPr>
        <w:t xml:space="preserve"> </w:t>
      </w:r>
      <w:r/>
    </w:p>
    <w:p>
      <w:pPr>
        <w:pBdr>
          <w:top w:val="none" w:color="000000" w:sz="4" w:space="0"/>
          <w:left w:val="none" w:color="000000" w:sz="4" w:space="0"/>
          <w:bottom w:val="none" w:color="000000" w:sz="4" w:space="0"/>
          <w:right w:val="none" w:color="000000" w:sz="4" w:space="0"/>
        </w:pBdr>
        <w:spacing w:line="276" w:lineRule="auto"/>
        <w:ind w:right="0" w:firstLine="0" w:left="0"/>
        <w:rPr/>
      </w:pPr>
      <w:r>
        <w:br w:type="page" w:clear="all"/>
      </w:r>
      <w:r/>
    </w:p>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 </w:t>
      </w:r>
      <w:r>
        <w:rPr>
          <w:rFonts w:ascii="Times New Roman" w:hAnsi="Times New Roman" w:eastAsia="Times New Roman" w:cs="Times New Roman"/>
          <w:b/>
          <w:color w:val="000000"/>
          <w:sz w:val="24"/>
        </w:rPr>
        <w:t xml:space="preserve">PHỤ LỤC 2: THÔNG TIN THU THẬP THỊ TRƯỜNG.</w:t>
      </w:r>
      <w:r>
        <w:rPr>
          <w:rFonts w:ascii="Times New Roman" w:hAnsi="Times New Roman" w:eastAsia="Times New Roman" w:cs="Times New Roman"/>
          <w:sz w:val="24"/>
        </w:rPr>
      </w:r>
      <w:r/>
    </w:p>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i/>
          <w:color w:val="000000"/>
          <w:sz w:val="24"/>
        </w:rPr>
        <w:t xml:space="preserve">(Kèm theo Báo cáo thẩm định số 275/2026/0196/VFI-BC.27.A ngày 26 tháng 01 năm 2026 của Công ty Cổ phần Thẩm định và Đầu tư Tài chính Hoa Sen)</w:t>
      </w:r>
      <w:r/>
    </w:p>
    <w:p>
      <w:pPr>
        <w:pBdr>
          <w:top w:val="none" w:color="000000" w:sz="4" w:space="0"/>
          <w:left w:val="none" w:color="000000" w:sz="4" w:space="0"/>
          <w:bottom w:val="none" w:color="000000" w:sz="4" w:space="0"/>
          <w:right w:val="none" w:color="000000" w:sz="4" w:space="0"/>
        </w:pBdr>
        <w:spacing w:after="0" w:before="120" w:line="276" w:lineRule="auto"/>
        <w:ind w:right="0" w:firstLine="0" w:left="0"/>
        <w:jc w:val="center"/>
        <w:rPr/>
      </w:pPr>
      <w:r>
        <mc:AlternateContent>
          <mc:Choice Requires="wpg">
            <w:drawing>
              <wp:inline xmlns:wp="http://schemas.openxmlformats.org/drawingml/2006/wordprocessingDrawing" distT="0" distB="0" distL="0" distR="0">
                <wp:extent cx="6048375" cy="8435391"/>
                <wp:effectExtent l="0" t="0" r="0" b="0"/>
                <wp:docPr id="2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7863217" name=""/>
                        <pic:cNvPicPr>
                          <a:picLocks noChangeAspect="1"/>
                        </pic:cNvPicPr>
                        <pic:nvPr/>
                      </pic:nvPicPr>
                      <pic:blipFill rotWithShape="1">
                        <a:blip r:embed="rId38"/>
                        <a:stretch/>
                      </pic:blipFill>
                      <pic:spPr bwMode="auto">
                        <a:xfrm>
                          <a:off x="0" y="0"/>
                          <a:ext cx="6048374" cy="843539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5" o:spid="_x0000_s25" type="#_x0000_t75" style="width:476.25pt;height:664.20pt;mso-wrap-distance-left:0.00pt;mso-wrap-distance-top:0.00pt;mso-wrap-distance-right:0.00pt;mso-wrap-distance-bottom:0.00pt;z-index:1;" stroked="false">
                <v:imagedata r:id="rId38" o:title=""/>
                <o:lock v:ext="edit" rotation="t"/>
              </v:shape>
            </w:pict>
          </mc:Fallback>
        </mc:AlternateContent>
      </w:r>
      <w:r/>
    </w:p>
    <w:p>
      <w:pPr>
        <w:pBdr>
          <w:top w:val="none" w:color="000000" w:sz="4" w:space="0"/>
          <w:left w:val="none" w:color="000000" w:sz="4" w:space="0"/>
          <w:bottom w:val="none" w:color="000000" w:sz="4" w:space="0"/>
          <w:right w:val="none" w:color="000000" w:sz="4" w:space="0"/>
        </w:pBdr>
        <w:spacing w:after="0" w:before="120" w:line="276" w:lineRule="auto"/>
        <w:ind w:right="0" w:firstLine="0" w:left="0"/>
        <w:jc w:val="center"/>
        <w:rPr/>
      </w:pPr>
      <w:r>
        <mc:AlternateContent>
          <mc:Choice Requires="wpg">
            <w:drawing>
              <wp:inline xmlns:wp="http://schemas.openxmlformats.org/drawingml/2006/wordprocessingDrawing" distT="0" distB="0" distL="0" distR="0">
                <wp:extent cx="4695825" cy="3181350"/>
                <wp:effectExtent l="0" t="0" r="0" b="0"/>
                <wp:docPr id="2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4020942" name=""/>
                        <pic:cNvPicPr>
                          <a:picLocks noChangeAspect="1"/>
                        </pic:cNvPicPr>
                        <pic:nvPr/>
                      </pic:nvPicPr>
                      <pic:blipFill rotWithShape="1">
                        <a:blip r:embed="rId39"/>
                        <a:stretch/>
                      </pic:blipFill>
                      <pic:spPr bwMode="auto">
                        <a:xfrm>
                          <a:off x="0" y="0"/>
                          <a:ext cx="4695824" cy="318134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6" o:spid="_x0000_s26" type="#_x0000_t75" style="width:369.75pt;height:250.50pt;mso-wrap-distance-left:0.00pt;mso-wrap-distance-top:0.00pt;mso-wrap-distance-right:0.00pt;mso-wrap-distance-bottom:0.00pt;z-index:1;" stroked="false">
                <v:imagedata r:id="rId39" o:title=""/>
                <o:lock v:ext="edit" rotation="t"/>
              </v:shape>
            </w:pict>
          </mc:Fallback>
        </mc:AlternateContent>
      </w:r>
      <w:r>
        <w:rPr>
          <w:rFonts w:ascii="Times New Roman" w:hAnsi="Times New Roman" w:eastAsia="Times New Roman" w:cs="Times New Roman"/>
          <w:b/>
          <w:color w:val="000000"/>
          <w:sz w:val="24"/>
        </w:rPr>
        <w:t xml:space="preserve"> </w:t>
        <mc:AlternateContent>
          <mc:Choice Requires="wpg">
            <w:drawing>
              <wp:inline xmlns:wp="http://schemas.openxmlformats.org/drawingml/2006/wordprocessingDrawing" distT="0" distB="0" distL="0" distR="0">
                <wp:extent cx="942975" cy="638175"/>
                <wp:effectExtent l="0" t="0" r="0" b="0"/>
                <wp:docPr id="2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3425445" name=""/>
                        <pic:cNvPicPr>
                          <a:picLocks noChangeAspect="1"/>
                        </pic:cNvPicPr>
                        <pic:nvPr/>
                      </pic:nvPicPr>
                      <pic:blipFill rotWithShape="1">
                        <a:blip r:embed="rId40"/>
                        <a:stretch/>
                      </pic:blipFill>
                      <pic:spPr bwMode="auto">
                        <a:xfrm>
                          <a:off x="0" y="0"/>
                          <a:ext cx="942975" cy="63817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7" o:spid="_x0000_s27" type="#_x0000_t75" style="width:74.25pt;height:50.25pt;mso-wrap-distance-left:0.00pt;mso-wrap-distance-top:0.00pt;mso-wrap-distance-right:0.00pt;mso-wrap-distance-bottom:0.00pt;z-index:1;" stroked="false">
                <v:imagedata r:id="rId40" o:title=""/>
                <o:lock v:ext="edit" rotation="t"/>
              </v:shape>
            </w:pict>
          </mc:Fallback>
        </mc:AlternateContent>
      </w:r>
      <w:r/>
    </w:p>
    <w:p>
      <w:pPr>
        <w:pBdr>
          <w:top w:val="none" w:color="000000" w:sz="4" w:space="0"/>
          <w:left w:val="none" w:color="000000" w:sz="4" w:space="0"/>
          <w:bottom w:val="none" w:color="000000" w:sz="4" w:space="0"/>
          <w:right w:val="none" w:color="000000" w:sz="4" w:space="0"/>
        </w:pBdr>
        <w:spacing w:after="0" w:before="120" w:line="276" w:lineRule="auto"/>
        <w:ind w:right="0" w:firstLine="0" w:left="0"/>
        <w:jc w:val="center"/>
        <w:rPr/>
      </w:pPr>
      <w:r>
        <mc:AlternateContent>
          <mc:Choice Requires="wpg">
            <w:drawing>
              <wp:inline xmlns:wp="http://schemas.openxmlformats.org/drawingml/2006/wordprocessingDrawing" distT="0" distB="0" distL="0" distR="0">
                <wp:extent cx="3743325" cy="2809875"/>
                <wp:effectExtent l="0" t="0" r="0" b="0"/>
                <wp:docPr id="2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8222599" name=""/>
                        <pic:cNvPicPr>
                          <a:picLocks noChangeAspect="1"/>
                        </pic:cNvPicPr>
                        <pic:nvPr/>
                      </pic:nvPicPr>
                      <pic:blipFill rotWithShape="1">
                        <a:blip r:embed="rId41"/>
                        <a:stretch/>
                      </pic:blipFill>
                      <pic:spPr bwMode="auto">
                        <a:xfrm>
                          <a:off x="0" y="0"/>
                          <a:ext cx="3743325" cy="280987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8" o:spid="_x0000_s28" type="#_x0000_t75" style="width:294.75pt;height:221.25pt;mso-wrap-distance-left:0.00pt;mso-wrap-distance-top:0.00pt;mso-wrap-distance-right:0.00pt;mso-wrap-distance-bottom:0.00pt;z-index:1;" stroked="false">
                <v:imagedata r:id="rId41" o:title=""/>
                <o:lock v:ext="edit" rotation="t"/>
              </v:shape>
            </w:pict>
          </mc:Fallback>
        </mc:AlternateContent>
        <mc:AlternateContent>
          <mc:Choice Requires="wpg">
            <w:drawing>
              <wp:inline xmlns:wp="http://schemas.openxmlformats.org/drawingml/2006/wordprocessingDrawing" distT="0" distB="0" distL="0" distR="0">
                <wp:extent cx="2162175" cy="2895600"/>
                <wp:effectExtent l="0" t="0" r="0" b="0"/>
                <wp:docPr id="3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1589583" name=""/>
                        <pic:cNvPicPr>
                          <a:picLocks noChangeAspect="1"/>
                        </pic:cNvPicPr>
                        <pic:nvPr/>
                      </pic:nvPicPr>
                      <pic:blipFill rotWithShape="1">
                        <a:blip r:embed="rId42"/>
                        <a:stretch/>
                      </pic:blipFill>
                      <pic:spPr bwMode="auto">
                        <a:xfrm>
                          <a:off x="0" y="0"/>
                          <a:ext cx="2162174" cy="289559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9" o:spid="_x0000_s29" type="#_x0000_t75" style="width:170.25pt;height:228.00pt;mso-wrap-distance-left:0.00pt;mso-wrap-distance-top:0.00pt;mso-wrap-distance-right:0.00pt;mso-wrap-distance-bottom:0.00pt;z-index:1;" stroked="false">
                <v:imagedata r:id="rId42" o:title=""/>
                <o:lock v:ext="edit" rotation="t"/>
              </v:shape>
            </w:pict>
          </mc:Fallback>
        </mc:AlternateContent>
      </w:r>
      <w:r/>
    </w:p>
    <w:p>
      <w:pPr>
        <w:pBdr>
          <w:top w:val="none" w:color="000000" w:sz="4" w:space="0"/>
          <w:left w:val="none" w:color="000000" w:sz="4" w:space="0"/>
          <w:bottom w:val="none" w:color="000000" w:sz="4" w:space="0"/>
          <w:right w:val="none" w:color="000000" w:sz="4" w:space="0"/>
        </w:pBdr>
        <w:spacing w:after="0" w:before="120" w:line="276" w:lineRule="auto"/>
        <w:ind w:right="0" w:firstLine="0" w:left="0"/>
        <w:jc w:val="center"/>
        <w:rPr/>
      </w:pPr>
      <w:r>
        <w:rPr>
          <w:rFonts w:ascii="Times New Roman" w:hAnsi="Times New Roman" w:eastAsia="Times New Roman" w:cs="Times New Roman"/>
          <w:b/>
          <w:color w:val="000000"/>
          <w:sz w:val="24"/>
        </w:rPr>
        <w:t xml:space="preserve"> </w:t>
      </w:r>
      <w:r/>
    </w:p>
    <w:p>
      <w:pPr>
        <w:pBdr>
          <w:top w:val="none" w:color="000000" w:sz="4" w:space="0"/>
          <w:left w:val="none" w:color="000000" w:sz="4" w:space="0"/>
          <w:bottom w:val="none" w:color="000000" w:sz="4" w:space="0"/>
          <w:right w:val="none" w:color="000000" w:sz="4" w:space="0"/>
        </w:pBdr>
        <w:spacing w:after="0" w:before="120" w:line="276" w:lineRule="auto"/>
        <w:ind w:right="0" w:firstLine="0" w:left="0"/>
        <w:jc w:val="center"/>
        <w:rPr/>
      </w:pPr>
      <w:r>
        <w:rPr>
          <w:rFonts w:ascii="Times New Roman" w:hAnsi="Times New Roman" w:eastAsia="Times New Roman" w:cs="Times New Roman"/>
          <w:b/>
          <w:color w:val="000000"/>
          <w:sz w:val="24"/>
        </w:rPr>
        <w:t xml:space="preserve"> </w:t>
      </w:r>
      <w:r/>
    </w:p>
    <w:p>
      <w:pPr>
        <w:pBdr>
          <w:top w:val="none" w:color="000000" w:sz="4" w:space="0"/>
          <w:left w:val="none" w:color="000000" w:sz="4" w:space="0"/>
          <w:bottom w:val="none" w:color="000000" w:sz="4" w:space="0"/>
          <w:right w:val="none" w:color="000000" w:sz="4" w:space="0"/>
        </w:pBdr>
        <w:spacing w:after="0" w:before="120" w:line="276" w:lineRule="auto"/>
        <w:ind w:right="0" w:firstLine="0" w:left="0"/>
        <w:jc w:val="center"/>
        <w:rPr/>
      </w:pPr>
      <w:r>
        <w:rPr>
          <w:rFonts w:ascii="Times New Roman" w:hAnsi="Times New Roman" w:eastAsia="Times New Roman" w:cs="Times New Roman"/>
          <w:b/>
          <w:color w:val="000000"/>
          <w:sz w:val="24"/>
        </w:rPr>
        <w:t xml:space="preserve"> </w:t>
      </w:r>
      <w:r/>
    </w:p>
    <w:p>
      <w:pPr>
        <w:pBdr>
          <w:top w:val="none" w:color="000000" w:sz="4" w:space="0"/>
          <w:left w:val="none" w:color="000000" w:sz="4" w:space="0"/>
          <w:bottom w:val="none" w:color="000000" w:sz="4" w:space="0"/>
          <w:right w:val="none" w:color="000000" w:sz="4" w:space="0"/>
        </w:pBdr>
        <w:spacing w:line="276" w:lineRule="auto"/>
        <w:ind w:right="0" w:firstLine="0" w:left="0"/>
        <w:rPr/>
      </w:pPr>
      <w:r>
        <w:br w:type="page" w:clear="all"/>
      </w:r>
      <w:r/>
    </w:p>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4"/>
        </w:rPr>
        <w:t xml:space="preserve"> </w:t>
      </w:r>
      <w:r/>
    </w:p>
    <w:p>
      <w:pPr>
        <w:pBdr>
          <w:top w:val="none" w:color="000000" w:sz="4" w:space="0"/>
          <w:left w:val="none" w:color="000000" w:sz="4" w:space="0"/>
          <w:bottom w:val="none" w:color="000000" w:sz="4" w:space="0"/>
          <w:right w:val="none" w:color="000000" w:sz="4" w:space="0"/>
        </w:pBdr>
        <w:spacing w:after="0" w:before="120" w:line="276" w:lineRule="auto"/>
        <w:ind w:right="0" w:firstLine="0" w:left="0"/>
        <w:jc w:val="center"/>
        <w:rPr/>
      </w:pPr>
      <w:r>
        <mc:AlternateContent>
          <mc:Choice Requires="wpg">
            <w:drawing>
              <wp:inline xmlns:wp="http://schemas.openxmlformats.org/drawingml/2006/wordprocessingDrawing" distT="0" distB="0" distL="0" distR="0">
                <wp:extent cx="6048375" cy="8191500"/>
                <wp:effectExtent l="0" t="0" r="0" b="0"/>
                <wp:docPr id="3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4828395" name=""/>
                        <pic:cNvPicPr>
                          <a:picLocks noChangeAspect="1"/>
                        </pic:cNvPicPr>
                        <pic:nvPr/>
                      </pic:nvPicPr>
                      <pic:blipFill rotWithShape="1">
                        <a:blip r:embed="rId43"/>
                        <a:stretch/>
                      </pic:blipFill>
                      <pic:spPr bwMode="auto">
                        <a:xfrm>
                          <a:off x="0" y="0"/>
                          <a:ext cx="6048374" cy="8191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0" o:spid="_x0000_s30" type="#_x0000_t75" style="width:476.25pt;height:645.00pt;mso-wrap-distance-left:0.00pt;mso-wrap-distance-top:0.00pt;mso-wrap-distance-right:0.00pt;mso-wrap-distance-bottom:0.00pt;z-index:1;" stroked="false">
                <v:imagedata r:id="rId43" o:title=""/>
                <o:lock v:ext="edit" rotation="t"/>
              </v:shape>
            </w:pict>
          </mc:Fallback>
        </mc:AlternateContent>
      </w:r>
      <w:r/>
    </w:p>
    <w:p>
      <w:pPr>
        <w:pBdr>
          <w:top w:val="none" w:color="000000" w:sz="4" w:space="0"/>
          <w:left w:val="none" w:color="000000" w:sz="4" w:space="0"/>
          <w:bottom w:val="none" w:color="000000" w:sz="4" w:space="0"/>
          <w:right w:val="none" w:color="000000" w:sz="4" w:space="0"/>
        </w:pBdr>
        <w:spacing w:after="0" w:before="120" w:line="276" w:lineRule="auto"/>
        <w:ind w:right="0" w:firstLine="0" w:left="0"/>
        <w:jc w:val="center"/>
        <w:rPr/>
      </w:pPr>
      <w:r>
        <mc:AlternateContent>
          <mc:Choice Requires="wpg">
            <w:drawing>
              <wp:inline xmlns:wp="http://schemas.openxmlformats.org/drawingml/2006/wordprocessingDrawing" distT="0" distB="0" distL="0" distR="0">
                <wp:extent cx="3857625" cy="2562225"/>
                <wp:effectExtent l="0" t="0" r="0" b="0"/>
                <wp:docPr id="3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4972592" name=""/>
                        <pic:cNvPicPr>
                          <a:picLocks noChangeAspect="1"/>
                        </pic:cNvPicPr>
                        <pic:nvPr/>
                      </pic:nvPicPr>
                      <pic:blipFill rotWithShape="1">
                        <a:blip r:embed="rId44"/>
                        <a:stretch/>
                      </pic:blipFill>
                      <pic:spPr bwMode="auto">
                        <a:xfrm>
                          <a:off x="0" y="0"/>
                          <a:ext cx="3857625" cy="256222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1" o:spid="_x0000_s31" type="#_x0000_t75" style="width:303.75pt;height:201.75pt;mso-wrap-distance-left:0.00pt;mso-wrap-distance-top:0.00pt;mso-wrap-distance-right:0.00pt;mso-wrap-distance-bottom:0.00pt;z-index:1;" stroked="false">
                <v:imagedata r:id="rId44" o:title=""/>
                <o:lock v:ext="edit" rotation="t"/>
              </v:shape>
            </w:pict>
          </mc:Fallback>
        </mc:AlternateContent>
        <mc:AlternateContent>
          <mc:Choice Requires="wpg">
            <w:drawing>
              <wp:inline xmlns:wp="http://schemas.openxmlformats.org/drawingml/2006/wordprocessingDrawing" distT="0" distB="0" distL="0" distR="0">
                <wp:extent cx="942975" cy="638175"/>
                <wp:effectExtent l="0" t="0" r="0" b="0"/>
                <wp:docPr id="3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3988040" name=""/>
                        <pic:cNvPicPr>
                          <a:picLocks noChangeAspect="1"/>
                        </pic:cNvPicPr>
                        <pic:nvPr/>
                      </pic:nvPicPr>
                      <pic:blipFill rotWithShape="1">
                        <a:blip r:embed="rId45"/>
                        <a:stretch/>
                      </pic:blipFill>
                      <pic:spPr bwMode="auto">
                        <a:xfrm>
                          <a:off x="0" y="0"/>
                          <a:ext cx="942975" cy="63817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2" o:spid="_x0000_s32" type="#_x0000_t75" style="width:74.25pt;height:50.25pt;mso-wrap-distance-left:0.00pt;mso-wrap-distance-top:0.00pt;mso-wrap-distance-right:0.00pt;mso-wrap-distance-bottom:0.00pt;z-index:1;" stroked="false">
                <v:imagedata r:id="rId45" o:title=""/>
                <o:lock v:ext="edit" rotation="t"/>
              </v:shape>
            </w:pict>
          </mc:Fallback>
        </mc:AlternateContent>
      </w:r>
      <w:r/>
    </w:p>
    <w:p>
      <w:pPr>
        <w:pBdr>
          <w:top w:val="none" w:color="000000" w:sz="4" w:space="0"/>
          <w:left w:val="none" w:color="000000" w:sz="4" w:space="0"/>
          <w:bottom w:val="none" w:color="000000" w:sz="4" w:space="0"/>
          <w:right w:val="none" w:color="000000" w:sz="4" w:space="0"/>
        </w:pBdr>
        <w:spacing w:after="0" w:before="120" w:line="276" w:lineRule="auto"/>
        <w:ind w:right="0" w:firstLine="0" w:left="0"/>
        <w:jc w:val="center"/>
        <w:rPr/>
      </w:pPr>
      <w:r>
        <mc:AlternateContent>
          <mc:Choice Requires="wpg">
            <w:drawing>
              <wp:inline xmlns:wp="http://schemas.openxmlformats.org/drawingml/2006/wordprocessingDrawing" distT="0" distB="0" distL="0" distR="0">
                <wp:extent cx="4333875" cy="3181350"/>
                <wp:effectExtent l="0" t="0" r="0" b="0"/>
                <wp:docPr id="3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5128000" name=""/>
                        <pic:cNvPicPr>
                          <a:picLocks noChangeAspect="1"/>
                        </pic:cNvPicPr>
                        <pic:nvPr/>
                      </pic:nvPicPr>
                      <pic:blipFill rotWithShape="1">
                        <a:blip r:embed="rId46"/>
                        <a:stretch/>
                      </pic:blipFill>
                      <pic:spPr bwMode="auto">
                        <a:xfrm>
                          <a:off x="0" y="0"/>
                          <a:ext cx="4333874" cy="318134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3" o:spid="_x0000_s33" type="#_x0000_t75" style="width:341.25pt;height:250.50pt;mso-wrap-distance-left:0.00pt;mso-wrap-distance-top:0.00pt;mso-wrap-distance-right:0.00pt;mso-wrap-distance-bottom:0.00pt;z-index:1;" stroked="false">
                <v:imagedata r:id="rId46" o:title=""/>
                <o:lock v:ext="edit" rotation="t"/>
              </v:shape>
            </w:pict>
          </mc:Fallback>
        </mc:AlternateContent>
      </w:r>
      <w:r/>
    </w:p>
    <w:p>
      <w:pPr>
        <w:pBdr>
          <w:top w:val="none" w:color="000000" w:sz="4" w:space="0"/>
          <w:left w:val="none" w:color="000000" w:sz="4" w:space="0"/>
          <w:bottom w:val="none" w:color="000000" w:sz="4" w:space="0"/>
          <w:right w:val="none" w:color="000000" w:sz="4" w:space="0"/>
        </w:pBdr>
        <w:spacing w:after="0" w:before="120" w:line="276" w:lineRule="auto"/>
        <w:ind w:right="0" w:firstLine="0" w:left="0"/>
        <w:jc w:val="center"/>
        <w:rPr/>
      </w:pPr>
      <w:r>
        <mc:AlternateContent>
          <mc:Choice Requires="wpg">
            <w:drawing>
              <wp:inline xmlns:wp="http://schemas.openxmlformats.org/drawingml/2006/wordprocessingDrawing" distT="0" distB="0" distL="0" distR="0">
                <wp:extent cx="4495800" cy="3190875"/>
                <wp:effectExtent l="0" t="0" r="0" b="0"/>
                <wp:docPr id="3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8946384" name=""/>
                        <pic:cNvPicPr>
                          <a:picLocks noChangeAspect="1"/>
                        </pic:cNvPicPr>
                        <pic:nvPr/>
                      </pic:nvPicPr>
                      <pic:blipFill rotWithShape="1">
                        <a:blip r:embed="rId47"/>
                        <a:stretch/>
                      </pic:blipFill>
                      <pic:spPr bwMode="auto">
                        <a:xfrm>
                          <a:off x="0" y="0"/>
                          <a:ext cx="4495799" cy="319087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4" o:spid="_x0000_s34" type="#_x0000_t75" style="width:354.00pt;height:251.25pt;mso-wrap-distance-left:0.00pt;mso-wrap-distance-top:0.00pt;mso-wrap-distance-right:0.00pt;mso-wrap-distance-bottom:0.00pt;z-index:1;" stroked="false">
                <v:imagedata r:id="rId47" o:title=""/>
                <o:lock v:ext="edit" rotation="t"/>
              </v:shape>
            </w:pict>
          </mc:Fallback>
        </mc:AlternateContent>
      </w:r>
      <w:r/>
    </w:p>
    <w:p>
      <w:pPr>
        <w:pBdr>
          <w:top w:val="none" w:color="000000" w:sz="4" w:space="0"/>
          <w:left w:val="none" w:color="000000" w:sz="4" w:space="0"/>
          <w:bottom w:val="none" w:color="000000" w:sz="4" w:space="0"/>
          <w:right w:val="none" w:color="000000" w:sz="4" w:space="0"/>
        </w:pBdr>
        <w:spacing w:after="0" w:before="120" w:line="276" w:lineRule="auto"/>
        <w:ind w:right="0" w:firstLine="0" w:left="0"/>
        <w:jc w:val="center"/>
        <w:rPr/>
      </w:pPr>
      <w:r>
        <mc:AlternateContent>
          <mc:Choice Requires="wpg">
            <w:drawing>
              <wp:inline xmlns:wp="http://schemas.openxmlformats.org/drawingml/2006/wordprocessingDrawing" distT="0" distB="0" distL="0" distR="0">
                <wp:extent cx="6048375" cy="7820025"/>
                <wp:effectExtent l="0" t="0" r="0" b="0"/>
                <wp:docPr id="3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5355799" name=""/>
                        <pic:cNvPicPr>
                          <a:picLocks noChangeAspect="1"/>
                        </pic:cNvPicPr>
                        <pic:nvPr/>
                      </pic:nvPicPr>
                      <pic:blipFill rotWithShape="1">
                        <a:blip r:embed="rId48"/>
                        <a:stretch/>
                      </pic:blipFill>
                      <pic:spPr bwMode="auto">
                        <a:xfrm>
                          <a:off x="0" y="0"/>
                          <a:ext cx="6048374" cy="782002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5" o:spid="_x0000_s35" type="#_x0000_t75" style="width:476.25pt;height:615.75pt;mso-wrap-distance-left:0.00pt;mso-wrap-distance-top:0.00pt;mso-wrap-distance-right:0.00pt;mso-wrap-distance-bottom:0.00pt;z-index:1;" stroked="false">
                <v:imagedata r:id="rId48" o:title=""/>
                <o:lock v:ext="edit" rotation="t"/>
              </v:shape>
            </w:pict>
          </mc:Fallback>
        </mc:AlternateContent>
      </w:r>
      <w:r/>
    </w:p>
    <w:p>
      <w:pPr>
        <w:pBdr>
          <w:top w:val="none" w:color="000000" w:sz="4" w:space="0"/>
          <w:left w:val="none" w:color="000000" w:sz="4" w:space="0"/>
          <w:bottom w:val="none" w:color="000000" w:sz="4" w:space="0"/>
          <w:right w:val="none" w:color="000000" w:sz="4" w:space="0"/>
        </w:pBdr>
        <w:spacing w:after="0" w:before="120" w:line="276" w:lineRule="auto"/>
        <w:ind w:right="0" w:firstLine="0" w:left="0"/>
        <w:jc w:val="center"/>
        <w:rPr/>
      </w:pPr>
      <w:r>
        <mc:AlternateContent>
          <mc:Choice Requires="wpg">
            <w:drawing>
              <wp:inline xmlns:wp="http://schemas.openxmlformats.org/drawingml/2006/wordprocessingDrawing" distT="0" distB="0" distL="0" distR="0">
                <wp:extent cx="4933950" cy="2847975"/>
                <wp:effectExtent l="0" t="0" r="0" b="0"/>
                <wp:docPr id="3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0125229" name=""/>
                        <pic:cNvPicPr>
                          <a:picLocks noChangeAspect="1"/>
                        </pic:cNvPicPr>
                        <pic:nvPr/>
                      </pic:nvPicPr>
                      <pic:blipFill rotWithShape="1">
                        <a:blip r:embed="rId49"/>
                        <a:stretch/>
                      </pic:blipFill>
                      <pic:spPr bwMode="auto">
                        <a:xfrm>
                          <a:off x="0" y="0"/>
                          <a:ext cx="4933949" cy="284797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6" o:spid="_x0000_s36" type="#_x0000_t75" style="width:388.50pt;height:224.25pt;mso-wrap-distance-left:0.00pt;mso-wrap-distance-top:0.00pt;mso-wrap-distance-right:0.00pt;mso-wrap-distance-bottom:0.00pt;z-index:1;" stroked="false">
                <v:imagedata r:id="rId49" o:title=""/>
                <o:lock v:ext="edit" rotation="t"/>
              </v:shape>
            </w:pict>
          </mc:Fallback>
        </mc:AlternateContent>
      </w:r>
      <w:r/>
    </w:p>
    <w:p>
      <w:pPr>
        <w:pBdr>
          <w:top w:val="none" w:color="000000" w:sz="4" w:space="0"/>
          <w:left w:val="none" w:color="000000" w:sz="4" w:space="0"/>
          <w:bottom w:val="none" w:color="000000" w:sz="4" w:space="0"/>
          <w:right w:val="none" w:color="000000" w:sz="4" w:space="0"/>
        </w:pBdr>
        <w:spacing w:after="0" w:before="120" w:line="276" w:lineRule="auto"/>
        <w:ind w:right="0" w:firstLine="0" w:left="0"/>
        <w:jc w:val="center"/>
        <w:rPr/>
      </w:pPr>
      <w:r>
        <mc:AlternateContent>
          <mc:Choice Requires="wpg">
            <w:drawing>
              <wp:inline xmlns:wp="http://schemas.openxmlformats.org/drawingml/2006/wordprocessingDrawing" distT="0" distB="0" distL="0" distR="0">
                <wp:extent cx="4743450" cy="2828925"/>
                <wp:effectExtent l="0" t="0" r="0" b="0"/>
                <wp:docPr id="3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896472" name=""/>
                        <pic:cNvPicPr>
                          <a:picLocks noChangeAspect="1"/>
                        </pic:cNvPicPr>
                        <pic:nvPr/>
                      </pic:nvPicPr>
                      <pic:blipFill rotWithShape="1">
                        <a:blip r:embed="rId50"/>
                        <a:stretch/>
                      </pic:blipFill>
                      <pic:spPr bwMode="auto">
                        <a:xfrm>
                          <a:off x="0" y="0"/>
                          <a:ext cx="4743449" cy="282892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7" o:spid="_x0000_s37" type="#_x0000_t75" style="width:373.50pt;height:222.75pt;mso-wrap-distance-left:0.00pt;mso-wrap-distance-top:0.00pt;mso-wrap-distance-right:0.00pt;mso-wrap-distance-bottom:0.00pt;z-index:1;" stroked="false">
                <v:imagedata r:id="rId50" o:title=""/>
                <o:lock v:ext="edit" rotation="t"/>
              </v:shape>
            </w:pict>
          </mc:Fallback>
        </mc:AlternateContent>
      </w:r>
      <w:r/>
    </w:p>
    <w:p>
      <w:pPr>
        <w:pBdr>
          <w:top w:val="none" w:color="000000" w:sz="4" w:space="0"/>
          <w:left w:val="none" w:color="000000" w:sz="4" w:space="0"/>
          <w:bottom w:val="none" w:color="000000" w:sz="4" w:space="0"/>
          <w:right w:val="none" w:color="000000" w:sz="4" w:space="0"/>
        </w:pBdr>
        <w:spacing w:after="0" w:before="120" w:line="276" w:lineRule="auto"/>
        <w:ind w:right="0" w:firstLine="0" w:left="0"/>
        <w:jc w:val="center"/>
        <w:rPr/>
      </w:pPr>
      <w:r>
        <mc:AlternateContent>
          <mc:Choice Requires="wpg">
            <w:drawing>
              <wp:inline xmlns:wp="http://schemas.openxmlformats.org/drawingml/2006/wordprocessingDrawing" distT="0" distB="0" distL="0" distR="0">
                <wp:extent cx="4076700" cy="2619375"/>
                <wp:effectExtent l="0" t="0" r="0" b="0"/>
                <wp:docPr id="3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8731254" name=""/>
                        <pic:cNvPicPr>
                          <a:picLocks noChangeAspect="1"/>
                        </pic:cNvPicPr>
                        <pic:nvPr/>
                      </pic:nvPicPr>
                      <pic:blipFill rotWithShape="1">
                        <a:blip r:embed="rId51"/>
                        <a:stretch/>
                      </pic:blipFill>
                      <pic:spPr bwMode="auto">
                        <a:xfrm>
                          <a:off x="0" y="0"/>
                          <a:ext cx="4076699" cy="261937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8" o:spid="_x0000_s38" type="#_x0000_t75" style="width:321.00pt;height:206.25pt;mso-wrap-distance-left:0.00pt;mso-wrap-distance-top:0.00pt;mso-wrap-distance-right:0.00pt;mso-wrap-distance-bottom:0.00pt;z-index:1;" stroked="false">
                <v:imagedata r:id="rId51" o:title=""/>
                <o:lock v:ext="edit" rotation="t"/>
              </v:shape>
            </w:pict>
          </mc:Fallback>
        </mc:AlternateContent>
      </w:r>
      <w:r/>
    </w:p>
    <w:p>
      <w:pPr>
        <w:pBdr/>
        <w:spacing w:after="200" w:line="276" w:lineRule="auto"/>
        <w:ind/>
        <w:rPr>
          <w:iCs/>
          <w:lang w:val="pt-BR"/>
        </w:rPr>
      </w:pPr>
      <w:r>
        <w:rPr>
          <w:iCs/>
          <w:lang w:val="pt-BR"/>
        </w:rPr>
      </w:r>
      <w:r>
        <w:rPr>
          <w:iCs/>
          <w:lang w:val="pt-BR"/>
        </w:rPr>
      </w:r>
      <w:r>
        <w:rPr>
          <w:iCs/>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9"/>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39"/>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9"/>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9"/>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7"/>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123A37D6"/>
    <w:lvl w:ilvl="0">
      <w:isLgl w:val="false"/>
      <w:lvlJc w:val="left"/>
      <w:lvlText w:val="Ø"/>
      <w:numFmt w:val="bullet"/>
      <w:pPr>
        <w:pBdr/>
        <w:spacing/>
        <w:ind w:hanging="360" w:left="720"/>
      </w:pPr>
      <w:rPr>
        <w:rFonts w:ascii="Wingdings" w:hAnsi="Wingdings" w:eastAsia="Wingdings" w:cs="Wingdings"/>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38">
    <w:nsid w:val="755E5A72"/>
    <w:lvl w:ilvl="0">
      <w:isLgl w:val="false"/>
      <w:lvlJc w:val="left"/>
      <w:lvlText w:val="-"/>
      <w:numFmt w:val="bullet"/>
      <w:pPr>
        <w:pBdr/>
        <w:spacing/>
        <w:ind w:hanging="360" w:left="720"/>
      </w:pPr>
      <w:rPr>
        <w:rFonts w:hint="default" w:ascii="Symbol" w:hAnsi="Symbol" w:eastAsia="Symbol" w:cs="Symbol"/>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39">
    <w:nsid w:val="4CBC4629"/>
    <w:lvl w:ilvl="0">
      <w:isLgl w:val="false"/>
      <w:lvlJc w:val="left"/>
      <w:lvlText w:val="%1."/>
      <w:numFmt w:val="decimal"/>
      <w:pPr>
        <w:pBdr/>
        <w:spacing/>
        <w:ind w:hanging="360" w:left="720"/>
      </w:pPr>
      <w:rPr>
        <w:rFonts w:ascii="Times New Roman" w:hAnsi="Times New Roman" w:eastAsia="Times New Roman" w:cs="Times New Roman"/>
        <w:b/>
        <w:sz w:val="24"/>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36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36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360" w:left="6480"/>
      </w:pPr>
      <w:rPr/>
      <w:start w:val="1"/>
      <w:suff w:val="tab"/>
    </w:lvl>
  </w:abstractNum>
  <w:abstractNum w:abstractNumId="40">
    <w:nsid w:val="721CC019"/>
    <w:lvl w:ilvl="0">
      <w:isLgl w:val="false"/>
      <w:lvlJc w:val="left"/>
      <w:lvlText w:val="Ø"/>
      <w:numFmt w:val="bullet"/>
      <w:pPr>
        <w:pBdr/>
        <w:spacing/>
        <w:ind w:hanging="360" w:left="709"/>
      </w:pPr>
      <w:rPr>
        <w:rFonts w:ascii="Wingdings" w:hAnsi="Wingdings" w:eastAsia="Wingdings" w:cs="Wingdings"/>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41">
    <w:nsid w:val="06F8BF5C"/>
    <w:lvl w:ilvl="0">
      <w:isLgl w:val="false"/>
      <w:lvlJc w:val="left"/>
      <w:lvlText w:val="-"/>
      <w:numFmt w:val="bullet"/>
      <w:pPr>
        <w:pBdr/>
        <w:spacing/>
        <w:ind w:hanging="360" w:left="709"/>
      </w:pPr>
      <w:rPr>
        <w:rFonts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42">
    <w:nsid w:val="0E555400"/>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43">
    <w:nsid w:val="19C52892"/>
    <w:lvl w:ilvl="0">
      <w:isLgl w:val="false"/>
      <w:lvlJc w:val="left"/>
      <w:lvlText w:val="Ø"/>
      <w:numFmt w:val="bullet"/>
      <w:pPr>
        <w:pBdr/>
        <w:spacing/>
        <w:ind w:hanging="360" w:left="720"/>
      </w:pPr>
      <w:rPr>
        <w:rFonts w:ascii="Wingdings" w:hAnsi="Wingdings" w:eastAsia="Wingdings" w:cs="Wingdings"/>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44">
    <w:nsid w:val="4FD8CE88"/>
    <w:lvl w:ilvl="0">
      <w:isLgl w:val="false"/>
      <w:lvlJc w:val="left"/>
      <w:lvlText w:val="-"/>
      <w:numFmt w:val="bullet"/>
      <w:pPr>
        <w:pBdr/>
        <w:spacing/>
        <w:ind w:hanging="360" w:left="720"/>
      </w:pPr>
      <w:rPr>
        <w:rFonts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45">
    <w:nsid w:val="6888D79C"/>
    <w:lvl w:ilvl="0">
      <w:isLgl w:val="false"/>
      <w:lvlJc w:val="left"/>
      <w:lvlText w:val="-"/>
      <w:numFmt w:val="bullet"/>
      <w:pPr>
        <w:pBdr/>
        <w:spacing/>
        <w:ind w:hanging="360" w:left="720"/>
      </w:pPr>
      <w:rPr>
        <w:rFonts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46">
    <w:nsid w:val="755E5A72"/>
    <w:lvl w:ilvl="0">
      <w:isLgl w:val="false"/>
      <w:lvlJc w:val="left"/>
      <w:lvlText w:val="-"/>
      <w:numFmt w:val="bullet"/>
      <w:pPr>
        <w:pBdr/>
        <w:spacing/>
        <w:ind w:hanging="360" w:left="720"/>
      </w:pPr>
      <w:rPr>
        <w:rFonts w:hint="default" w:ascii="Symbol" w:hAnsi="Symbol" w:eastAsia="Symbol" w:cs="Symbol"/>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 w:numId="41">
    <w:abstractNumId w:val="39"/>
  </w:num>
  <w:num w:numId="42">
    <w:abstractNumId w:val="40"/>
  </w:num>
  <w:num w:numId="43">
    <w:abstractNumId w:val="41"/>
  </w:num>
  <w:num w:numId="44">
    <w:abstractNumId w:val="42"/>
  </w:num>
  <w:num w:numId="45">
    <w:abstractNumId w:val="43"/>
  </w:num>
  <w:num w:numId="46">
    <w:abstractNumId w:val="44"/>
  </w:num>
  <w:num w:numId="47">
    <w:abstractNumId w:val="45"/>
  </w:num>
  <w:num w:numId="48">
    <w:abstractNumId w:val="4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55">
    <w:name w:val="Table Grid Light"/>
    <w:basedOn w:val="1027"/>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Plain Table 1"/>
    <w:basedOn w:val="1027"/>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Plain Table 2"/>
    <w:basedOn w:val="1027"/>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Plain Table 3"/>
    <w:basedOn w:val="1027"/>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Plain Table 4"/>
    <w:basedOn w:val="1027"/>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Plain Table 5"/>
    <w:basedOn w:val="1027"/>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1 Light"/>
    <w:basedOn w:val="1027"/>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1 Light - Accent 1"/>
    <w:basedOn w:val="1027"/>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1 Light - Accent 2"/>
    <w:basedOn w:val="1027"/>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1 Light - Accent 3"/>
    <w:basedOn w:val="1027"/>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1 Light - Accent 4"/>
    <w:basedOn w:val="1027"/>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1 Light - Accent 5"/>
    <w:basedOn w:val="1027"/>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1 Light - Accent 6"/>
    <w:basedOn w:val="1027"/>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2"/>
    <w:basedOn w:val="1027"/>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2 - Accent 1"/>
    <w:basedOn w:val="1027"/>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2 - Accent 2"/>
    <w:basedOn w:val="1027"/>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2 - Accent 3"/>
    <w:basedOn w:val="1027"/>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2 - Accent 4"/>
    <w:basedOn w:val="1027"/>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2 - Accent 5"/>
    <w:basedOn w:val="1027"/>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2 - Accent 6"/>
    <w:basedOn w:val="1027"/>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3"/>
    <w:basedOn w:val="1027"/>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3 - Accent 1"/>
    <w:basedOn w:val="1027"/>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3 - Accent 2"/>
    <w:basedOn w:val="1027"/>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3 - Accent 3"/>
    <w:basedOn w:val="1027"/>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3 - Accent 4"/>
    <w:basedOn w:val="1027"/>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3 - Accent 5"/>
    <w:basedOn w:val="1027"/>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3 - Accent 6"/>
    <w:basedOn w:val="1027"/>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4"/>
    <w:basedOn w:val="1027"/>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4 - Accent 1"/>
    <w:basedOn w:val="1027"/>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Grid Table 4 - Accent 2"/>
    <w:basedOn w:val="1027"/>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Grid Table 4 - Accent 3"/>
    <w:basedOn w:val="1027"/>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4 - Accent 4"/>
    <w:basedOn w:val="1027"/>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4 - Accent 5"/>
    <w:basedOn w:val="1027"/>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4 - Accent 6"/>
    <w:basedOn w:val="1027"/>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5 Dark"/>
    <w:basedOn w:val="102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5 Dark- Accent 1"/>
    <w:basedOn w:val="102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5 Dark - Accent 2"/>
    <w:basedOn w:val="102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5 Dark - Accent 3"/>
    <w:basedOn w:val="102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Grid Table 5 Dark- Accent 4"/>
    <w:basedOn w:val="102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Grid Table 5 Dark - Accent 5"/>
    <w:basedOn w:val="102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Grid Table 5 Dark - Accent 6"/>
    <w:basedOn w:val="102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Grid Table 6 Colorful"/>
    <w:basedOn w:val="1027"/>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97">
    <w:name w:val="Grid Table 6 Colorful - Accent 1"/>
    <w:basedOn w:val="1027"/>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98">
    <w:name w:val="Grid Table 6 Colorful - Accent 2"/>
    <w:basedOn w:val="1027"/>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99">
    <w:name w:val="Grid Table 6 Colorful - Accent 3"/>
    <w:basedOn w:val="1027"/>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900">
    <w:name w:val="Grid Table 6 Colorful - Accent 4"/>
    <w:basedOn w:val="1027"/>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901">
    <w:name w:val="Grid Table 6 Colorful - Accent 5"/>
    <w:basedOn w:val="1027"/>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902">
    <w:name w:val="Grid Table 6 Colorful - Accent 6"/>
    <w:basedOn w:val="1027"/>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903">
    <w:name w:val="Grid Table 7 Colorful"/>
    <w:basedOn w:val="1027"/>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Grid Table 7 Colorful - Accent 1"/>
    <w:basedOn w:val="1027"/>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Grid Table 7 Colorful - Accent 2"/>
    <w:basedOn w:val="1027"/>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Grid Table 7 Colorful - Accent 3"/>
    <w:basedOn w:val="1027"/>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Grid Table 7 Colorful - Accent 4"/>
    <w:basedOn w:val="1027"/>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Grid Table 7 Colorful - Accent 5"/>
    <w:basedOn w:val="1027"/>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Grid Table 7 Colorful - Accent 6"/>
    <w:basedOn w:val="1027"/>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1 Light"/>
    <w:basedOn w:val="102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1 Light - Accent 1"/>
    <w:basedOn w:val="102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1 Light - Accent 2"/>
    <w:basedOn w:val="102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1 Light - Accent 3"/>
    <w:basedOn w:val="102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1 Light - Accent 4"/>
    <w:basedOn w:val="102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1 Light - Accent 5"/>
    <w:basedOn w:val="102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1 Light - Accent 6"/>
    <w:basedOn w:val="102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2"/>
    <w:basedOn w:val="1027"/>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2 - Accent 1"/>
    <w:basedOn w:val="1027"/>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2 - Accent 2"/>
    <w:basedOn w:val="1027"/>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2 - Accent 3"/>
    <w:basedOn w:val="1027"/>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2 - Accent 4"/>
    <w:basedOn w:val="1027"/>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2 - Accent 5"/>
    <w:basedOn w:val="1027"/>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2 - Accent 6"/>
    <w:basedOn w:val="1027"/>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3"/>
    <w:basedOn w:val="1027"/>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st Table 3 - Accent 1"/>
    <w:basedOn w:val="1027"/>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List Table 3 - Accent 2"/>
    <w:basedOn w:val="1027"/>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name w:val="List Table 3 - Accent 3"/>
    <w:basedOn w:val="1027"/>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3 - Accent 4"/>
    <w:basedOn w:val="1027"/>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3 - Accent 5"/>
    <w:basedOn w:val="1027"/>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3 - Accent 6"/>
    <w:basedOn w:val="1027"/>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4"/>
    <w:basedOn w:val="1027"/>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4 - Accent 1"/>
    <w:basedOn w:val="1027"/>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4 - Accent 2"/>
    <w:basedOn w:val="1027"/>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4 - Accent 3"/>
    <w:basedOn w:val="1027"/>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4 - Accent 4"/>
    <w:basedOn w:val="1027"/>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4 - Accent 5"/>
    <w:basedOn w:val="1027"/>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7">
    <w:name w:val="List Table 4 - Accent 6"/>
    <w:basedOn w:val="1027"/>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name w:val="List Table 5 Dark"/>
    <w:basedOn w:val="1027"/>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9">
    <w:name w:val="List Table 5 Dark - Accent 1"/>
    <w:basedOn w:val="1027"/>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0">
    <w:name w:val="List Table 5 Dark - Accent 2"/>
    <w:basedOn w:val="1027"/>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1">
    <w:name w:val="List Table 5 Dark - Accent 3"/>
    <w:basedOn w:val="1027"/>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2">
    <w:name w:val="List Table 5 Dark - Accent 4"/>
    <w:basedOn w:val="1027"/>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3">
    <w:name w:val="List Table 5 Dark - Accent 5"/>
    <w:basedOn w:val="1027"/>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4">
    <w:name w:val="List Table 5 Dark - Accent 6"/>
    <w:basedOn w:val="1027"/>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5">
    <w:name w:val="List Table 6 Colorful"/>
    <w:basedOn w:val="1027"/>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st Table 6 Colorful - Accent 1"/>
    <w:basedOn w:val="1027"/>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st Table 6 Colorful - Accent 2"/>
    <w:basedOn w:val="1027"/>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st Table 6 Colorful - Accent 3"/>
    <w:basedOn w:val="1027"/>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List Table 6 Colorful - Accent 4"/>
    <w:basedOn w:val="1027"/>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List Table 6 Colorful - Accent 5"/>
    <w:basedOn w:val="1027"/>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List Table 6 Colorful - Accent 6"/>
    <w:basedOn w:val="1027"/>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List Table 7 Colorful"/>
    <w:basedOn w:val="1027"/>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53">
    <w:name w:val="List Table 7 Colorful - Accent 1"/>
    <w:basedOn w:val="1027"/>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54">
    <w:name w:val="List Table 7 Colorful - Accent 2"/>
    <w:basedOn w:val="1027"/>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55">
    <w:name w:val="List Table 7 Colorful - Accent 3"/>
    <w:basedOn w:val="1027"/>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56">
    <w:name w:val="List Table 7 Colorful - Accent 4"/>
    <w:basedOn w:val="1027"/>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57">
    <w:name w:val="List Table 7 Colorful - Accent 5"/>
    <w:basedOn w:val="1027"/>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58">
    <w:name w:val="List Table 7 Colorful - Accent 6"/>
    <w:basedOn w:val="1027"/>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59">
    <w:name w:val="Lined - Accent"/>
    <w:basedOn w:val="102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Lined - Accent 1"/>
    <w:basedOn w:val="102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Lined - Accent 2"/>
    <w:basedOn w:val="102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Lined - Accent 3"/>
    <w:basedOn w:val="102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Lined - Accent 4"/>
    <w:basedOn w:val="102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Lined - Accent 5"/>
    <w:basedOn w:val="102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Lined - Accent 6"/>
    <w:basedOn w:val="102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name w:val="Bordered &amp; Lined - Accent"/>
    <w:basedOn w:val="1027"/>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name w:val="Bordered &amp; Lined - Accent 1"/>
    <w:basedOn w:val="1027"/>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8">
    <w:name w:val="Bordered &amp; Lined - Accent 2"/>
    <w:basedOn w:val="1027"/>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9">
    <w:name w:val="Bordered &amp; Lined - Accent 3"/>
    <w:basedOn w:val="1027"/>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0">
    <w:name w:val="Bordered &amp; Lined - Accent 4"/>
    <w:basedOn w:val="1027"/>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1">
    <w:name w:val="Bordered &amp; Lined - Accent 5"/>
    <w:basedOn w:val="1027"/>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2">
    <w:name w:val="Bordered &amp; Lined - Accent 6"/>
    <w:basedOn w:val="1027"/>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3">
    <w:name w:val="Bordered"/>
    <w:basedOn w:val="1027"/>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4">
    <w:name w:val="Bordered - Accent 1"/>
    <w:basedOn w:val="1027"/>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5">
    <w:name w:val="Bordered - Accent 2"/>
    <w:basedOn w:val="1027"/>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6">
    <w:name w:val="Bordered - Accent 3"/>
    <w:basedOn w:val="1027"/>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7">
    <w:name w:val="Bordered - Accent 4"/>
    <w:basedOn w:val="1027"/>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8">
    <w:name w:val="Bordered - Accent 5"/>
    <w:basedOn w:val="1027"/>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9">
    <w:name w:val="Bordered - Accent 6"/>
    <w:basedOn w:val="1027"/>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80">
    <w:name w:val="Heading 5"/>
    <w:basedOn w:val="1021"/>
    <w:next w:val="1021"/>
    <w:link w:val="985"/>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81">
    <w:name w:val="Heading 6"/>
    <w:basedOn w:val="1021"/>
    <w:next w:val="1021"/>
    <w:link w:val="986"/>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82">
    <w:name w:val="Heading 7"/>
    <w:basedOn w:val="1021"/>
    <w:next w:val="1021"/>
    <w:link w:val="987"/>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83">
    <w:name w:val="Heading 8"/>
    <w:basedOn w:val="1021"/>
    <w:next w:val="1021"/>
    <w:link w:val="988"/>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84">
    <w:name w:val="Heading 9"/>
    <w:basedOn w:val="1021"/>
    <w:next w:val="1021"/>
    <w:link w:val="989"/>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85">
    <w:name w:val="Heading 5 Char"/>
    <w:basedOn w:val="1026"/>
    <w:link w:val="980"/>
    <w:uiPriority w:val="9"/>
    <w:pPr>
      <w:pBdr/>
      <w:spacing/>
      <w:ind/>
    </w:pPr>
    <w:rPr>
      <w:rFonts w:ascii="Arial" w:hAnsi="Arial" w:eastAsia="Arial" w:cs="Arial"/>
      <w:color w:val="0f4761" w:themeColor="accent1" w:themeShade="BF"/>
    </w:rPr>
  </w:style>
  <w:style w:type="character" w:styleId="986">
    <w:name w:val="Heading 6 Char"/>
    <w:basedOn w:val="1026"/>
    <w:link w:val="981"/>
    <w:uiPriority w:val="9"/>
    <w:pPr>
      <w:pBdr/>
      <w:spacing/>
      <w:ind/>
    </w:pPr>
    <w:rPr>
      <w:rFonts w:ascii="Arial" w:hAnsi="Arial" w:eastAsia="Arial" w:cs="Arial"/>
      <w:i/>
      <w:iCs/>
      <w:color w:val="595959" w:themeColor="text1" w:themeTint="A6"/>
    </w:rPr>
  </w:style>
  <w:style w:type="character" w:styleId="987">
    <w:name w:val="Heading 7 Char"/>
    <w:basedOn w:val="1026"/>
    <w:link w:val="982"/>
    <w:uiPriority w:val="9"/>
    <w:pPr>
      <w:pBdr/>
      <w:spacing/>
      <w:ind/>
    </w:pPr>
    <w:rPr>
      <w:rFonts w:ascii="Arial" w:hAnsi="Arial" w:eastAsia="Arial" w:cs="Arial"/>
      <w:color w:val="595959" w:themeColor="text1" w:themeTint="A6"/>
    </w:rPr>
  </w:style>
  <w:style w:type="character" w:styleId="988">
    <w:name w:val="Heading 8 Char"/>
    <w:basedOn w:val="1026"/>
    <w:link w:val="983"/>
    <w:uiPriority w:val="9"/>
    <w:pPr>
      <w:pBdr/>
      <w:spacing/>
      <w:ind/>
    </w:pPr>
    <w:rPr>
      <w:rFonts w:ascii="Arial" w:hAnsi="Arial" w:eastAsia="Arial" w:cs="Arial"/>
      <w:i/>
      <w:iCs/>
      <w:color w:val="272727" w:themeColor="text1" w:themeTint="D8"/>
    </w:rPr>
  </w:style>
  <w:style w:type="character" w:styleId="989">
    <w:name w:val="Heading 9 Char"/>
    <w:basedOn w:val="1026"/>
    <w:link w:val="984"/>
    <w:uiPriority w:val="9"/>
    <w:pPr>
      <w:pBdr/>
      <w:spacing/>
      <w:ind/>
    </w:pPr>
    <w:rPr>
      <w:rFonts w:ascii="Arial" w:hAnsi="Arial" w:eastAsia="Arial" w:cs="Arial"/>
      <w:i/>
      <w:iCs/>
      <w:color w:val="272727" w:themeColor="text1" w:themeTint="D8"/>
    </w:rPr>
  </w:style>
  <w:style w:type="paragraph" w:styleId="990">
    <w:name w:val="Subtitle"/>
    <w:basedOn w:val="1021"/>
    <w:next w:val="1021"/>
    <w:link w:val="991"/>
    <w:uiPriority w:val="11"/>
    <w:qFormat/>
    <w:pPr>
      <w:numPr>
        <w:ilvl w:val="1"/>
      </w:numPr>
      <w:pBdr/>
      <w:spacing/>
      <w:ind/>
    </w:pPr>
    <w:rPr>
      <w:color w:val="595959" w:themeColor="text1" w:themeTint="A6"/>
      <w:spacing w:val="15"/>
      <w:sz w:val="28"/>
      <w:szCs w:val="28"/>
    </w:rPr>
  </w:style>
  <w:style w:type="character" w:styleId="991">
    <w:name w:val="Subtitle Char"/>
    <w:basedOn w:val="1026"/>
    <w:link w:val="990"/>
    <w:uiPriority w:val="11"/>
    <w:pPr>
      <w:pBdr/>
      <w:spacing/>
      <w:ind/>
    </w:pPr>
    <w:rPr>
      <w:color w:val="595959" w:themeColor="text1" w:themeTint="A6"/>
      <w:spacing w:val="15"/>
      <w:sz w:val="28"/>
      <w:szCs w:val="28"/>
    </w:rPr>
  </w:style>
  <w:style w:type="paragraph" w:styleId="992">
    <w:name w:val="Quote"/>
    <w:basedOn w:val="1021"/>
    <w:next w:val="1021"/>
    <w:link w:val="993"/>
    <w:uiPriority w:val="29"/>
    <w:qFormat/>
    <w:pPr>
      <w:pBdr/>
      <w:spacing w:before="160"/>
      <w:ind/>
      <w:jc w:val="center"/>
    </w:pPr>
    <w:rPr>
      <w:i/>
      <w:iCs/>
      <w:color w:val="404040" w:themeColor="text1" w:themeTint="BF"/>
    </w:rPr>
  </w:style>
  <w:style w:type="character" w:styleId="993">
    <w:name w:val="Quote Char"/>
    <w:basedOn w:val="1026"/>
    <w:link w:val="992"/>
    <w:uiPriority w:val="29"/>
    <w:pPr>
      <w:pBdr/>
      <w:spacing/>
      <w:ind/>
    </w:pPr>
    <w:rPr>
      <w:i/>
      <w:iCs/>
      <w:color w:val="404040" w:themeColor="text1" w:themeTint="BF"/>
    </w:rPr>
  </w:style>
  <w:style w:type="character" w:styleId="994">
    <w:name w:val="Intense Emphasis"/>
    <w:basedOn w:val="1026"/>
    <w:uiPriority w:val="21"/>
    <w:qFormat/>
    <w:pPr>
      <w:pBdr/>
      <w:spacing/>
      <w:ind/>
    </w:pPr>
    <w:rPr>
      <w:i/>
      <w:iCs/>
      <w:color w:val="0f4761" w:themeColor="accent1" w:themeShade="BF"/>
    </w:rPr>
  </w:style>
  <w:style w:type="paragraph" w:styleId="995">
    <w:name w:val="Intense Quote"/>
    <w:basedOn w:val="1021"/>
    <w:next w:val="1021"/>
    <w:link w:val="996"/>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96">
    <w:name w:val="Intense Quote Char"/>
    <w:basedOn w:val="1026"/>
    <w:link w:val="995"/>
    <w:uiPriority w:val="30"/>
    <w:pPr>
      <w:pBdr/>
      <w:spacing/>
      <w:ind/>
    </w:pPr>
    <w:rPr>
      <w:i/>
      <w:iCs/>
      <w:color w:val="0f4761" w:themeColor="accent1" w:themeShade="BF"/>
    </w:rPr>
  </w:style>
  <w:style w:type="character" w:styleId="997">
    <w:name w:val="Intense Reference"/>
    <w:basedOn w:val="1026"/>
    <w:uiPriority w:val="32"/>
    <w:qFormat/>
    <w:pPr>
      <w:pBdr/>
      <w:spacing/>
      <w:ind/>
    </w:pPr>
    <w:rPr>
      <w:b/>
      <w:bCs/>
      <w:smallCaps/>
      <w:color w:val="0f4761" w:themeColor="accent1" w:themeShade="BF"/>
      <w:spacing w:val="5"/>
    </w:rPr>
  </w:style>
  <w:style w:type="paragraph" w:styleId="998">
    <w:name w:val="No Spacing"/>
    <w:basedOn w:val="1021"/>
    <w:uiPriority w:val="1"/>
    <w:qFormat/>
    <w:pPr>
      <w:pBdr/>
      <w:spacing w:after="0" w:line="240" w:lineRule="auto"/>
      <w:ind/>
    </w:pPr>
  </w:style>
  <w:style w:type="character" w:styleId="999">
    <w:name w:val="Subtle Emphasis"/>
    <w:basedOn w:val="1026"/>
    <w:uiPriority w:val="19"/>
    <w:qFormat/>
    <w:pPr>
      <w:pBdr/>
      <w:spacing/>
      <w:ind/>
    </w:pPr>
    <w:rPr>
      <w:i/>
      <w:iCs/>
      <w:color w:val="404040" w:themeColor="text1" w:themeTint="BF"/>
    </w:rPr>
  </w:style>
  <w:style w:type="character" w:styleId="1000">
    <w:name w:val="Subtle Reference"/>
    <w:basedOn w:val="1026"/>
    <w:uiPriority w:val="31"/>
    <w:qFormat/>
    <w:pPr>
      <w:pBdr/>
      <w:spacing/>
      <w:ind/>
    </w:pPr>
    <w:rPr>
      <w:smallCaps/>
      <w:color w:val="5a5a5a" w:themeColor="text1" w:themeTint="A5"/>
    </w:rPr>
  </w:style>
  <w:style w:type="character" w:styleId="1001">
    <w:name w:val="Book Title"/>
    <w:basedOn w:val="1026"/>
    <w:uiPriority w:val="33"/>
    <w:qFormat/>
    <w:pPr>
      <w:pBdr/>
      <w:spacing/>
      <w:ind/>
    </w:pPr>
    <w:rPr>
      <w:b/>
      <w:bCs/>
      <w:i/>
      <w:iCs/>
      <w:spacing w:val="5"/>
    </w:rPr>
  </w:style>
  <w:style w:type="paragraph" w:styleId="1002">
    <w:name w:val="Caption"/>
    <w:basedOn w:val="1021"/>
    <w:next w:val="1021"/>
    <w:uiPriority w:val="35"/>
    <w:unhideWhenUsed/>
    <w:qFormat/>
    <w:pPr>
      <w:pBdr/>
      <w:spacing w:after="200" w:line="240" w:lineRule="auto"/>
      <w:ind/>
    </w:pPr>
    <w:rPr>
      <w:i/>
      <w:iCs/>
      <w:color w:val="0e2841" w:themeColor="text2"/>
      <w:sz w:val="18"/>
      <w:szCs w:val="18"/>
    </w:rPr>
  </w:style>
  <w:style w:type="paragraph" w:styleId="1003">
    <w:name w:val="footnote text"/>
    <w:basedOn w:val="1021"/>
    <w:link w:val="1004"/>
    <w:uiPriority w:val="99"/>
    <w:semiHidden/>
    <w:unhideWhenUsed/>
    <w:pPr>
      <w:pBdr/>
      <w:spacing w:after="0" w:line="240" w:lineRule="auto"/>
      <w:ind/>
    </w:pPr>
    <w:rPr>
      <w:sz w:val="20"/>
      <w:szCs w:val="20"/>
    </w:rPr>
  </w:style>
  <w:style w:type="character" w:styleId="1004">
    <w:name w:val="Footnote Text Char"/>
    <w:basedOn w:val="1026"/>
    <w:link w:val="1003"/>
    <w:uiPriority w:val="99"/>
    <w:semiHidden/>
    <w:pPr>
      <w:pBdr/>
      <w:spacing/>
      <w:ind/>
    </w:pPr>
    <w:rPr>
      <w:sz w:val="20"/>
      <w:szCs w:val="20"/>
    </w:rPr>
  </w:style>
  <w:style w:type="character" w:styleId="1005">
    <w:name w:val="footnote reference"/>
    <w:basedOn w:val="1026"/>
    <w:uiPriority w:val="99"/>
    <w:semiHidden/>
    <w:unhideWhenUsed/>
    <w:pPr>
      <w:pBdr/>
      <w:spacing/>
      <w:ind/>
    </w:pPr>
    <w:rPr>
      <w:vertAlign w:val="superscript"/>
    </w:rPr>
  </w:style>
  <w:style w:type="paragraph" w:styleId="1006">
    <w:name w:val="endnote text"/>
    <w:basedOn w:val="1021"/>
    <w:link w:val="1007"/>
    <w:uiPriority w:val="99"/>
    <w:semiHidden/>
    <w:unhideWhenUsed/>
    <w:pPr>
      <w:pBdr/>
      <w:spacing w:after="0" w:line="240" w:lineRule="auto"/>
      <w:ind/>
    </w:pPr>
    <w:rPr>
      <w:sz w:val="20"/>
      <w:szCs w:val="20"/>
    </w:rPr>
  </w:style>
  <w:style w:type="character" w:styleId="1007">
    <w:name w:val="Endnote Text Char"/>
    <w:basedOn w:val="1026"/>
    <w:link w:val="1006"/>
    <w:uiPriority w:val="99"/>
    <w:semiHidden/>
    <w:pPr>
      <w:pBdr/>
      <w:spacing/>
      <w:ind/>
    </w:pPr>
    <w:rPr>
      <w:sz w:val="20"/>
      <w:szCs w:val="20"/>
    </w:rPr>
  </w:style>
  <w:style w:type="character" w:styleId="1008">
    <w:name w:val="endnote reference"/>
    <w:basedOn w:val="1026"/>
    <w:uiPriority w:val="99"/>
    <w:semiHidden/>
    <w:unhideWhenUsed/>
    <w:pPr>
      <w:pBdr/>
      <w:spacing/>
      <w:ind/>
    </w:pPr>
    <w:rPr>
      <w:vertAlign w:val="superscript"/>
    </w:rPr>
  </w:style>
  <w:style w:type="paragraph" w:styleId="1009">
    <w:name w:val="toc 1"/>
    <w:basedOn w:val="1021"/>
    <w:next w:val="1021"/>
    <w:uiPriority w:val="39"/>
    <w:unhideWhenUsed/>
    <w:pPr>
      <w:pBdr/>
      <w:spacing w:after="100"/>
      <w:ind/>
    </w:pPr>
  </w:style>
  <w:style w:type="paragraph" w:styleId="1010">
    <w:name w:val="toc 2"/>
    <w:basedOn w:val="1021"/>
    <w:next w:val="1021"/>
    <w:uiPriority w:val="39"/>
    <w:unhideWhenUsed/>
    <w:pPr>
      <w:pBdr/>
      <w:spacing w:after="100"/>
      <w:ind w:left="220"/>
    </w:pPr>
  </w:style>
  <w:style w:type="paragraph" w:styleId="1011">
    <w:name w:val="toc 3"/>
    <w:basedOn w:val="1021"/>
    <w:next w:val="1021"/>
    <w:uiPriority w:val="39"/>
    <w:unhideWhenUsed/>
    <w:pPr>
      <w:pBdr/>
      <w:spacing w:after="100"/>
      <w:ind w:left="440"/>
    </w:pPr>
  </w:style>
  <w:style w:type="paragraph" w:styleId="1012">
    <w:name w:val="toc 4"/>
    <w:basedOn w:val="1021"/>
    <w:next w:val="1021"/>
    <w:uiPriority w:val="39"/>
    <w:unhideWhenUsed/>
    <w:pPr>
      <w:pBdr/>
      <w:spacing w:after="100"/>
      <w:ind w:left="660"/>
    </w:pPr>
  </w:style>
  <w:style w:type="paragraph" w:styleId="1013">
    <w:name w:val="toc 5"/>
    <w:basedOn w:val="1021"/>
    <w:next w:val="1021"/>
    <w:uiPriority w:val="39"/>
    <w:unhideWhenUsed/>
    <w:pPr>
      <w:pBdr/>
      <w:spacing w:after="100"/>
      <w:ind w:left="880"/>
    </w:pPr>
  </w:style>
  <w:style w:type="paragraph" w:styleId="1014">
    <w:name w:val="toc 6"/>
    <w:basedOn w:val="1021"/>
    <w:next w:val="1021"/>
    <w:uiPriority w:val="39"/>
    <w:unhideWhenUsed/>
    <w:pPr>
      <w:pBdr/>
      <w:spacing w:after="100"/>
      <w:ind w:left="1100"/>
    </w:pPr>
  </w:style>
  <w:style w:type="paragraph" w:styleId="1015">
    <w:name w:val="toc 7"/>
    <w:basedOn w:val="1021"/>
    <w:next w:val="1021"/>
    <w:uiPriority w:val="39"/>
    <w:unhideWhenUsed/>
    <w:pPr>
      <w:pBdr/>
      <w:spacing w:after="100"/>
      <w:ind w:left="1320"/>
    </w:pPr>
  </w:style>
  <w:style w:type="paragraph" w:styleId="1016">
    <w:name w:val="toc 8"/>
    <w:basedOn w:val="1021"/>
    <w:next w:val="1021"/>
    <w:uiPriority w:val="39"/>
    <w:unhideWhenUsed/>
    <w:pPr>
      <w:pBdr/>
      <w:spacing w:after="100"/>
      <w:ind w:left="1540"/>
    </w:pPr>
  </w:style>
  <w:style w:type="paragraph" w:styleId="1017">
    <w:name w:val="toc 9"/>
    <w:basedOn w:val="1021"/>
    <w:next w:val="1021"/>
    <w:uiPriority w:val="39"/>
    <w:unhideWhenUsed/>
    <w:pPr>
      <w:pBdr/>
      <w:spacing w:after="100"/>
      <w:ind w:left="1760"/>
    </w:pPr>
  </w:style>
  <w:style w:type="character" w:styleId="1018">
    <w:name w:val="Placeholder Text"/>
    <w:basedOn w:val="1026"/>
    <w:uiPriority w:val="99"/>
    <w:semiHidden/>
    <w:pPr>
      <w:pBdr/>
      <w:spacing/>
      <w:ind/>
    </w:pPr>
    <w:rPr>
      <w:color w:val="666666"/>
    </w:rPr>
  </w:style>
  <w:style w:type="paragraph" w:styleId="1019">
    <w:name w:val="TOC Heading"/>
    <w:uiPriority w:val="39"/>
    <w:unhideWhenUsed/>
    <w:pPr>
      <w:pBdr/>
      <w:spacing/>
      <w:ind/>
    </w:pPr>
  </w:style>
  <w:style w:type="paragraph" w:styleId="1020">
    <w:name w:val="table of figures"/>
    <w:basedOn w:val="1021"/>
    <w:next w:val="1021"/>
    <w:uiPriority w:val="99"/>
    <w:unhideWhenUsed/>
    <w:pPr>
      <w:pBdr/>
      <w:spacing w:after="0" w:afterAutospacing="0"/>
      <w:ind/>
    </w:pPr>
  </w:style>
  <w:style w:type="paragraph" w:styleId="1021" w:default="1">
    <w:name w:val="Normal"/>
    <w:qFormat/>
    <w:pPr>
      <w:pBdr/>
      <w:spacing w:after="0" w:line="240" w:lineRule="auto"/>
      <w:ind/>
    </w:pPr>
    <w:rPr>
      <w:rFonts w:ascii="Times New Roman" w:hAnsi="Times New Roman" w:eastAsia="Times New Roman" w:cs="Times New Roman"/>
      <w:sz w:val="24"/>
      <w:szCs w:val="24"/>
    </w:rPr>
  </w:style>
  <w:style w:type="paragraph" w:styleId="1022">
    <w:name w:val="Heading 1"/>
    <w:basedOn w:val="1021"/>
    <w:next w:val="1021"/>
    <w:link w:val="1029"/>
    <w:qFormat/>
    <w:pPr>
      <w:keepNext w:val="true"/>
      <w:pBdr/>
      <w:spacing w:after="120" w:before="120"/>
      <w:ind/>
      <w:jc w:val="center"/>
      <w:outlineLvl w:val="0"/>
    </w:pPr>
    <w:rPr>
      <w:b/>
      <w:bCs/>
      <w:sz w:val="27"/>
      <w:szCs w:val="27"/>
    </w:rPr>
  </w:style>
  <w:style w:type="paragraph" w:styleId="1023">
    <w:name w:val="Heading 2"/>
    <w:basedOn w:val="1021"/>
    <w:next w:val="1021"/>
    <w:link w:val="1030"/>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24">
    <w:name w:val="Heading 3"/>
    <w:basedOn w:val="1021"/>
    <w:next w:val="1021"/>
    <w:link w:val="1031"/>
    <w:qFormat/>
    <w:pPr>
      <w:keepNext w:val="true"/>
      <w:pBdr/>
      <w:spacing w:before="60"/>
      <w:ind/>
      <w:outlineLvl w:val="2"/>
    </w:pPr>
    <w:rPr>
      <w:sz w:val="28"/>
      <w:szCs w:val="28"/>
    </w:rPr>
  </w:style>
  <w:style w:type="paragraph" w:styleId="1025">
    <w:name w:val="Heading 4"/>
    <w:basedOn w:val="1021"/>
    <w:next w:val="1021"/>
    <w:link w:val="1032"/>
    <w:qFormat/>
    <w:pPr>
      <w:keepNext w:val="true"/>
      <w:pBdr/>
      <w:spacing/>
      <w:ind/>
      <w:jc w:val="center"/>
      <w:outlineLvl w:val="3"/>
    </w:pPr>
    <w:rPr>
      <w:b/>
      <w:bCs/>
    </w:rPr>
  </w:style>
  <w:style w:type="character" w:styleId="1026" w:default="1">
    <w:name w:val="Default Paragraph Font"/>
    <w:uiPriority w:val="1"/>
    <w:semiHidden/>
    <w:unhideWhenUsed/>
    <w:pPr>
      <w:pBdr/>
      <w:spacing/>
      <w:ind/>
    </w:pPr>
  </w:style>
  <w:style w:type="table" w:styleId="1027"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28" w:default="1">
    <w:name w:val="No List"/>
    <w:uiPriority w:val="99"/>
    <w:semiHidden/>
    <w:unhideWhenUsed/>
    <w:pPr>
      <w:pBdr/>
      <w:spacing/>
      <w:ind/>
    </w:pPr>
  </w:style>
  <w:style w:type="character" w:styleId="1029" w:customStyle="1">
    <w:name w:val="Heading 1 Char"/>
    <w:basedOn w:val="1026"/>
    <w:link w:val="1022"/>
    <w:pPr>
      <w:pBdr/>
      <w:spacing/>
      <w:ind/>
    </w:pPr>
    <w:rPr>
      <w:rFonts w:ascii="Times New Roman" w:hAnsi="Times New Roman" w:eastAsia="Times New Roman" w:cs="Times New Roman"/>
      <w:b/>
      <w:bCs/>
      <w:sz w:val="27"/>
      <w:szCs w:val="27"/>
    </w:rPr>
  </w:style>
  <w:style w:type="character" w:styleId="1030" w:customStyle="1">
    <w:name w:val="Heading 2 Char"/>
    <w:basedOn w:val="1026"/>
    <w:link w:val="1023"/>
    <w:uiPriority w:val="9"/>
    <w:pPr>
      <w:pBdr/>
      <w:spacing/>
      <w:ind/>
    </w:pPr>
    <w:rPr>
      <w:rFonts w:asciiTheme="majorHAnsi" w:hAnsiTheme="majorHAnsi" w:eastAsiaTheme="majorEastAsia" w:cstheme="majorBidi"/>
      <w:color w:val="365f91" w:themeColor="accent1" w:themeShade="BF"/>
      <w:sz w:val="26"/>
      <w:szCs w:val="26"/>
    </w:rPr>
  </w:style>
  <w:style w:type="character" w:styleId="1031" w:customStyle="1">
    <w:name w:val="Heading 3 Char"/>
    <w:basedOn w:val="1026"/>
    <w:link w:val="1024"/>
    <w:pPr>
      <w:pBdr/>
      <w:spacing/>
      <w:ind/>
    </w:pPr>
    <w:rPr>
      <w:rFonts w:ascii="Times New Roman" w:hAnsi="Times New Roman" w:eastAsia="Times New Roman" w:cs="Times New Roman"/>
      <w:sz w:val="28"/>
      <w:szCs w:val="28"/>
    </w:rPr>
  </w:style>
  <w:style w:type="character" w:styleId="1032" w:customStyle="1">
    <w:name w:val="Heading 4 Char"/>
    <w:basedOn w:val="1026"/>
    <w:link w:val="1025"/>
    <w:pPr>
      <w:pBdr/>
      <w:spacing/>
      <w:ind/>
    </w:pPr>
    <w:rPr>
      <w:rFonts w:ascii="Times New Roman" w:hAnsi="Times New Roman" w:eastAsia="Times New Roman" w:cs="Times New Roman"/>
      <w:b/>
      <w:bCs/>
      <w:sz w:val="24"/>
      <w:szCs w:val="24"/>
    </w:rPr>
  </w:style>
  <w:style w:type="character" w:styleId="1033">
    <w:name w:val="Hyperlink"/>
    <w:uiPriority w:val="99"/>
    <w:pPr>
      <w:pBdr/>
      <w:spacing/>
      <w:ind/>
    </w:pPr>
    <w:rPr>
      <w:color w:val="000000"/>
      <w:u w:val="single"/>
    </w:rPr>
  </w:style>
  <w:style w:type="character" w:styleId="1034">
    <w:name w:val="Strong"/>
    <w:uiPriority w:val="22"/>
    <w:qFormat/>
    <w:pPr>
      <w:pBdr/>
      <w:spacing/>
      <w:ind/>
    </w:pPr>
    <w:rPr>
      <w:b/>
      <w:bCs/>
    </w:rPr>
  </w:style>
  <w:style w:type="paragraph" w:styleId="1035">
    <w:name w:val="Balloon Text"/>
    <w:basedOn w:val="1021"/>
    <w:link w:val="1036"/>
    <w:uiPriority w:val="99"/>
    <w:semiHidden/>
    <w:unhideWhenUsed/>
    <w:pPr>
      <w:pBdr/>
      <w:spacing/>
      <w:ind/>
    </w:pPr>
    <w:rPr>
      <w:rFonts w:ascii="Tahoma" w:hAnsi="Tahoma" w:cs="Tahoma"/>
      <w:sz w:val="16"/>
      <w:szCs w:val="16"/>
    </w:rPr>
  </w:style>
  <w:style w:type="character" w:styleId="1036" w:customStyle="1">
    <w:name w:val="Balloon Text Char"/>
    <w:basedOn w:val="1026"/>
    <w:link w:val="1035"/>
    <w:uiPriority w:val="99"/>
    <w:semiHidden/>
    <w:pPr>
      <w:pBdr/>
      <w:spacing/>
      <w:ind/>
    </w:pPr>
    <w:rPr>
      <w:rFonts w:ascii="Tahoma" w:hAnsi="Tahoma" w:eastAsia="Times New Roman" w:cs="Tahoma"/>
      <w:sz w:val="16"/>
      <w:szCs w:val="16"/>
    </w:rPr>
  </w:style>
  <w:style w:type="paragraph" w:styleId="1037">
    <w:name w:val="Header"/>
    <w:basedOn w:val="1021"/>
    <w:link w:val="1038"/>
    <w:unhideWhenUsed/>
    <w:pPr>
      <w:pBdr/>
      <w:tabs>
        <w:tab w:val="center" w:leader="none" w:pos="4680"/>
        <w:tab w:val="right" w:leader="none" w:pos="9360"/>
      </w:tabs>
      <w:spacing/>
      <w:ind/>
    </w:pPr>
  </w:style>
  <w:style w:type="character" w:styleId="1038" w:customStyle="1">
    <w:name w:val="Header Char"/>
    <w:basedOn w:val="1026"/>
    <w:link w:val="1037"/>
    <w:pPr>
      <w:pBdr/>
      <w:spacing/>
      <w:ind/>
    </w:pPr>
    <w:rPr>
      <w:rFonts w:ascii="Times New Roman" w:hAnsi="Times New Roman" w:eastAsia="Times New Roman" w:cs="Times New Roman"/>
      <w:sz w:val="24"/>
      <w:szCs w:val="24"/>
    </w:rPr>
  </w:style>
  <w:style w:type="paragraph" w:styleId="1039">
    <w:name w:val="Footer"/>
    <w:basedOn w:val="1021"/>
    <w:link w:val="1040"/>
    <w:uiPriority w:val="99"/>
    <w:unhideWhenUsed/>
    <w:pPr>
      <w:pBdr/>
      <w:tabs>
        <w:tab w:val="center" w:leader="none" w:pos="4680"/>
        <w:tab w:val="right" w:leader="none" w:pos="9360"/>
      </w:tabs>
      <w:spacing/>
      <w:ind/>
    </w:pPr>
  </w:style>
  <w:style w:type="character" w:styleId="1040" w:customStyle="1">
    <w:name w:val="Footer Char"/>
    <w:basedOn w:val="1026"/>
    <w:link w:val="1039"/>
    <w:uiPriority w:val="99"/>
    <w:pPr>
      <w:pBdr/>
      <w:spacing/>
      <w:ind/>
    </w:pPr>
    <w:rPr>
      <w:rFonts w:ascii="Times New Roman" w:hAnsi="Times New Roman" w:eastAsia="Times New Roman" w:cs="Times New Roman"/>
      <w:sz w:val="24"/>
      <w:szCs w:val="24"/>
    </w:rPr>
  </w:style>
  <w:style w:type="character" w:styleId="1041" w:customStyle="1">
    <w:name w:val="normal-h1"/>
    <w:pPr>
      <w:pBdr/>
      <w:spacing/>
      <w:ind/>
    </w:pPr>
    <w:rPr>
      <w:rFonts w:hint="default" w:ascii=".VnTime" w:hAnsi=".VnTime"/>
      <w:color w:val="0000ff"/>
      <w:sz w:val="24"/>
      <w:szCs w:val="24"/>
    </w:rPr>
  </w:style>
  <w:style w:type="paragraph" w:styleId="1042" w:customStyle="1">
    <w:name w:val="normal-p"/>
    <w:basedOn w:val="1021"/>
    <w:pPr>
      <w:pBdr/>
      <w:spacing/>
      <w:ind/>
      <w:jc w:val="both"/>
    </w:pPr>
    <w:rPr>
      <w:sz w:val="20"/>
      <w:szCs w:val="20"/>
    </w:rPr>
  </w:style>
  <w:style w:type="paragraph" w:styleId="1043">
    <w:name w:val="List Paragraph"/>
    <w:basedOn w:val="1021"/>
    <w:link w:val="1130"/>
    <w:uiPriority w:val="34"/>
    <w:qFormat/>
    <w:pPr>
      <w:pBdr/>
      <w:spacing/>
      <w:ind w:left="720"/>
    </w:pPr>
  </w:style>
  <w:style w:type="paragraph" w:styleId="1044">
    <w:name w:val="Normal (Web)"/>
    <w:basedOn w:val="1021"/>
    <w:uiPriority w:val="99"/>
    <w:pPr>
      <w:pBdr/>
      <w:spacing w:after="100" w:afterAutospacing="1" w:before="100" w:beforeAutospacing="1"/>
      <w:ind/>
    </w:pPr>
  </w:style>
  <w:style w:type="paragraph" w:styleId="1045">
    <w:name w:val="Body Text"/>
    <w:basedOn w:val="1021"/>
    <w:link w:val="1046"/>
    <w:pPr>
      <w:pBdr/>
      <w:spacing w:after="120"/>
      <w:ind/>
      <w:jc w:val="both"/>
    </w:pPr>
  </w:style>
  <w:style w:type="character" w:styleId="1046" w:customStyle="1">
    <w:name w:val="Body Text Char"/>
    <w:basedOn w:val="1026"/>
    <w:link w:val="1045"/>
    <w:pPr>
      <w:pBdr/>
      <w:spacing/>
      <w:ind/>
    </w:pPr>
    <w:rPr>
      <w:rFonts w:ascii="Times New Roman" w:hAnsi="Times New Roman" w:eastAsia="Times New Roman" w:cs="Times New Roman"/>
      <w:sz w:val="24"/>
      <w:szCs w:val="24"/>
    </w:rPr>
  </w:style>
  <w:style w:type="table" w:styleId="1047">
    <w:name w:val="Table Grid"/>
    <w:basedOn w:val="1027"/>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48"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49">
    <w:name w:val="annotation reference"/>
    <w:basedOn w:val="1026"/>
    <w:uiPriority w:val="99"/>
    <w:semiHidden/>
    <w:unhideWhenUsed/>
    <w:pPr>
      <w:pBdr/>
      <w:spacing/>
      <w:ind/>
    </w:pPr>
    <w:rPr>
      <w:sz w:val="16"/>
      <w:szCs w:val="16"/>
    </w:rPr>
  </w:style>
  <w:style w:type="paragraph" w:styleId="1050">
    <w:name w:val="annotation text"/>
    <w:basedOn w:val="1021"/>
    <w:link w:val="1051"/>
    <w:uiPriority w:val="99"/>
    <w:unhideWhenUsed/>
    <w:pPr>
      <w:pBdr/>
      <w:spacing/>
      <w:ind/>
    </w:pPr>
    <w:rPr>
      <w:sz w:val="20"/>
      <w:szCs w:val="20"/>
    </w:rPr>
  </w:style>
  <w:style w:type="character" w:styleId="1051" w:customStyle="1">
    <w:name w:val="Comment Text Char"/>
    <w:basedOn w:val="1026"/>
    <w:link w:val="1050"/>
    <w:uiPriority w:val="99"/>
    <w:pPr>
      <w:pBdr/>
      <w:spacing/>
      <w:ind/>
    </w:pPr>
    <w:rPr>
      <w:rFonts w:ascii="Times New Roman" w:hAnsi="Times New Roman" w:eastAsia="Times New Roman" w:cs="Times New Roman"/>
      <w:sz w:val="20"/>
      <w:szCs w:val="20"/>
    </w:rPr>
  </w:style>
  <w:style w:type="paragraph" w:styleId="1052">
    <w:name w:val="annotation subject"/>
    <w:basedOn w:val="1050"/>
    <w:next w:val="1050"/>
    <w:link w:val="1053"/>
    <w:uiPriority w:val="99"/>
    <w:semiHidden/>
    <w:unhideWhenUsed/>
    <w:pPr>
      <w:pBdr/>
      <w:spacing/>
      <w:ind/>
    </w:pPr>
    <w:rPr>
      <w:b/>
      <w:bCs/>
    </w:rPr>
  </w:style>
  <w:style w:type="character" w:styleId="1053" w:customStyle="1">
    <w:name w:val="Comment Subject Char"/>
    <w:basedOn w:val="1051"/>
    <w:link w:val="1052"/>
    <w:uiPriority w:val="99"/>
    <w:semiHidden/>
    <w:pPr>
      <w:pBdr/>
      <w:spacing/>
      <w:ind/>
    </w:pPr>
    <w:rPr>
      <w:rFonts w:ascii="Times New Roman" w:hAnsi="Times New Roman" w:eastAsia="Times New Roman" w:cs="Times New Roman"/>
      <w:b/>
      <w:bCs/>
      <w:sz w:val="20"/>
      <w:szCs w:val="20"/>
    </w:rPr>
  </w:style>
  <w:style w:type="paragraph" w:styleId="1054" w:customStyle="1">
    <w:name w:val="font5"/>
    <w:basedOn w:val="1021"/>
    <w:pPr>
      <w:pBdr/>
      <w:spacing w:after="100" w:afterAutospacing="1" w:before="100" w:beforeAutospacing="1"/>
      <w:ind/>
    </w:pPr>
    <w:rPr>
      <w:rFonts w:ascii="Tahoma" w:hAnsi="Tahoma" w:cs="Tahoma"/>
      <w:color w:val="000000"/>
      <w:sz w:val="18"/>
      <w:szCs w:val="18"/>
    </w:rPr>
  </w:style>
  <w:style w:type="paragraph" w:styleId="1055" w:customStyle="1">
    <w:name w:val="font6"/>
    <w:basedOn w:val="1021"/>
    <w:pPr>
      <w:pBdr/>
      <w:spacing w:after="100" w:afterAutospacing="1" w:before="100" w:beforeAutospacing="1"/>
      <w:ind/>
    </w:pPr>
    <w:rPr>
      <w:rFonts w:ascii="Tahoma" w:hAnsi="Tahoma" w:cs="Tahoma"/>
      <w:b/>
      <w:bCs/>
      <w:color w:val="000000"/>
      <w:sz w:val="18"/>
      <w:szCs w:val="18"/>
    </w:rPr>
  </w:style>
  <w:style w:type="paragraph" w:styleId="1056" w:customStyle="1">
    <w:name w:val="xl233"/>
    <w:basedOn w:val="102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7" w:customStyle="1">
    <w:name w:val="xl234"/>
    <w:basedOn w:val="1021"/>
    <w:pPr>
      <w:pBdr/>
      <w:spacing w:after="100" w:afterAutospacing="1" w:before="100" w:beforeAutospacing="1"/>
      <w:ind/>
      <w:jc w:val="center"/>
    </w:pPr>
  </w:style>
  <w:style w:type="paragraph" w:styleId="1058" w:customStyle="1">
    <w:name w:val="xl235"/>
    <w:basedOn w:val="1021"/>
    <w:pPr>
      <w:pBdr/>
      <w:spacing w:after="100" w:afterAutospacing="1" w:before="100" w:beforeAutospacing="1"/>
      <w:ind/>
      <w:jc w:val="center"/>
    </w:pPr>
    <w:rPr>
      <w:b/>
      <w:bCs/>
    </w:rPr>
  </w:style>
  <w:style w:type="paragraph" w:styleId="1059" w:customStyle="1">
    <w:name w:val="xl236"/>
    <w:basedOn w:val="102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0" w:customStyle="1">
    <w:name w:val="xl237"/>
    <w:basedOn w:val="102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1" w:customStyle="1">
    <w:name w:val="xl238"/>
    <w:basedOn w:val="1021"/>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62" w:customStyle="1">
    <w:name w:val="xl239"/>
    <w:basedOn w:val="1021"/>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63" w:customStyle="1">
    <w:name w:val="xl240"/>
    <w:basedOn w:val="1021"/>
    <w:pPr>
      <w:pBdr/>
      <w:spacing w:after="100" w:afterAutospacing="1" w:before="100" w:beforeAutospacing="1"/>
      <w:ind/>
    </w:pPr>
  </w:style>
  <w:style w:type="paragraph" w:styleId="1064" w:customStyle="1">
    <w:name w:val="xl241"/>
    <w:basedOn w:val="102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5" w:customStyle="1">
    <w:name w:val="xl242"/>
    <w:basedOn w:val="102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6" w:customStyle="1">
    <w:name w:val="xl243"/>
    <w:basedOn w:val="102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7" w:customStyle="1">
    <w:name w:val="xl244"/>
    <w:basedOn w:val="1021"/>
    <w:pPr>
      <w:pBdr/>
      <w:spacing w:after="100" w:afterAutospacing="1" w:before="100" w:beforeAutospacing="1"/>
      <w:ind/>
    </w:pPr>
    <w:rPr>
      <w:b/>
      <w:bCs/>
    </w:rPr>
  </w:style>
  <w:style w:type="paragraph" w:styleId="1068" w:customStyle="1">
    <w:name w:val="xl245"/>
    <w:basedOn w:val="102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9" w:customStyle="1">
    <w:name w:val="xl246"/>
    <w:basedOn w:val="1021"/>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70" w:customStyle="1">
    <w:name w:val="xl247"/>
    <w:basedOn w:val="1021"/>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71" w:customStyle="1">
    <w:name w:val="xl248"/>
    <w:basedOn w:val="1021"/>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2" w:customStyle="1">
    <w:name w:val="xl249"/>
    <w:basedOn w:val="102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3" w:customStyle="1">
    <w:name w:val="xl250"/>
    <w:basedOn w:val="1021"/>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74" w:customStyle="1">
    <w:name w:val="xl251"/>
    <w:basedOn w:val="1021"/>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75" w:customStyle="1">
    <w:name w:val="xl252"/>
    <w:basedOn w:val="1021"/>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6" w:customStyle="1">
    <w:name w:val="xl253"/>
    <w:basedOn w:val="1021"/>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7" w:customStyle="1">
    <w:name w:val="xl254"/>
    <w:basedOn w:val="1021"/>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8" w:customStyle="1">
    <w:name w:val="xl255"/>
    <w:basedOn w:val="1021"/>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79" w:customStyle="1">
    <w:name w:val="xl256"/>
    <w:basedOn w:val="1021"/>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80" w:customStyle="1">
    <w:name w:val="xl257"/>
    <w:basedOn w:val="102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1" w:customStyle="1">
    <w:name w:val="xl258"/>
    <w:basedOn w:val="1021"/>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2" w:customStyle="1">
    <w:name w:val="xl259"/>
    <w:basedOn w:val="102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3" w:customStyle="1">
    <w:name w:val="xl260"/>
    <w:basedOn w:val="102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4" w:customStyle="1">
    <w:name w:val="xl261"/>
    <w:basedOn w:val="1021"/>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5" w:customStyle="1">
    <w:name w:val="xl262"/>
    <w:basedOn w:val="1021"/>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6" w:customStyle="1">
    <w:name w:val="xl263"/>
    <w:basedOn w:val="1021"/>
    <w:pPr>
      <w:pBdr/>
      <w:shd w:val="clear" w:color="000000" w:fill="ffffff"/>
      <w:spacing w:after="100" w:afterAutospacing="1" w:before="100" w:beforeAutospacing="1"/>
      <w:ind/>
    </w:pPr>
  </w:style>
  <w:style w:type="paragraph" w:styleId="1087" w:customStyle="1">
    <w:name w:val="xl264"/>
    <w:basedOn w:val="102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8" w:customStyle="1">
    <w:name w:val="xl265"/>
    <w:basedOn w:val="102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9" w:customStyle="1">
    <w:name w:val="xl266"/>
    <w:basedOn w:val="1021"/>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90" w:customStyle="1">
    <w:name w:val="xl267"/>
    <w:basedOn w:val="102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1" w:customStyle="1">
    <w:name w:val="xl268"/>
    <w:basedOn w:val="102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92" w:customStyle="1">
    <w:name w:val="xl269"/>
    <w:basedOn w:val="102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93" w:customStyle="1">
    <w:name w:val="xl270"/>
    <w:basedOn w:val="102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94" w:customStyle="1">
    <w:name w:val="xl271"/>
    <w:basedOn w:val="1021"/>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95" w:customStyle="1">
    <w:name w:val="xl272"/>
    <w:basedOn w:val="1021"/>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96" w:customStyle="1">
    <w:name w:val="xl273"/>
    <w:basedOn w:val="1021"/>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7" w:customStyle="1">
    <w:name w:val="xl274"/>
    <w:basedOn w:val="1021"/>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98" w:customStyle="1">
    <w:name w:val="xl275"/>
    <w:basedOn w:val="1021"/>
    <w:pPr>
      <w:pBdr/>
      <w:spacing w:after="100" w:afterAutospacing="1" w:before="100" w:beforeAutospacing="1"/>
      <w:ind/>
    </w:pPr>
  </w:style>
  <w:style w:type="paragraph" w:styleId="1099" w:customStyle="1">
    <w:name w:val="xl276"/>
    <w:basedOn w:val="102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0" w:customStyle="1">
    <w:name w:val="xl277"/>
    <w:basedOn w:val="1021"/>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101" w:customStyle="1">
    <w:name w:val="xl278"/>
    <w:basedOn w:val="102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2" w:customStyle="1">
    <w:name w:val="xl279"/>
    <w:basedOn w:val="102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3" w:customStyle="1">
    <w:name w:val="xl280"/>
    <w:basedOn w:val="102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104" w:customStyle="1">
    <w:name w:val="xl281"/>
    <w:basedOn w:val="1021"/>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105" w:customStyle="1">
    <w:name w:val="xl282"/>
    <w:basedOn w:val="1021"/>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06" w:customStyle="1">
    <w:name w:val="xl283"/>
    <w:basedOn w:val="1021"/>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07" w:customStyle="1">
    <w:name w:val="xl284"/>
    <w:basedOn w:val="1021"/>
    <w:pPr>
      <w:pBdr>
        <w:left w:val="single" w:color="000000" w:sz="4" w:space="0"/>
        <w:bottom w:val="single" w:color="000000" w:sz="4" w:space="0"/>
        <w:right w:val="single" w:color="000000" w:sz="4" w:space="0"/>
      </w:pBdr>
      <w:spacing w:after="100" w:afterAutospacing="1" w:before="100" w:beforeAutospacing="1"/>
      <w:ind/>
    </w:pPr>
  </w:style>
  <w:style w:type="paragraph" w:styleId="1108" w:customStyle="1">
    <w:name w:val="xl285"/>
    <w:basedOn w:val="1021"/>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09" w:customStyle="1">
    <w:name w:val="xl286"/>
    <w:basedOn w:val="102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10" w:customStyle="1">
    <w:name w:val="xl287"/>
    <w:basedOn w:val="1021"/>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11" w:customStyle="1">
    <w:name w:val="xl288"/>
    <w:basedOn w:val="1021"/>
    <w:pPr>
      <w:pBdr>
        <w:top w:val="single" w:color="000000" w:sz="4" w:space="0"/>
        <w:left w:val="single" w:color="000000" w:sz="4" w:space="0"/>
        <w:right w:val="single" w:color="000000" w:sz="4" w:space="0"/>
      </w:pBdr>
      <w:spacing w:after="100" w:afterAutospacing="1" w:before="100" w:beforeAutospacing="1"/>
      <w:ind/>
    </w:pPr>
  </w:style>
  <w:style w:type="paragraph" w:styleId="1112" w:customStyle="1">
    <w:name w:val="xl289"/>
    <w:basedOn w:val="1021"/>
    <w:pPr>
      <w:pBdr>
        <w:left w:val="single" w:color="000000" w:sz="4" w:space="0"/>
        <w:right w:val="single" w:color="000000" w:sz="4" w:space="0"/>
      </w:pBdr>
      <w:spacing w:after="100" w:afterAutospacing="1" w:before="100" w:beforeAutospacing="1"/>
      <w:ind/>
    </w:pPr>
    <w:rPr>
      <w:b/>
      <w:bCs/>
    </w:rPr>
  </w:style>
  <w:style w:type="paragraph" w:styleId="1113" w:customStyle="1">
    <w:name w:val="xl290"/>
    <w:basedOn w:val="1021"/>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14" w:customStyle="1">
    <w:name w:val="xl291"/>
    <w:basedOn w:val="102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15" w:customStyle="1">
    <w:name w:val="xl292"/>
    <w:basedOn w:val="1021"/>
    <w:pPr>
      <w:pBdr>
        <w:top w:val="single" w:color="000000" w:sz="4" w:space="0"/>
        <w:left w:val="single" w:color="000000" w:sz="4" w:space="0"/>
        <w:right w:val="single" w:color="000000" w:sz="4" w:space="0"/>
      </w:pBdr>
      <w:spacing w:after="100" w:afterAutospacing="1" w:before="100" w:beforeAutospacing="1"/>
      <w:ind/>
    </w:pPr>
  </w:style>
  <w:style w:type="paragraph" w:styleId="1116" w:customStyle="1">
    <w:name w:val="xl293"/>
    <w:basedOn w:val="1021"/>
    <w:pPr>
      <w:pBdr>
        <w:left w:val="single" w:color="000000" w:sz="4" w:space="0"/>
        <w:bottom w:val="single" w:color="000000" w:sz="4" w:space="0"/>
        <w:right w:val="single" w:color="000000" w:sz="4" w:space="0"/>
      </w:pBdr>
      <w:spacing w:after="100" w:afterAutospacing="1" w:before="100" w:beforeAutospacing="1"/>
      <w:ind/>
    </w:pPr>
  </w:style>
  <w:style w:type="paragraph" w:styleId="1117" w:customStyle="1">
    <w:name w:val="xl294"/>
    <w:basedOn w:val="102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18">
    <w:name w:val="Title"/>
    <w:basedOn w:val="1021"/>
    <w:link w:val="1119"/>
    <w:qFormat/>
    <w:pPr>
      <w:pBdr/>
      <w:spacing/>
      <w:ind/>
      <w:jc w:val="center"/>
    </w:pPr>
    <w:rPr>
      <w:b/>
      <w:bCs/>
      <w:sz w:val="32"/>
      <w:szCs w:val="26"/>
    </w:rPr>
  </w:style>
  <w:style w:type="character" w:styleId="1119" w:customStyle="1">
    <w:name w:val="Title Char"/>
    <w:basedOn w:val="1026"/>
    <w:link w:val="1118"/>
    <w:pPr>
      <w:pBdr/>
      <w:spacing/>
      <w:ind/>
    </w:pPr>
    <w:rPr>
      <w:rFonts w:ascii="Times New Roman" w:hAnsi="Times New Roman" w:eastAsia="Times New Roman" w:cs="Times New Roman"/>
      <w:b/>
      <w:bCs/>
      <w:sz w:val="32"/>
      <w:szCs w:val="26"/>
    </w:rPr>
  </w:style>
  <w:style w:type="character" w:styleId="1120" w:customStyle="1">
    <w:name w:val="Unresolved Mention1"/>
    <w:basedOn w:val="1026"/>
    <w:uiPriority w:val="99"/>
    <w:semiHidden/>
    <w:unhideWhenUsed/>
    <w:pPr>
      <w:pBdr/>
      <w:spacing/>
      <w:ind/>
    </w:pPr>
    <w:rPr>
      <w:color w:val="605e5c"/>
      <w:shd w:val="clear" w:color="auto" w:fill="e1dfdd"/>
    </w:rPr>
  </w:style>
  <w:style w:type="character" w:styleId="1121" w:customStyle="1">
    <w:name w:val="Body text (3)_"/>
    <w:link w:val="1122"/>
    <w:pPr>
      <w:pBdr/>
      <w:spacing/>
      <w:ind/>
    </w:pPr>
    <w:rPr>
      <w:rFonts w:ascii="Times New Roman" w:hAnsi="Times New Roman" w:cs="Times New Roman"/>
      <w:i/>
      <w:iCs/>
      <w:spacing w:val="4"/>
      <w:shd w:val="clear" w:color="auto" w:fill="ffffff"/>
    </w:rPr>
  </w:style>
  <w:style w:type="paragraph" w:styleId="1122" w:customStyle="1">
    <w:name w:val="Body text (3)1"/>
    <w:basedOn w:val="1021"/>
    <w:link w:val="1121"/>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23" w:customStyle="1">
    <w:name w:val="t-j"/>
    <w:basedOn w:val="1021"/>
    <w:pPr>
      <w:pBdr/>
      <w:spacing w:after="100" w:afterAutospacing="1" w:before="100" w:beforeAutospacing="1"/>
      <w:ind/>
    </w:pPr>
  </w:style>
  <w:style w:type="character" w:styleId="1124" w:customStyle="1">
    <w:name w:val="Unresolved Mention2"/>
    <w:basedOn w:val="1026"/>
    <w:uiPriority w:val="99"/>
    <w:semiHidden/>
    <w:unhideWhenUsed/>
    <w:pPr>
      <w:pBdr/>
      <w:spacing/>
      <w:ind/>
    </w:pPr>
    <w:rPr>
      <w:color w:val="605e5c"/>
      <w:shd w:val="clear" w:color="auto" w:fill="e1dfdd"/>
    </w:rPr>
  </w:style>
  <w:style w:type="character" w:styleId="1125">
    <w:name w:val="FollowedHyperlink"/>
    <w:basedOn w:val="1026"/>
    <w:uiPriority w:val="99"/>
    <w:semiHidden/>
    <w:unhideWhenUsed/>
    <w:pPr>
      <w:pBdr/>
      <w:spacing/>
      <w:ind/>
    </w:pPr>
    <w:rPr>
      <w:color w:val="800080" w:themeColor="followedHyperlink"/>
      <w:u w:val="single"/>
    </w:rPr>
  </w:style>
  <w:style w:type="character" w:styleId="1126" w:customStyle="1">
    <w:name w:val="text"/>
    <w:basedOn w:val="1026"/>
    <w:pPr>
      <w:pBdr/>
      <w:spacing/>
      <w:ind/>
    </w:pPr>
  </w:style>
  <w:style w:type="character" w:styleId="1127" w:customStyle="1">
    <w:name w:val="card-send-time__sendtime"/>
    <w:basedOn w:val="1026"/>
    <w:pPr>
      <w:pBdr/>
      <w:spacing/>
      <w:ind/>
    </w:pPr>
  </w:style>
  <w:style w:type="character" w:styleId="1128" w:customStyle="1">
    <w:name w:val="Đề cập Chưa giải quyết1"/>
    <w:basedOn w:val="1026"/>
    <w:uiPriority w:val="99"/>
    <w:semiHidden/>
    <w:unhideWhenUsed/>
    <w:pPr>
      <w:pBdr/>
      <w:spacing/>
      <w:ind/>
    </w:pPr>
    <w:rPr>
      <w:color w:val="605e5c"/>
      <w:shd w:val="clear" w:color="auto" w:fill="e1dfdd"/>
    </w:rPr>
  </w:style>
  <w:style w:type="paragraph" w:styleId="1129" w:customStyle="1">
    <w:name w:val="nqtitle"/>
    <w:basedOn w:val="1021"/>
    <w:pPr>
      <w:pBdr/>
      <w:spacing w:after="100" w:afterAutospacing="1" w:before="100" w:beforeAutospacing="1"/>
      <w:ind/>
    </w:pPr>
    <w:rPr>
      <w:lang w:val="vi-VN" w:eastAsia="vi-VN"/>
    </w:rPr>
  </w:style>
  <w:style w:type="character" w:styleId="1130" w:customStyle="1">
    <w:name w:val="List Paragraph Char"/>
    <w:link w:val="1043"/>
    <w:uiPriority w:val="34"/>
    <w:qFormat/>
    <w:pPr>
      <w:pBdr/>
      <w:spacing/>
      <w:ind/>
    </w:pPr>
    <w:rPr>
      <w:rFonts w:ascii="Times New Roman" w:hAnsi="Times New Roman" w:eastAsia="Times New Roman" w:cs="Times New Roman"/>
      <w:sz w:val="24"/>
      <w:szCs w:val="24"/>
    </w:rPr>
  </w:style>
  <w:style w:type="character" w:styleId="1131" w:customStyle="1">
    <w:name w:val="Đề cập Chưa giải quyết2"/>
    <w:basedOn w:val="1026"/>
    <w:uiPriority w:val="99"/>
    <w:semiHidden/>
    <w:unhideWhenUsed/>
    <w:pPr>
      <w:pBdr/>
      <w:spacing/>
      <w:ind/>
    </w:pPr>
    <w:rPr>
      <w:color w:val="605e5c"/>
      <w:shd w:val="clear" w:color="auto" w:fill="e1dfdd"/>
    </w:rPr>
  </w:style>
  <w:style w:type="character" w:styleId="1132" w:customStyle="1">
    <w:name w:val="Unresolved Mention3"/>
    <w:basedOn w:val="1026"/>
    <w:uiPriority w:val="99"/>
    <w:semiHidden/>
    <w:unhideWhenUsed/>
    <w:pPr>
      <w:pBdr/>
      <w:spacing/>
      <w:ind/>
    </w:pPr>
    <w:rPr>
      <w:color w:val="605e5c"/>
      <w:shd w:val="clear" w:color="auto" w:fill="e1dfdd"/>
    </w:rPr>
  </w:style>
  <w:style w:type="character" w:styleId="1133" w:customStyle="1">
    <w:name w:val="copy"/>
    <w:basedOn w:val="1026"/>
    <w:pPr>
      <w:pBdr/>
      <w:spacing/>
      <w:ind/>
    </w:pPr>
  </w:style>
  <w:style w:type="paragraph" w:styleId="1134" w:customStyle="1">
    <w:name w:val="align-justify"/>
    <w:basedOn w:val="1021"/>
    <w:pPr>
      <w:pBdr/>
      <w:spacing w:after="100" w:afterAutospacing="1" w:before="100" w:beforeAutospacing="1"/>
      <w:ind/>
    </w:pPr>
  </w:style>
  <w:style w:type="character" w:styleId="1135" w:customStyle="1">
    <w:name w:val="btn"/>
    <w:basedOn w:val="1026"/>
    <w:pPr>
      <w:pBdr/>
      <w:spacing/>
      <w:ind/>
    </w:pPr>
  </w:style>
  <w:style w:type="character" w:styleId="1136" w:customStyle="1">
    <w:name w:val="hide_mobile"/>
    <w:basedOn w:val="1026"/>
    <w:pPr>
      <w:pBdr/>
      <w:spacing/>
      <w:ind/>
    </w:pPr>
  </w:style>
  <w:style w:type="character" w:styleId="1137">
    <w:name w:val="Emphasis"/>
    <w:basedOn w:val="1026"/>
    <w:uiPriority w:val="20"/>
    <w:qFormat/>
    <w:pPr>
      <w:pBdr/>
      <w:spacing/>
      <w:ind/>
    </w:pPr>
    <w:rPr>
      <w:i/>
      <w:iCs/>
    </w:rPr>
  </w:style>
  <w:style w:type="character" w:styleId="1138" w:customStyle="1">
    <w:name w:val="t1"/>
    <w:basedOn w:val="1026"/>
    <w:pPr>
      <w:pBdr/>
      <w:spacing/>
      <w:ind/>
    </w:pPr>
  </w:style>
  <w:style w:type="character" w:styleId="1139" w:customStyle="1">
    <w:name w:val="Unresolved Mention4"/>
    <w:basedOn w:val="1026"/>
    <w:uiPriority w:val="99"/>
    <w:semiHidden/>
    <w:unhideWhenUsed/>
    <w:pPr>
      <w:pBdr/>
      <w:spacing/>
      <w:ind/>
    </w:pPr>
    <w:rPr>
      <w:color w:val="605e5c"/>
      <w:shd w:val="clear" w:color="auto" w:fill="e1dfdd"/>
    </w:rPr>
  </w:style>
  <w:style w:type="character" w:styleId="1140">
    <w:name w:val="Unresolved Mention"/>
    <w:basedOn w:val="1026"/>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gif"/><Relationship Id="rId18" Type="http://schemas.openxmlformats.org/officeDocument/2006/relationships/image" Target="media/image4.gif"/><Relationship Id="rId19" Type="http://schemas.openxmlformats.org/officeDocument/2006/relationships/image" Target="media/image5.gif"/><Relationship Id="rId20" Type="http://schemas.openxmlformats.org/officeDocument/2006/relationships/image" Target="media/image6.gif"/><Relationship Id="rId21" Type="http://schemas.openxmlformats.org/officeDocument/2006/relationships/image" Target="media/image7.gif"/><Relationship Id="rId22" Type="http://schemas.openxmlformats.org/officeDocument/2006/relationships/image" Target="media/image8.gif"/><Relationship Id="rId23" Type="http://schemas.openxmlformats.org/officeDocument/2006/relationships/image" Target="media/image9.gif"/><Relationship Id="rId24" Type="http://schemas.openxmlformats.org/officeDocument/2006/relationships/image" Target="media/image10.gif"/><Relationship Id="rId25" Type="http://schemas.openxmlformats.org/officeDocument/2006/relationships/image" Target="media/image11.gif"/><Relationship Id="rId26" Type="http://schemas.openxmlformats.org/officeDocument/2006/relationships/image" Target="media/image12.gif"/><Relationship Id="rId27" Type="http://schemas.openxmlformats.org/officeDocument/2006/relationships/image" Target="media/image13.png"/><Relationship Id="rId28" Type="http://schemas.openxmlformats.org/officeDocument/2006/relationships/image" Target="media/image14.jpg"/><Relationship Id="rId29" Type="http://schemas.openxmlformats.org/officeDocument/2006/relationships/image" Target="media/image15.jpg"/><Relationship Id="rId30" Type="http://schemas.openxmlformats.org/officeDocument/2006/relationships/image" Target="media/image16.jpg"/><Relationship Id="rId31" Type="http://schemas.openxmlformats.org/officeDocument/2006/relationships/image" Target="media/image17.jpg"/><Relationship Id="rId32" Type="http://schemas.openxmlformats.org/officeDocument/2006/relationships/image" Target="media/image18.jpg"/><Relationship Id="rId33" Type="http://schemas.openxmlformats.org/officeDocument/2006/relationships/image" Target="media/image19.jpg"/><Relationship Id="rId34" Type="http://schemas.openxmlformats.org/officeDocument/2006/relationships/image" Target="media/image20.jpg"/><Relationship Id="rId35" Type="http://schemas.openxmlformats.org/officeDocument/2006/relationships/image" Target="media/image21.jpg"/><Relationship Id="rId36" Type="http://schemas.openxmlformats.org/officeDocument/2006/relationships/image" Target="media/image22.jpg"/><Relationship Id="rId37" Type="http://schemas.openxmlformats.org/officeDocument/2006/relationships/image" Target="media/image23.jpg"/><Relationship Id="rId38" Type="http://schemas.openxmlformats.org/officeDocument/2006/relationships/image" Target="media/image24.gif"/><Relationship Id="rId39" Type="http://schemas.openxmlformats.org/officeDocument/2006/relationships/image" Target="media/image25.gif"/><Relationship Id="rId40" Type="http://schemas.openxmlformats.org/officeDocument/2006/relationships/image" Target="media/image26.gif"/><Relationship Id="rId41" Type="http://schemas.openxmlformats.org/officeDocument/2006/relationships/image" Target="media/image27.gif"/><Relationship Id="rId42" Type="http://schemas.openxmlformats.org/officeDocument/2006/relationships/image" Target="media/image28.gif"/><Relationship Id="rId43" Type="http://schemas.openxmlformats.org/officeDocument/2006/relationships/image" Target="media/image29.gif"/><Relationship Id="rId44" Type="http://schemas.openxmlformats.org/officeDocument/2006/relationships/image" Target="media/image30.gif"/><Relationship Id="rId45" Type="http://schemas.openxmlformats.org/officeDocument/2006/relationships/image" Target="media/image31.gif"/><Relationship Id="rId46" Type="http://schemas.openxmlformats.org/officeDocument/2006/relationships/image" Target="media/image32.gif"/><Relationship Id="rId47" Type="http://schemas.openxmlformats.org/officeDocument/2006/relationships/image" Target="media/image33.gif"/><Relationship Id="rId48" Type="http://schemas.openxmlformats.org/officeDocument/2006/relationships/image" Target="media/image34.gif"/><Relationship Id="rId49" Type="http://schemas.openxmlformats.org/officeDocument/2006/relationships/image" Target="media/image35.gif"/><Relationship Id="rId50" Type="http://schemas.openxmlformats.org/officeDocument/2006/relationships/image" Target="media/image36.gif"/><Relationship Id="rId51" Type="http://schemas.openxmlformats.org/officeDocument/2006/relationships/image" Target="media/image37.gif"/></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Nguyễn Thị Thùy Dung</cp:lastModifiedBy>
  <cp:revision>273</cp:revision>
  <dcterms:created xsi:type="dcterms:W3CDTF">2025-09-15T09:58:00Z</dcterms:created>
  <dcterms:modified xsi:type="dcterms:W3CDTF">2026-02-12T09:46:42Z</dcterms:modified>
</cp:coreProperties>
</file>