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254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254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275/2026/0242/VFI-CT.24.A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Phạm Mẫn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công trình xây dựng trên đất tại thửa đất số: 267, tờ bản đồ số: 16; có địa chỉ: số 35 Lưu Quý Kỳ, phường Minh An, thành phố Hội An, tỉnh Quảng Nam (Nay là phường Hội An, t</w:t>
                            </w:r>
                            <w:r>
                              <w:rPr>
                                <w:color w:val="000000"/>
                              </w:rPr>
                              <w:t xml:space="preserve">hành phố Đà Nẵng) theo Giấy chứng nhận quyền sử dụng đất quyền sở hữu nhà ở và tài sản khác gắn liền với đất số CX 554327, số vào sổ cấp GCN: CS01104 do Sở Tài nguyên và Môi trường tỉnh Quảng Nam cấp ngày 15/12/2020 chủ sử dụng đất là Ông Nguyễn Đình Thuận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7.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275/2026/0242/VFI-CT.24.A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Phạm Mẫn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công trình xây dựng trên đất tại thửa đất số: 267, tờ bản đồ số: 16; có địa chỉ: số 35 Lưu Quý Kỳ, phường Minh An, thành phố Hội An, tỉnh Quảng Nam (Nay là phường Hội An, t</w:t>
                      </w:r>
                      <w:r>
                        <w:rPr>
                          <w:color w:val="000000"/>
                        </w:rPr>
                        <w:t xml:space="preserve">hành phố Đà Nẵng) theo Giấy chứng nhận quyền sử dụng đất quyền sở hữu nhà ở và tài sản khác gắn liền với đất số CX 554327, số vào sổ cấp GCN: CS01104 do Sở Tài nguyên và Môi trường tỉnh Quảng Nam cấp ngày 15/12/2020 chủ sử dụng đất là Ông Nguyễn Đình Thuận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22-23</w:t>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24-28</w:t>
            </w:r>
            <w:r>
              <w:rPr>
                <w:b/>
                <w:bCs/>
              </w:rPr>
            </w:r>
            <w:r>
              <w:rPr>
                <w:b/>
                <w:bCs/>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97" w:type="dxa"/>
        <w:tblW w:w="14527" w:type="dxa"/>
        <w:tblBorders/>
        <w:tblLayout w:type="fixed"/>
        <w:tblLook w:val="04A0" w:firstRow="1" w:lastRow="0" w:firstColumn="1" w:lastColumn="0" w:noHBand="0" w:noVBand="1"/>
      </w:tblPr>
      <w:tblGrid>
        <w:gridCol w:w="113"/>
        <w:gridCol w:w="1446"/>
        <w:gridCol w:w="12968"/>
      </w:tblGrid>
      <w:tr>
        <w:trPr>
          <w:gridBefore w:val="1"/>
          <w:trHeight w:val="1152"/>
        </w:trPr>
        <w:tc>
          <w:tcPr>
            <w:tcBorders/>
            <w:tcW w:w="144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96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2"/>
            <w:shd w:val="clear" w:color="auto" w:fill="auto"/>
            <w:tcBorders/>
            <w:tcMar>
              <w:left w:w="108" w:type="dxa"/>
              <w:top w:w="0" w:type="dxa"/>
              <w:right w:w="108" w:type="dxa"/>
              <w:bottom w:w="0" w:type="dxa"/>
            </w:tcMar>
            <w:tcW w:w="1559"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275/2026/0242/VFI-CT.24.A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12968"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02 tháng 02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Phạm Mẫn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275/2026/0216/VFI-HĐTĐ.24.A</w:t>
      </w:r>
      <w:r>
        <w:rPr>
          <w:spacing w:val="-4"/>
          <w:lang w:val="vi-VN"/>
        </w:rPr>
        <w:t xml:space="preserve"> ký ngày </w:t>
      </w:r>
      <w:r>
        <w:rPr>
          <w:color w:val="000000" w:themeColor="text1"/>
          <w:spacing w:val="-4"/>
        </w:rPr>
        <w:t xml:space="preserve">28 tháng 01 năm 2026</w:t>
      </w:r>
      <w:r>
        <w:rPr>
          <w:spacing w:val="-4"/>
          <w:lang w:val="vi-VN"/>
        </w:rPr>
        <w:t xml:space="preserve"> </w:t>
      </w:r>
      <w:r>
        <w:rPr>
          <w:spacing w:val="-4"/>
          <w:lang w:val="vi-VN"/>
        </w:rPr>
        <w:t xml:space="preserve">giữa </w:t>
      </w:r>
      <w:r>
        <w:rPr>
          <w:color w:val="000000" w:themeColor="text1"/>
          <w:spacing w:val="-4"/>
        </w:rPr>
        <w:t xml:space="preserve">Ông Phạm Mẫn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275/2026/0242/VFI-BC.24.A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t xml:space="preserve">Ông Phạm Mẫn</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rPr/>
            </w:pPr>
            <w:r>
              <w:rPr>
                <w:rFonts w:ascii="Times New Roman" w:hAnsi="Times New Roman" w:eastAsia="Times New Roman" w:cs="Times New Roman"/>
                <w:color w:val="000000"/>
                <w:sz w:val="24"/>
              </w:rPr>
              <w:t xml:space="preserve">CCCD</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042083014342</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Tổ 20, An Hải Đông, Sơn Trà, Đà Nẵng</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và công trình xây dựng trên đất tại thửa đất số: 267, tờ bản đồ số: 16; có địa chỉ: số 35 Lưu Quý Kỳ, phường Minh An, thành phố Hội An, tỉnh Quảng Nam (Nay là phường Hội An, t</w:t>
      </w:r>
      <w:r>
        <w:rPr>
          <w:color w:val="000000" w:themeColor="text1"/>
        </w:rPr>
        <w:t xml:space="preserve">hành phố Đà Nẵng) theo Giấy chứng nhận quyền sử dụng đất quyền sở hữu nhà ở và tài sản khác gắn liền với đất số CX 554327, số vào sổ cấp GCN: CS01104 do Sở Tài nguyên và Môi trường tỉnh Quảng Nam cấp ngày 15/12/2020 chủ sử dụng đất là Ông Nguyễn Đình Thuận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18"/>
        <w:gridCol w:w="2244"/>
        <w:gridCol w:w="1304"/>
        <w:gridCol w:w="1936"/>
        <w:gridCol w:w="1209"/>
        <w:gridCol w:w="2070"/>
      </w:tblGrid>
      <w:tr>
        <w:trPr>
          <w:trHeight w:val="119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val="false"/>
          </w:tcPr>
          <w:p>
            <w:pPr>
              <w:suppressLineNumbers w:val="false"/>
              <w:pBdr/>
              <w:spacing w:after="0" w:before="0" w:line="276" w:lineRule="auto"/>
              <w:ind w:right="144" w:left="144"/>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244" w:type="dxa"/>
            <w:vAlign w:val="center"/>
            <w:textDirection w:val="lrTb"/>
            <w:noWrap w:val="false"/>
          </w:tcPr>
          <w:p>
            <w:pPr>
              <w:suppressLineNumbers w:val="false"/>
              <w:pBdr/>
              <w:spacing w:after="0" w:before="0" w:line="276" w:lineRule="auto"/>
              <w:ind w:right="144" w:left="144"/>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304" w:type="dxa"/>
            <w:vAlign w:val="center"/>
            <w:textDirection w:val="lrTb"/>
            <w:noWrap w:val="false"/>
          </w:tcPr>
          <w:p>
            <w:pPr>
              <w:suppressLineNumbers w:val="false"/>
              <w:pBdr/>
              <w:spacing w:after="0" w:before="0" w:line="276" w:lineRule="auto"/>
              <w:ind w:right="144" w:left="144"/>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936" w:type="dxa"/>
            <w:vAlign w:val="center"/>
            <w:textDirection w:val="lrTb"/>
            <w:noWrap w:val="false"/>
          </w:tcPr>
          <w:p>
            <w:pPr>
              <w:suppressLineNumbers w:val="false"/>
              <w:pBdr/>
              <w:spacing w:after="0" w:before="0" w:line="276" w:lineRule="auto"/>
              <w:ind w:right="144" w:left="144"/>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209" w:type="dxa"/>
            <w:vAlign w:val="center"/>
            <w:textDirection w:val="lrTb"/>
            <w:noWrap w:val="false"/>
          </w:tcPr>
          <w:p>
            <w:pPr>
              <w:suppressLineNumbers w:val="false"/>
              <w:pBdr/>
              <w:spacing w:after="0" w:before="0" w:line="276" w:lineRule="auto"/>
              <w:ind w:right="144" w:left="144"/>
              <w:jc w:val="center"/>
              <w:rPr/>
            </w:pPr>
            <w:r>
              <w:rPr>
                <w:rFonts w:ascii="Times New Roman" w:hAnsi="Times New Roman" w:eastAsia="Times New Roman" w:cs="Times New Roman"/>
                <w:b/>
                <w:color w:val="000000"/>
                <w:sz w:val="24"/>
              </w:rPr>
              <w:t xml:space="preserve">Hệ số/</w:t>
              <w:br/>
              <w:t xml:space="preserve">CLCL (%)</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070" w:type="dxa"/>
            <w:vAlign w:val="center"/>
            <w:textDirection w:val="lrTb"/>
            <w:noWrap w:val="false"/>
          </w:tcPr>
          <w:p>
            <w:pPr>
              <w:suppressLineNumbers w:val="false"/>
              <w:pBdr/>
              <w:spacing w:after="0" w:before="0" w:line="276" w:lineRule="auto"/>
              <w:ind w:right="144" w:left="144"/>
              <w:jc w:val="center"/>
              <w:rPr/>
            </w:pPr>
            <w:r>
              <w:rPr>
                <w:rFonts w:ascii="Times New Roman" w:hAnsi="Times New Roman" w:eastAsia="Times New Roman" w:cs="Times New Roman"/>
                <w:b/>
                <w:color w:val="000000"/>
                <w:sz w:val="24"/>
              </w:rPr>
              <w:t xml:space="preserve">Thành tiền (đồng)</w:t>
            </w:r>
            <w:r/>
          </w:p>
        </w:tc>
      </w:tr>
      <w:tr>
        <w:trPr>
          <w:trHeight w:val="216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val="false"/>
          </w:tcPr>
          <w:p>
            <w:pPr>
              <w:suppressLineNumbers w:val="false"/>
              <w:pBdr/>
              <w:spacing w:after="0" w:before="0" w:line="276" w:lineRule="auto"/>
              <w:ind w:right="144" w:left="144"/>
              <w:jc w:val="center"/>
              <w:rPr/>
            </w:pPr>
            <w:r>
              <w:rPr>
                <w:rFonts w:ascii="Times New Roman" w:hAnsi="Times New Roman" w:eastAsia="Times New Roman" w:cs="Times New Roman"/>
                <w:b/>
                <w:color w:val="000000"/>
                <w:sz w:val="24"/>
              </w:rPr>
              <w:t xml:space="preserve">I</w:t>
            </w:r>
            <w:r/>
          </w:p>
        </w:tc>
        <w:tc>
          <w:tcPr>
            <w:gridSpan w:val="4"/>
            <w:tcBorders>
              <w:top w:val="single" w:color="000000" w:sz="4" w:space="0"/>
              <w:bottom w:val="single" w:color="000000" w:sz="4" w:space="0"/>
              <w:right w:val="single" w:color="000000" w:sz="4" w:space="0"/>
            </w:tcBorders>
            <w:tcMar>
              <w:left w:w="0" w:type="dxa"/>
              <w:top w:w="0" w:type="dxa"/>
              <w:right w:w="0" w:type="dxa"/>
              <w:bottom w:w="0" w:type="dxa"/>
            </w:tcMar>
            <w:tcW w:w="6693" w:type="dxa"/>
            <w:vAlign w:val="center"/>
            <w:textDirection w:val="lrTb"/>
            <w:noWrap w:val="false"/>
          </w:tcPr>
          <w:p>
            <w:pPr>
              <w:suppressLineNumbers w:val="false"/>
              <w:pBdr/>
              <w:spacing w:after="0" w:before="0" w:line="276" w:lineRule="auto"/>
              <w:ind w:right="144" w:left="144"/>
              <w:jc w:val="both"/>
              <w:rPr/>
            </w:pPr>
            <w:r>
              <w:rPr>
                <w:rFonts w:ascii="Times New Roman" w:hAnsi="Times New Roman" w:eastAsia="Times New Roman" w:cs="Times New Roman"/>
                <w:b/>
                <w:color w:val="000000"/>
                <w:sz w:val="24"/>
              </w:rPr>
              <w:t xml:space="preserve">Quyền sử dụng đất và công trình xây dựng trên đất tại thửa đất số: 267, tờ bản đồ số: 16; có địa chỉ: số 35 Lưu Quý Kỳ, phường Minh An, thành phố Hội An, tỉnh Quảng Nam </w:t>
            </w:r>
            <w:r>
              <w:rPr>
                <w:rFonts w:ascii="Times New Roman" w:hAnsi="Times New Roman" w:eastAsia="Times New Roman" w:cs="Times New Roman"/>
                <w:b/>
                <w:i/>
                <w:color w:val="000000"/>
                <w:sz w:val="24"/>
              </w:rPr>
              <w:t xml:space="preserve">(Nay là phường Hội An, thành phố Đà Nẵng) </w:t>
            </w:r>
            <w:r>
              <w:rPr>
                <w:rFonts w:ascii="Times New Roman" w:hAnsi="Times New Roman" w:eastAsia="Times New Roman" w:cs="Times New Roman"/>
                <w:b/>
                <w:color w:val="000000"/>
                <w:sz w:val="24"/>
              </w:rPr>
              <w:t xml:space="preserve">theo Giấy chứng nhận quyền sử dụng đất quyền sở hữu nhà ở và tài sản khác gắn liền với đất số CX 554327, số vào sổ cấp GCN: CS01104 do Sở Tài nguyên và Môi trường tỉnh Quảng Nam cấp ngày 15/12/2020 chủ sử dụng đất là Ông Nguyễn Đình Thuận.</w:t>
            </w:r>
            <w:r/>
          </w:p>
        </w:tc>
        <w:tc>
          <w:tcPr>
            <w:tcBorders>
              <w:bottom w:val="single" w:color="000000" w:sz="4" w:space="0"/>
              <w:right w:val="single" w:color="000000" w:sz="4" w:space="0"/>
            </w:tcBorders>
            <w:tcMar>
              <w:left w:w="0" w:type="dxa"/>
              <w:top w:w="0" w:type="dxa"/>
              <w:right w:w="0" w:type="dxa"/>
              <w:bottom w:w="0" w:type="dxa"/>
            </w:tcMar>
            <w:tcW w:w="2070" w:type="dxa"/>
            <w:vAlign w:val="center"/>
            <w:textDirection w:val="lrTb"/>
            <w:noWrap w:val="false"/>
          </w:tcPr>
          <w:p>
            <w:pPr>
              <w:suppressLineNumbers w:val="false"/>
              <w:pBdr/>
              <w:spacing w:after="0" w:before="0" w:line="276" w:lineRule="auto"/>
              <w:ind w:right="144" w:left="144"/>
              <w:jc w:val="right"/>
              <w:rPr/>
            </w:pPr>
            <w:r>
              <w:rPr>
                <w:rFonts w:ascii="Times New Roman" w:hAnsi="Times New Roman" w:eastAsia="Times New Roman" w:cs="Times New Roman"/>
                <w:b/>
                <w:color w:val="000000"/>
                <w:sz w:val="24"/>
              </w:rPr>
              <w:t xml:space="preserve">10.555.093.621</w:t>
            </w:r>
            <w:r/>
          </w:p>
        </w:tc>
      </w:tr>
      <w:tr>
        <w:trPr>
          <w:trHeight w:val="73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val="false"/>
          </w:tcPr>
          <w:p>
            <w:pPr>
              <w:suppressLineNumbers w:val="false"/>
              <w:pBdr/>
              <w:spacing w:after="0" w:before="0" w:line="276" w:lineRule="auto"/>
              <w:ind w:right="144" w:left="144"/>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4" w:space="0"/>
              <w:right w:val="single" w:color="000000" w:sz="4" w:space="0"/>
            </w:tcBorders>
            <w:tcMar>
              <w:left w:w="0" w:type="dxa"/>
              <w:top w:w="0" w:type="dxa"/>
              <w:right w:w="0" w:type="dxa"/>
              <w:bottom w:w="0" w:type="dxa"/>
            </w:tcMar>
            <w:tcW w:w="2244" w:type="dxa"/>
            <w:vAlign w:val="center"/>
            <w:textDirection w:val="lrTb"/>
            <w:noWrap w:val="false"/>
          </w:tcPr>
          <w:p>
            <w:pPr>
              <w:suppressLineNumbers w:val="false"/>
              <w:pBdr/>
              <w:spacing w:after="0" w:before="0" w:line="276" w:lineRule="auto"/>
              <w:ind w:right="144" w:left="144"/>
              <w:rPr/>
            </w:pPr>
            <w:r>
              <w:rPr>
                <w:rFonts w:ascii="Times New Roman" w:hAnsi="Times New Roman" w:eastAsia="Times New Roman" w:cs="Times New Roman"/>
                <w:color w:val="000000"/>
                <w:sz w:val="24"/>
              </w:rPr>
              <w:t xml:space="preserve">Quyền sử dụng đất</w:t>
            </w:r>
            <w:r/>
          </w:p>
        </w:tc>
        <w:tc>
          <w:tcPr>
            <w:tcBorders>
              <w:bottom w:val="single" w:color="000000" w:sz="4" w:space="0"/>
              <w:right w:val="single" w:color="000000" w:sz="4" w:space="0"/>
            </w:tcBorders>
            <w:tcMar>
              <w:left w:w="0" w:type="dxa"/>
              <w:top w:w="0" w:type="dxa"/>
              <w:right w:w="0" w:type="dxa"/>
              <w:bottom w:w="0" w:type="dxa"/>
            </w:tcMar>
            <w:tcW w:w="1304" w:type="dxa"/>
            <w:vAlign w:val="center"/>
            <w:textDirection w:val="lrTb"/>
            <w:noWrap/>
          </w:tcPr>
          <w:p>
            <w:pPr>
              <w:suppressLineNumbers w:val="false"/>
              <w:pBdr/>
              <w:spacing w:after="0" w:before="0" w:line="276" w:lineRule="auto"/>
              <w:ind w:right="144" w:left="0"/>
              <w:jc w:val="center"/>
              <w:rPr/>
            </w:pPr>
            <w:r>
              <w:rPr>
                <w:rFonts w:ascii="Times New Roman" w:hAnsi="Times New Roman" w:eastAsia="Times New Roman" w:cs="Times New Roman"/>
                <w:color w:val="000000"/>
                <w:sz w:val="24"/>
              </w:rPr>
              <w:t xml:space="preserve">72,4 </w:t>
            </w:r>
            <w:r/>
          </w:p>
        </w:tc>
        <w:tc>
          <w:tcPr>
            <w:shd w:val="clear" w:color="ffffff" w:fill="ffffff"/>
            <w:tcBorders>
              <w:bottom w:val="single" w:color="000000" w:sz="4" w:space="0"/>
              <w:right w:val="single" w:color="000000" w:sz="4" w:space="0"/>
            </w:tcBorders>
            <w:tcMar>
              <w:left w:w="0" w:type="dxa"/>
              <w:top w:w="0" w:type="dxa"/>
              <w:right w:w="0" w:type="dxa"/>
              <w:bottom w:w="0" w:type="dxa"/>
            </w:tcMar>
            <w:tcW w:w="1936" w:type="dxa"/>
            <w:vAlign w:val="center"/>
            <w:textDirection w:val="lrTb"/>
            <w:noWrap w:val="false"/>
          </w:tcPr>
          <w:p>
            <w:pPr>
              <w:suppressLineNumbers w:val="false"/>
              <w:pBdr/>
              <w:spacing w:after="0" w:before="0" w:line="276" w:lineRule="auto"/>
              <w:ind w:right="144" w:left="0"/>
              <w:jc w:val="center"/>
              <w:rPr/>
            </w:pPr>
            <w:r>
              <w:rPr>
                <w:rFonts w:ascii="Times New Roman" w:hAnsi="Times New Roman" w:eastAsia="Times New Roman" w:cs="Times New Roman"/>
                <w:color w:val="000000"/>
                <w:sz w:val="24"/>
              </w:rPr>
              <w:t xml:space="preserve">142.000.000 </w:t>
            </w:r>
            <w:r/>
          </w:p>
        </w:tc>
        <w:tc>
          <w:tcPr>
            <w:shd w:val="clear" w:color="ffffff" w:fill="ffffff"/>
            <w:tcBorders>
              <w:bottom w:val="single" w:color="000000" w:sz="4" w:space="0"/>
              <w:right w:val="single" w:color="000000" w:sz="4" w:space="0"/>
            </w:tcBorders>
            <w:tcMar>
              <w:left w:w="0" w:type="dxa"/>
              <w:top w:w="0" w:type="dxa"/>
              <w:right w:w="0" w:type="dxa"/>
              <w:bottom w:w="0" w:type="dxa"/>
            </w:tcMar>
            <w:tcW w:w="1209" w:type="dxa"/>
            <w:vAlign w:val="center"/>
            <w:textDirection w:val="lrTb"/>
            <w:noWrap w:val="false"/>
          </w:tcPr>
          <w:p>
            <w:pPr>
              <w:suppressLineNumbers w:val="false"/>
              <w:pBdr/>
              <w:spacing w:after="0" w:before="0" w:line="276" w:lineRule="auto"/>
              <w:ind w:right="144" w:left="144"/>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070" w:type="dxa"/>
            <w:vAlign w:val="center"/>
            <w:textDirection w:val="lrTb"/>
            <w:noWrap w:val="false"/>
          </w:tcPr>
          <w:p>
            <w:pPr>
              <w:suppressLineNumbers w:val="false"/>
              <w:pBdr/>
              <w:spacing w:after="0" w:before="0" w:line="276" w:lineRule="auto"/>
              <w:ind w:right="144" w:left="144"/>
              <w:jc w:val="right"/>
              <w:rPr/>
            </w:pPr>
            <w:r>
              <w:rPr>
                <w:rFonts w:ascii="Times New Roman" w:hAnsi="Times New Roman" w:eastAsia="Times New Roman" w:cs="Times New Roman"/>
                <w:color w:val="000000"/>
                <w:sz w:val="24"/>
              </w:rPr>
              <w:t xml:space="preserve">10.280.800.000</w:t>
            </w:r>
            <w:r/>
          </w:p>
        </w:tc>
      </w:tr>
      <w:tr>
        <w:trPr>
          <w:trHeight w:val="31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val="false"/>
          </w:tcPr>
          <w:p>
            <w:pPr>
              <w:suppressLineNumbers w:val="false"/>
              <w:pBdr/>
              <w:spacing w:after="0" w:before="0" w:line="276" w:lineRule="auto"/>
              <w:ind w:right="144" w:left="144"/>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4" w:space="0"/>
              <w:right w:val="single" w:color="000000" w:sz="4" w:space="0"/>
            </w:tcBorders>
            <w:tcMar>
              <w:left w:w="0" w:type="dxa"/>
              <w:top w:w="0" w:type="dxa"/>
              <w:right w:w="0" w:type="dxa"/>
              <w:bottom w:w="0" w:type="dxa"/>
            </w:tcMar>
            <w:tcW w:w="2244" w:type="dxa"/>
            <w:vAlign w:val="center"/>
            <w:textDirection w:val="lrTb"/>
            <w:noWrap w:val="false"/>
          </w:tcPr>
          <w:p>
            <w:pPr>
              <w:suppressLineNumbers w:val="false"/>
              <w:pBdr/>
              <w:spacing w:after="0" w:before="0" w:line="276" w:lineRule="auto"/>
              <w:ind w:right="144" w:left="144"/>
              <w:rPr/>
            </w:pPr>
            <w:r>
              <w:rPr>
                <w:rFonts w:ascii="Times New Roman" w:hAnsi="Times New Roman" w:eastAsia="Times New Roman" w:cs="Times New Roman"/>
                <w:color w:val="000000"/>
                <w:sz w:val="24"/>
              </w:rPr>
              <w:t xml:space="preserve">Nhà 1 tầng cấp IV</w:t>
            </w:r>
            <w:r/>
          </w:p>
        </w:tc>
        <w:tc>
          <w:tcPr>
            <w:tcBorders>
              <w:bottom w:val="single" w:color="000000" w:sz="4" w:space="0"/>
              <w:right w:val="single" w:color="000000" w:sz="4" w:space="0"/>
            </w:tcBorders>
            <w:tcMar>
              <w:left w:w="0" w:type="dxa"/>
              <w:top w:w="0" w:type="dxa"/>
              <w:right w:w="0" w:type="dxa"/>
              <w:bottom w:w="0" w:type="dxa"/>
            </w:tcMar>
            <w:tcW w:w="1304" w:type="dxa"/>
            <w:vAlign w:val="center"/>
            <w:textDirection w:val="lrTb"/>
            <w:noWrap/>
          </w:tcPr>
          <w:p>
            <w:pPr>
              <w:suppressLineNumbers w:val="false"/>
              <w:pBdr/>
              <w:spacing w:after="0" w:before="0" w:line="276" w:lineRule="auto"/>
              <w:ind w:right="144" w:left="0"/>
              <w:jc w:val="center"/>
              <w:rPr/>
            </w:pPr>
            <w:r>
              <w:rPr>
                <w:rFonts w:ascii="Times New Roman" w:hAnsi="Times New Roman" w:eastAsia="Times New Roman" w:cs="Times New Roman"/>
                <w:color w:val="000000"/>
                <w:sz w:val="24"/>
              </w:rPr>
              <w:t xml:space="preserve">81,50 </w:t>
            </w:r>
            <w:r/>
          </w:p>
        </w:tc>
        <w:tc>
          <w:tcPr>
            <w:shd w:val="clear" w:color="ffffff" w:fill="ffffff"/>
            <w:tcBorders>
              <w:bottom w:val="single" w:color="000000" w:sz="4" w:space="0"/>
              <w:right w:val="single" w:color="000000" w:sz="4" w:space="0"/>
            </w:tcBorders>
            <w:tcMar>
              <w:left w:w="0" w:type="dxa"/>
              <w:top w:w="0" w:type="dxa"/>
              <w:right w:w="0" w:type="dxa"/>
              <w:bottom w:w="0" w:type="dxa"/>
            </w:tcMar>
            <w:tcW w:w="1936" w:type="dxa"/>
            <w:vAlign w:val="center"/>
            <w:textDirection w:val="lrTb"/>
            <w:noWrap w:val="false"/>
          </w:tcPr>
          <w:p>
            <w:pPr>
              <w:suppressLineNumbers w:val="false"/>
              <w:pBdr/>
              <w:spacing w:after="0" w:before="0" w:line="276" w:lineRule="auto"/>
              <w:ind w:right="144" w:left="0"/>
              <w:jc w:val="center"/>
              <w:rPr/>
            </w:pPr>
            <w:r>
              <w:rPr>
                <w:rFonts w:ascii="Times New Roman" w:hAnsi="Times New Roman" w:eastAsia="Times New Roman" w:cs="Times New Roman"/>
                <w:color w:val="000000"/>
                <w:sz w:val="24"/>
              </w:rPr>
              <w:t xml:space="preserve">4.863.535 </w:t>
            </w:r>
            <w:r/>
          </w:p>
        </w:tc>
        <w:tc>
          <w:tcPr>
            <w:shd w:val="clear" w:color="ffffff" w:fill="ffffff"/>
            <w:tcBorders>
              <w:bottom w:val="single" w:color="000000" w:sz="4" w:space="0"/>
              <w:right w:val="single" w:color="000000" w:sz="4" w:space="0"/>
            </w:tcBorders>
            <w:tcMar>
              <w:left w:w="0" w:type="dxa"/>
              <w:top w:w="0" w:type="dxa"/>
              <w:right w:w="0" w:type="dxa"/>
              <w:bottom w:w="0" w:type="dxa"/>
            </w:tcMar>
            <w:tcW w:w="1209" w:type="dxa"/>
            <w:vAlign w:val="center"/>
            <w:textDirection w:val="lrTb"/>
            <w:noWrap w:val="false"/>
          </w:tcPr>
          <w:p>
            <w:pPr>
              <w:suppressLineNumbers w:val="false"/>
              <w:pBdr/>
              <w:spacing w:after="0" w:before="0" w:line="276" w:lineRule="auto"/>
              <w:ind w:right="144" w:left="144"/>
              <w:jc w:val="center"/>
              <w:rPr/>
            </w:pPr>
            <w:r>
              <w:rPr>
                <w:rFonts w:ascii="Times New Roman" w:hAnsi="Times New Roman" w:eastAsia="Times New Roman" w:cs="Times New Roman"/>
                <w:color w:val="000000"/>
                <w:sz w:val="24"/>
              </w:rPr>
              <w:t xml:space="preserve">69,2%</w:t>
            </w:r>
            <w:r/>
          </w:p>
        </w:tc>
        <w:tc>
          <w:tcPr>
            <w:shd w:val="clear" w:color="ffffff" w:fill="ffffff"/>
            <w:tcBorders>
              <w:bottom w:val="single" w:color="000000" w:sz="4" w:space="0"/>
              <w:right w:val="single" w:color="000000" w:sz="4" w:space="0"/>
            </w:tcBorders>
            <w:tcMar>
              <w:left w:w="0" w:type="dxa"/>
              <w:top w:w="0" w:type="dxa"/>
              <w:right w:w="0" w:type="dxa"/>
              <w:bottom w:w="0" w:type="dxa"/>
            </w:tcMar>
            <w:tcW w:w="2070" w:type="dxa"/>
            <w:vAlign w:val="center"/>
            <w:textDirection w:val="lrTb"/>
            <w:noWrap w:val="false"/>
          </w:tcPr>
          <w:p>
            <w:pPr>
              <w:suppressLineNumbers w:val="false"/>
              <w:pBdr/>
              <w:spacing w:after="0" w:before="0" w:line="276" w:lineRule="auto"/>
              <w:ind w:right="144" w:left="144"/>
              <w:jc w:val="right"/>
              <w:rPr/>
            </w:pPr>
            <w:r>
              <w:rPr>
                <w:rFonts w:ascii="Times New Roman" w:hAnsi="Times New Roman" w:eastAsia="Times New Roman" w:cs="Times New Roman"/>
                <w:color w:val="000000"/>
                <w:sz w:val="24"/>
              </w:rPr>
              <w:t xml:space="preserve">274.293.621</w:t>
            </w:r>
            <w:r/>
          </w:p>
        </w:tc>
      </w:tr>
      <w:tr>
        <w:trPr>
          <w:trHeight w:val="520"/>
        </w:trPr>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12"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TỔNG CỘNG</w:t>
            </w:r>
            <w:r/>
          </w:p>
        </w:tc>
        <w:tc>
          <w:tcPr>
            <w:tcBorders>
              <w:bottom w:val="single" w:color="000000" w:sz="4" w:space="0"/>
              <w:right w:val="single" w:color="000000" w:sz="4" w:space="0"/>
            </w:tcBorders>
            <w:tcMar>
              <w:left w:w="0" w:type="dxa"/>
              <w:top w:w="0" w:type="dxa"/>
              <w:right w:w="0" w:type="dxa"/>
              <w:bottom w:w="0" w:type="dxa"/>
            </w:tcMar>
            <w:tcW w:w="2070" w:type="dxa"/>
            <w:vAlign w:val="center"/>
            <w:textDirection w:val="lrTb"/>
            <w:noWrap/>
          </w:tcPr>
          <w:p>
            <w:pPr>
              <w:suppressLineNumbers w:val="false"/>
              <w:pBdr/>
              <w:spacing w:after="0" w:before="0" w:line="240" w:lineRule="auto"/>
              <w:ind w:right="144" w:left="144"/>
              <w:jc w:val="right"/>
              <w:rPr/>
            </w:pPr>
            <w:r>
              <w:rPr>
                <w:rFonts w:ascii="Times New Roman" w:hAnsi="Times New Roman" w:eastAsia="Times New Roman" w:cs="Times New Roman"/>
                <w:b/>
                <w:color w:val="000000"/>
                <w:sz w:val="24"/>
              </w:rPr>
              <w:t xml:space="preserve">10.555.093.621</w:t>
            </w:r>
            <w:r/>
          </w:p>
        </w:tc>
      </w:tr>
      <w:tr>
        <w:trPr>
          <w:trHeight w:val="415"/>
        </w:trPr>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12"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LÀM TRÒN</w:t>
            </w:r>
            <w:r/>
          </w:p>
        </w:tc>
        <w:tc>
          <w:tcPr>
            <w:tcBorders>
              <w:bottom w:val="single" w:color="000000" w:sz="4" w:space="0"/>
              <w:right w:val="single" w:color="000000" w:sz="4" w:space="0"/>
            </w:tcBorders>
            <w:tcMar>
              <w:left w:w="0" w:type="dxa"/>
              <w:top w:w="0" w:type="dxa"/>
              <w:right w:w="0" w:type="dxa"/>
              <w:bottom w:w="0" w:type="dxa"/>
            </w:tcMar>
            <w:tcW w:w="2070" w:type="dxa"/>
            <w:vAlign w:val="center"/>
            <w:textDirection w:val="lrTb"/>
            <w:noWrap/>
          </w:tcPr>
          <w:p>
            <w:pPr>
              <w:suppressLineNumbers w:val="false"/>
              <w:pBdr/>
              <w:spacing w:after="0" w:before="0" w:line="240" w:lineRule="auto"/>
              <w:ind w:right="144" w:left="144"/>
              <w:jc w:val="right"/>
              <w:rPr/>
            </w:pPr>
            <w:r>
              <w:rPr>
                <w:rFonts w:ascii="Times New Roman" w:hAnsi="Times New Roman" w:eastAsia="Times New Roman" w:cs="Times New Roman"/>
                <w:b/>
                <w:color w:val="000000"/>
                <w:sz w:val="24"/>
              </w:rPr>
              <w:t xml:space="preserve">10.555.000.000</w:t>
            </w:r>
            <w:r/>
          </w:p>
        </w:tc>
      </w:tr>
      <w:tr>
        <w:trPr>
          <w:trHeight w:val="313"/>
        </w:trPr>
        <w:tc>
          <w:tcPr>
            <w:gridSpan w:val="6"/>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382"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i/>
                <w:color w:val="000000"/>
                <w:sz w:val="24"/>
              </w:rPr>
              <w:t xml:space="preserve">(Bằng chữ: Mười tỷ năm trăm năm mươi lăm triệu đồng chẵn ./.)</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921" w:type="pct"/>
        <w:tblBorders/>
        <w:tblLayout w:type="fixed"/>
        <w:tblLook w:val="01E0" w:firstRow="1" w:lastRow="1" w:firstColumn="1" w:lastColumn="1" w:noHBand="0" w:noVBand="0"/>
      </w:tblPr>
      <w:tblGrid>
        <w:gridCol w:w="4422"/>
        <w:gridCol w:w="4953"/>
      </w:tblGrid>
      <w:tr>
        <w:trPr>
          <w:trHeight w:val="20"/>
        </w:trPr>
        <w:tc>
          <w:tcPr>
            <w:tcBorders/>
            <w:tcW w:w="4422"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4953"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2"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4953"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2"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4953"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275/2026/0242/VFI-CT.24.A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2 tháng 2 năm 2026</w:t>
            </w:r>
            <w:r>
              <w:rPr>
                <w:color w:val="000000" w:themeColor="text1"/>
                <w:sz w:val="24"/>
                <w:szCs w:val="24"/>
                <w:lang w:val="vi-VN"/>
              </w:rPr>
            </w:r>
            <w:r>
              <w:rPr>
                <w:color w:val="000000" w:themeColor="text1"/>
                <w:sz w:val="24"/>
                <w:szCs w:val="24"/>
                <w:lang w:val="vi-VN"/>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275/2026/0242/VFI-CT.24.A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 tháng 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pacing w:val="-8"/>
                <w:sz w:val="24"/>
              </w:rPr>
              <w:t xml:space="preserve">Ông Phạm Mẫn</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CCCD</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042083014342</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Tổ 20, An Hải Đông, Sơn Trà, Đà Nẵng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Số hợp đồng</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rFonts w:ascii="Times New Roman" w:hAnsi="Times New Roman" w:eastAsia="Times New Roman" w:cs="Times New Roman"/>
                <w:color w:val="000000"/>
                <w:spacing w:val="-4"/>
                <w:sz w:val="24"/>
              </w:rPr>
              <w:t xml:space="preserve">275/2026/0216/VFI-HĐTĐ.24.A </w:t>
            </w:r>
            <w:r>
              <w:rPr>
                <w:rFonts w:ascii="Times New Roman" w:hAnsi="Times New Roman" w:eastAsia="Times New Roman" w:cs="Times New Roman"/>
                <w:sz w:val="24"/>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công trình xây dựng trên đất tại thửa đất số: 267, tờ bản đồ số: 16; có địa chỉ: số 35 Lưu Quý Kỳ, phường Minh An, thành phố Hội An, tỉnh Quảng Nam (Nay là phường Hội An, t</w:t>
            </w:r>
            <w:r>
              <w:rPr>
                <w:bCs/>
                <w:color w:val="000000" w:themeColor="text1"/>
                <w:lang w:val="pt-BR"/>
              </w:rPr>
              <w:t xml:space="preserve">hành phố Đà Nẵng) theo Giấy chứng nhận quyền sử dụng đất quyền sở hữu nhà ở và tài sản khác gắn liền với đất số CX 554327, số vào sổ cấp GCN: CS01104 do Sở Tài nguyên và Môi trường tỉnh Quảng Nam cấp ngày 15/12/2020 chủ sử dụng đất là Ông Nguyễn Đình Thuận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Số 35 Lưu Quý Kỳ, Phường Hội An, thành phố Đà Nẵng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15.8748552, 108.3272765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CX 5543</w:t>
      </w:r>
      <w:r>
        <w:rPr>
          <w:bCs/>
          <w:color w:val="000000" w:themeColor="text1"/>
          <w:lang w:val="pt-BR"/>
        </w:rPr>
        <w:t xml:space="preserve">27, số vào sổ cấp GCN: CS01104 tại thửa đất số: 267, tờ bản đồ số: 16; có địa chỉ: số 35 Lưu Quý Kỳ, phường Minh An, thành phố Hội An, tỉnh Quảng Nam do Sở Tài nguyên và Môi trường tỉnh Quảng Nam cấp ngày 15/12/2020 chủ sử dụng đất là Ông Nguyễn Đình Thuận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đồng thẩm định giá số 275/2026/0216/VFI-HĐTĐ.24.A ngày 28/01/2026 giữa Ông Phạm Mẫn với Công ty Cổ phần Thẩm định và Đầu tư Tài chính Hoa Sen.</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i/>
          <w:iCs/>
          <w:lang w:val="pt-BR"/>
        </w:rPr>
      </w:r>
      <w:r>
        <w:rPr>
          <w:rFonts w:ascii="Times New Roman" w:hAnsi="Times New Roman" w:eastAsia="Times New Roman" w:cs="Times New Roman"/>
          <w:color w:val="000000"/>
          <w:sz w:val="24"/>
        </w:rPr>
        <w:t xml:space="preserve">Ngày 1/7/2025, Đà Nẵng chính thức vận hành mô hình thành phố mở rộng không chỉ là sát nhập hành chính, mà mở ra chu kỳ phát triển mới toàn diện về hạ tầng, kinh tế, du lịch, đầu tư. Các trung tâm tài chính quốc tế, khu thương mại tự do, hệ thống logistics </w:t>
      </w:r>
      <w:r>
        <w:rPr>
          <w:rFonts w:ascii="Times New Roman" w:hAnsi="Times New Roman" w:eastAsia="Times New Roman" w:cs="Times New Roman"/>
          <w:color w:val="000000"/>
          <w:sz w:val="24"/>
        </w:rPr>
        <w:t xml:space="preserve">– sản xuất – công nghệ sẽ đổ về, tạo sức hút đặc biệt cho khu vực liên kết vùng năng động nhất miền Trung này.</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Lịch sử cho thấy, sau các cột mốc mở rộng địa giới như Hà Tây sáp nhập vào Hà Nội (2008), giá trị bất động sản tại khu vực “biên” đã tăng từ 2,4 đến hơn 10 lần trong vòng 10 năm. Nay, giới đầu tư kỳ vọng kịch bản tương tự sẽ lặp lại với Đà Nẵng – Hội An, đ</w:t>
      </w:r>
      <w:r>
        <w:rPr>
          <w:rFonts w:ascii="Times New Roman" w:hAnsi="Times New Roman" w:eastAsia="Times New Roman" w:cs="Times New Roman"/>
          <w:color w:val="000000"/>
          <w:sz w:val="24"/>
        </w:rPr>
        <w:t xml:space="preserve">ặc biệt khi khu vực này đang dần định hình vai trò cực tăng trưởng mới mang tầm khu vực.</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Tuy nhiên, không phải sản phẩm nào cũng có thể “đón sóng” thành công. Chỉ những dự án sở hữu tọa độ kết nối chiến lược, vừa có quy hoạch, thiết kế khai thác tối ưu, vừa đáp ứng nhu cầu sống chất lượng cao đồng thời giải bài toán khai thác dòng tiền tốt mới</w:t>
      </w:r>
      <w:r>
        <w:rPr>
          <w:rFonts w:ascii="Times New Roman" w:hAnsi="Times New Roman" w:eastAsia="Times New Roman" w:cs="Times New Roman"/>
          <w:color w:val="000000"/>
          <w:sz w:val="24"/>
        </w:rPr>
        <w:t xml:space="preserve"> có thể trụ vững và sinh lời bền vững trong giai đoạn thanh lọc mạnh mẽ hiện nay. Đây chính xác là đích ngắm của những nhà đầu tư lão luyện.</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Giá đất tại khu vực Võ Chí Công – Hội An hiện vẫn đang ở mức thấp hơn trung tâm Đà Nẵng. Tuy nhiên, với bảng giá đất sau sáp nhập được dự báo sẽ tăng gấp 2-3 lần, đây là giai đoạn vàng để “lên tàu”. Khi mặt bằng giá mới thiết lập, chi phí đầu vào cho các d</w:t>
      </w:r>
      <w:r>
        <w:rPr>
          <w:rFonts w:ascii="Times New Roman" w:hAnsi="Times New Roman" w:eastAsia="Times New Roman" w:cs="Times New Roman"/>
          <w:color w:val="000000"/>
          <w:sz w:val="24"/>
        </w:rPr>
        <w:t xml:space="preserve">ự án tương lai sẽ bị đội lên đáng kể – mở ra dư địa tăng giá hấp dẫn cho các nhà đầu tư đi trước.</w:t>
      </w:r>
      <w:r/>
    </w:p>
    <w:p>
      <w:pPr>
        <w:pBdr>
          <w:top w:val="none" w:color="000000" w:sz="4" w:space="0"/>
          <w:left w:val="none" w:color="000000" w:sz="4" w:space="0"/>
          <w:bottom w:val="none" w:color="000000" w:sz="4" w:space="0"/>
          <w:right w:val="none" w:color="000000" w:sz="4" w:space="0"/>
        </w:pBdr>
        <w:spacing w:after="60" w:before="60" w:line="276" w:lineRule="auto"/>
        <w:ind w:right="0" w:firstLine="720" w:left="0"/>
        <w:jc w:val="both"/>
        <w:rPr/>
      </w:pPr>
      <w:r>
        <w:rPr>
          <w:rFonts w:ascii="Times New Roman" w:hAnsi="Times New Roman" w:eastAsia="Times New Roman" w:cs="Times New Roman"/>
          <w:color w:val="000000"/>
          <w:sz w:val="24"/>
        </w:rPr>
        <w:t xml:space="preserve">Nguồn:</w:t>
      </w:r>
      <w:r>
        <w:rPr>
          <w:rFonts w:ascii="Times New Roman" w:hAnsi="Times New Roman" w:eastAsia="Times New Roman" w:cs="Times New Roman"/>
          <w:i/>
          <w:color w:val="000000"/>
          <w:sz w:val="24"/>
        </w:rPr>
        <w:t xml:space="preserve">(</w:t>
      </w:r>
      <w:r>
        <w:rPr>
          <w:rFonts w:ascii="Times New Roman" w:hAnsi="Times New Roman" w:eastAsia="Times New Roman" w:cs="Times New Roman"/>
          <w:i/>
          <w:color w:val="000000"/>
          <w:sz w:val="24"/>
        </w:rPr>
      </w:r>
      <w:hyperlink r:id="rId17" w:tooltip="https://thanhtra.com.vn/thong-tin-doanh-nghiep-49F64E63D/sau-sap-nhap-bat-" w:history="1">
        <w:r>
          <w:rPr>
            <w:rStyle w:val="1025"/>
            <w:rFonts w:ascii="Times New Roman" w:hAnsi="Times New Roman" w:eastAsia="Times New Roman" w:cs="Times New Roman"/>
            <w:i/>
            <w:sz w:val="24"/>
          </w:rPr>
          <w:t xml:space="preserve">https://thanhtra.com.vn/thong-tin-doanh-nghiep-49F64E63D/sau-sap-nhap-bat-</w:t>
        </w:r>
      </w:hyperlink>
      <w:r>
        <w:rPr>
          <w:rFonts w:ascii="Times New Roman" w:hAnsi="Times New Roman" w:eastAsia="Times New Roman" w:cs="Times New Roman"/>
          <w:i/>
          <w:color w:val="000000"/>
          <w:sz w:val="24"/>
        </w:rPr>
        <w:tab/>
        <w:t xml:space="preserve">dong-san-da-nang-hoi-an-buoc-vao-chu-ky-vang-5ae86dafa.html)</w:t>
      </w:r>
      <w:r/>
    </w:p>
    <w:p>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và công trình xây dựng trên đất tại thửa đất số: 267, tờ bản đồ số: 16; có địa chỉ: số 35 Lưu Quý Kỳ, phường Minh An, thành phố Hội An, tỉnh Quảng Nam (Nay là phường Hội An, t</w:t>
            </w:r>
            <w:r>
              <w:rPr>
                <w:b/>
                <w:bCs/>
                <w:color w:val="000000"/>
              </w:rPr>
              <w:t xml:space="preserve">hành phố Đà Nẵng) theo Giấy chứng nhận quyền sử dụng đất quyền sở hữu nhà ở và tài sản khác gắn liền với đất số CX 554327, số vào sổ cấp GCN: CS01104 do Sở Tài nguyên và Môi trường tỉnh Quảng Nam cấp ngày 15/12/2020 chủ sử dụng đất là Ông Nguyễn Đình Thuận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267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16</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Số 35 Lưu Quý Kỳ, Phường Minh An, thành phố Hội An, tỉnh Quảng Nam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72,4</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thừa kế đất được công nhận QSD đất như giao đất có thu tiền sử dụng đất 36,2m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Công nhận QSD đất như giao đất có thu tiền sử dụng đất 36,2m</w:t>
            </w:r>
            <w:r>
              <w:rPr>
                <w:rFonts w:ascii="Times New Roman" w:hAnsi="Times New Roman" w:eastAsia="Times New Roman" w:cs="Times New Roman"/>
                <w:color w:val="000000"/>
                <w:sz w:val="20"/>
                <w:vertAlign w:val="superscript"/>
              </w:rPr>
              <w:t xml:space="preserve">2</w:t>
            </w: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Ghi chú:</w:t>
            </w:r>
            <w:r/>
          </w:p>
        </w:tc>
        <w:tc>
          <w:tcPr>
            <w:gridSpan w:val="3"/>
            <w:tcBorders/>
            <w:tcW w:w="62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Sơ đồ thửa đất được xác định theo trích đo bổ sung tài sản gắn liền với đất số 4339/CNVPDKĐĐ ngày 30/11/2020 của chi nhánh Văn phòng đăng ký đất đai Hội An.</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Bà Trần Thị Kéo có 30/32 quyền sử dụng đất và quyền sở hữu nhà ở; Ông Phạm Lê Huy Hoàng có 1/32 quyền sở hữu đất và quyền sở hữu nhà ở; bà Phạm Thị Anh Thư có 1/32 quyền sử dụng đất và quyền sở hữu nhà ở.</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tổ thẩm không thu thập được thông tin quy hoạch liên quan đến thửa đất</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Tiếp giáp đường Lưu Quý Kỳ</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Tiếp giáp đường Lưu Quý Kỳ</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Hướng Bắc tiếp giáo đường Lưu Quý Kỳ</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Các hướng còn lại tiếp giáp BĐS liền kề</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15.8748552</w:t>
            </w:r>
            <w:r>
              <w:rPr>
                <w:color w:val="000000"/>
              </w:rPr>
              <w:t xml:space="preserve">, </w:t>
            </w:r>
            <w:r>
              <w:rPr>
                <w:color w:val="000000"/>
              </w:rPr>
              <w:t xml:space="preserve">108.3272765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475945" cy="2898235"/>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475944" cy="28982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1.18pt;height:228.21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72,4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4,67</w:t>
            </w:r>
            <w:r>
              <w:rPr>
                <w:color w:val="000000"/>
              </w:rPr>
            </w:r>
            <w:r>
              <w:rPr>
                <w:color w:val="000000"/>
              </w:rPr>
            </w:r>
          </w:p>
        </w:tc>
        <w:tc>
          <w:tcPr>
            <w:tcBorders/>
            <w:tcW w:w="2126" w:type="dxa"/>
            <w:vAlign w:val="center"/>
            <w:textDirection w:val="lrTb"/>
            <w:noWrap w:val="false"/>
          </w:tcPr>
          <w:p>
            <w:pPr>
              <w:pBdr/>
              <w:spacing/>
              <w:ind/>
              <w:rPr/>
            </w:pPr>
            <w:r/>
            <w:r/>
          </w:p>
        </w:tc>
        <w:tc>
          <w:tcPr>
            <w:tcBorders/>
            <w:tcW w:w="2007"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Nhà 01 tầng cấp IV, tường xây gạch. Công trình có diện tích xây dựng 64,4m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diện tích sàn xây dựng 81,5m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đã hoàn thiện và đang được sử dụng bình thường.</w:t>
            </w:r>
            <w:r/>
          </w:p>
          <w:p>
            <w:pPr>
              <w:pBdr>
                <w:top w:val="none" w:color="000000" w:sz="4" w:space="0"/>
                <w:left w:val="none" w:color="000000" w:sz="4" w:space="0"/>
                <w:bottom w:val="none" w:color="000000" w:sz="4" w:space="0"/>
                <w:right w:val="none" w:color="000000" w:sz="4" w:space="0"/>
              </w:pBdr>
              <w:spacing/>
              <w:ind w:right="0" w:firstLine="0" w:left="0"/>
              <w:jc w:val="both"/>
              <w:rPr>
                <w:highlight w:val="white"/>
              </w:rPr>
            </w:pPr>
            <w:r>
              <w:rPr>
                <w:rFonts w:ascii="Times New Roman" w:hAnsi="Times New Roman" w:eastAsia="Times New Roman" w:cs="Times New Roman"/>
                <w:color w:val="000000"/>
                <w:sz w:val="24"/>
              </w:rPr>
              <w:t xml:space="preserve">Công trình đã được chứng nhận trên GCN số CX 554327. Ngoại quan đã cũ, kết cấu chính hao mòn theo thời gian tuy nhiên vẫn còn chắc chắn. </w:t>
            </w:r>
            <w:r>
              <w:rPr>
                <w:rFonts w:ascii="Times New Roman" w:hAnsi="Times New Roman" w:eastAsia="Times New Roman" w:cs="Times New Roman"/>
                <w:color w:val="000000"/>
                <w:sz w:val="24"/>
                <w:highlight w:val="white"/>
              </w:rPr>
              <w:t xml:space="preserve">Công trình được sửa chữa lại năm 2019 và đang tiếp tục được sửa chữa, hoàn thiện nội thất nhằm mục đích kinh doanh.</w:t>
            </w:r>
            <w:r>
              <w:rPr>
                <w:highlight w:val="white"/>
              </w:rPr>
            </w:r>
            <w:r>
              <w:rPr>
                <w:highlight w:val="white"/>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808"/>
        <w:gridCol w:w="1663"/>
        <w:gridCol w:w="1560"/>
        <w:gridCol w:w="1818"/>
        <w:gridCol w:w="1371"/>
        <w:gridCol w:w="2149"/>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Các yếu tố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Thông tin 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Thông tin khảo sát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Chênh lệch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Nguyên nhân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Địa chỉ trên sổ</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Phường Minh An, thành phố Hội An, tỉnh Quảng Nam</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Phường Minh An, thành phố Hội An, tỉnh Quảng Nam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Địa chỉ thực tế</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Phường Minh An, thành phố Hội An, tỉnh Quảng Nam</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Phường Hội An, thành phố Đà Nẵng✔</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Có</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Sau sáp nhập</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Pháp lý</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nhà ở và tài sản gắn liền với đất</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nhà ở và tài sản gắn liền với đất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Loại đất</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Vị trí</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VT1</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VT`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Kết cấu mặt đường</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 có vỉa hè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cắt đường trước nhà</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5,5</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5,5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Cơ sở hạ tầng kỹ thuật</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Hạ tầng khu dân cư thông thường</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Hạ tầng khu dân cư thông thường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Môi trường, an ninh</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Diện tích</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72,4</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72,4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tiền</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4,67</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4,67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tiếp giáp</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dạng thửa đất</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 vắn</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vắn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Bắc </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Bắc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Cảnh quan</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View khu dân cư </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View khu dân cư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80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thẩm định giá.</w:t>
      </w: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5"/>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39"/>
        <w:tblInd w:w="-289"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32"/>
        <w:gridCol w:w="1998"/>
        <w:gridCol w:w="1832"/>
        <w:gridCol w:w="1874"/>
        <w:gridCol w:w="1953"/>
        <w:gridCol w:w="1865"/>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9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3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7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5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gridSpan w:val="2"/>
            <w:tcBorders>
              <w:bottom w:val="single" w:color="000000" w:sz="8" w:space="0"/>
              <w:right w:val="single" w:color="000000" w:sz="8" w:space="0"/>
            </w:tcBorders>
            <w:tcMar>
              <w:left w:w="108" w:type="dxa"/>
              <w:top w:w="0" w:type="dxa"/>
              <w:right w:w="108" w:type="dxa"/>
              <w:bottom w:w="0" w:type="dxa"/>
            </w:tcMar>
            <w:tcW w:w="383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 </w:t>
            </w:r>
            <w:r/>
          </w:p>
        </w:tc>
        <w:tc>
          <w:tcPr>
            <w:tcBorders>
              <w:bottom w:val="single" w:color="000000" w:sz="8" w:space="0"/>
              <w:right w:val="single" w:color="000000" w:sz="8" w:space="0"/>
            </w:tcBorders>
            <w:tcMar>
              <w:left w:w="108" w:type="dxa"/>
              <w:top w:w="0" w:type="dxa"/>
              <w:right w:w="108" w:type="dxa"/>
              <w:bottom w:w="0" w:type="dxa"/>
            </w:tcMar>
            <w:tcW w:w="187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Arial" w:hAnsi="Arial" w:eastAsia="Arial" w:cs="Arial"/>
                <w:color w:val="0000ff"/>
                <w:sz w:val="22"/>
                <w:u w:val="none"/>
              </w:rPr>
              <w:t xml:space="preserve"> </w:t>
            </w:r>
            <w:r/>
          </w:p>
        </w:tc>
        <w:tc>
          <w:tcPr>
            <w:tcBorders>
              <w:bottom w:val="single" w:color="000000" w:sz="8" w:space="0"/>
              <w:right w:val="single" w:color="000000" w:sz="8" w:space="0"/>
            </w:tcBorders>
            <w:tcMar>
              <w:left w:w="108" w:type="dxa"/>
              <w:top w:w="0" w:type="dxa"/>
              <w:right w:w="108" w:type="dxa"/>
              <w:bottom w:w="0" w:type="dxa"/>
            </w:tcMar>
            <w:tcW w:w="195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Arial" w:hAnsi="Arial" w:eastAsia="Arial" w:cs="Arial"/>
                <w:color w:val="0000ff"/>
                <w:sz w:val="22"/>
                <w:u w:val="none"/>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Số 35 đường Lưu Quý Kỳ, phường Minh An, thành phố Hội An, tỉnh Quảng Nam </w:t>
            </w:r>
            <w:r>
              <w:rPr>
                <w:rFonts w:ascii="Times New Roman" w:hAnsi="Times New Roman" w:eastAsia="Times New Roman" w:cs="Times New Roman"/>
                <w:i/>
                <w:color w:val="000000"/>
                <w:sz w:val="22"/>
              </w:rPr>
              <w:t xml:space="preserve">(Nay là phường Hội An, thành phố Đà Nẵng)</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Mặt đường Lưu Quý Kỳ, phường Minh An, thành phố Hội An, tỉnh Quảng Nam </w:t>
            </w:r>
            <w:r>
              <w:rPr>
                <w:rFonts w:ascii="Times New Roman" w:hAnsi="Times New Roman" w:eastAsia="Times New Roman" w:cs="Times New Roman"/>
                <w:i/>
                <w:color w:val="000000"/>
                <w:sz w:val="22"/>
              </w:rPr>
              <w:t xml:space="preserve">(Nay là phường Hội An, thành phố Đà Nẵng)</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Mặt đường Lưu Quý Kỳ, phường Minh An, thành phố Hội An, tỉnh Quảng Nam </w:t>
            </w:r>
            <w:r>
              <w:rPr>
                <w:rFonts w:ascii="Times New Roman" w:hAnsi="Times New Roman" w:eastAsia="Times New Roman" w:cs="Times New Roman"/>
                <w:i/>
                <w:color w:val="000000"/>
                <w:sz w:val="22"/>
              </w:rPr>
              <w:t xml:space="preserve">(Nay là phường Hội An, thành phố Đà Nẵng)</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Mặt đường Lưu Quý Kỳ, phường Minh An, thành phố Hội An, tỉnh Quảng Nam </w:t>
            </w:r>
            <w:r>
              <w:rPr>
                <w:rFonts w:ascii="Times New Roman" w:hAnsi="Times New Roman" w:eastAsia="Times New Roman" w:cs="Times New Roman"/>
                <w:i/>
                <w:color w:val="000000"/>
                <w:sz w:val="22"/>
              </w:rPr>
              <w:t xml:space="preserve">(Nay là phường Hội An, thành phố Đà Nẵng)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Arial" w:hAnsi="Arial" w:eastAsia="Arial" w:cs="Arial"/>
                <w:color w:val="0000ff"/>
                <w:sz w:val="22"/>
                <w:u w:val="none"/>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Arial" w:hAnsi="Arial" w:eastAsia="Arial" w:cs="Arial"/>
                <w:color w:val="0000ff"/>
                <w:sz w:val="22"/>
                <w:u w:val="none"/>
              </w:rPr>
              <w:t xml:space="preserve"> </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Arial" w:hAnsi="Arial" w:eastAsia="Arial" w:cs="Arial"/>
                <w:color w:val="0000ff"/>
                <w:sz w:val="22"/>
                <w:u w:val="none"/>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ff"/>
                <w:sz w:val="22"/>
                <w:u w:val="single"/>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ff"/>
                <w:sz w:val="22"/>
                <w:u w:val="single"/>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ff"/>
                <w:sz w:val="22"/>
                <w:u w:val="single"/>
              </w:rPr>
              <w:t xml:space="preserve">Liên hệ trực tiếp</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0336237279 </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0336237279</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0905799228</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01/2026 </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01/2026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01/2026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đường Lưu Quý Kỳ, giao thông thuận tiện.</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đường Lưu Quý Kỳ, giao thông thuận tiện.</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đường Lưu Quý Kỳ, giao thông thuận tiện.</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đường Lưu Quý Kỳ, giao thông thuận tiện.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5,5m</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5,5m</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5,5m</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5,5m</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72,4</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72,4</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76,5</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95,2</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4,67</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4,60</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5,60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vắn</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vắn</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vắn</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vắn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phong thủy</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1 tầng</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2 tầng</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1 tầng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tầng</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sử dụng (m²)</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72,4</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153</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95,2</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11.500.000.000</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13.000.000.000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14.500.000.000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10.350.000.000</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11.700.000.000</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13.050.000.000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228.877.957</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826.441.970</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300.955.546</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xây dựng theo Quyết định số 409/QĐ-BXD (đồng/m²)</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4.863.535</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7.716.545</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4.863.535</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Tỷ lệ % CLCL </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65%</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65%</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10.121.122.043</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10.873.558.031</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12.749.044.454</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139.794.503</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142.138.013</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133.918.534</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8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6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8"/>
        <w:gridCol w:w="1765"/>
        <w:gridCol w:w="1030"/>
        <w:gridCol w:w="1522"/>
        <w:gridCol w:w="1638"/>
        <w:gridCol w:w="1620"/>
        <w:gridCol w:w="1620"/>
      </w:tblGrid>
      <w:tr>
        <w:trPr>
          <w:trHeight w:val="20"/>
          <w:tblHeader/>
        </w:trPr>
        <w:tc>
          <w:tcPr>
            <w:shd w:val="clear" w:color="000000" w:fill="ffffff"/>
            <w:tcBorders/>
            <w:tcW w:w="738"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0"/>
                <w:szCs w:val="20"/>
              </w:rPr>
            </w:pPr>
            <w:r>
              <w:rPr>
                <w:color w:val="000000" w:themeColor="text1"/>
                <w:sz w:val="22"/>
                <w:szCs w:val="22"/>
              </w:rPr>
              <w:t xml:space="preserve">10.121.122.043</w:t>
            </w:r>
            <w:r>
              <w:rPr>
                <w:color w:val="000000"/>
                <w:sz w:val="20"/>
                <w:szCs w:val="20"/>
              </w:rPr>
            </w:r>
            <w:r>
              <w:rPr>
                <w:color w:val="000000"/>
                <w:sz w:val="20"/>
                <w:szCs w:val="20"/>
              </w:rPr>
            </w:r>
          </w:p>
        </w:tc>
        <w:tc>
          <w:tcPr>
            <w:shd w:val="clear" w:color="000000" w:fill="ffffff"/>
            <w:tcBorders/>
            <w:tcW w:w="1620" w:type="dxa"/>
            <w:vAlign w:val="center"/>
            <w:textDirection w:val="lrTb"/>
            <w:noWrap w:val="false"/>
          </w:tcPr>
          <w:p>
            <w:pPr>
              <w:pBdr/>
              <w:spacing/>
              <w:ind/>
              <w:jc w:val="center"/>
              <w:rPr>
                <w:color w:val="000000"/>
                <w:sz w:val="20"/>
                <w:szCs w:val="20"/>
              </w:rPr>
            </w:pPr>
            <w:r>
              <w:rPr>
                <w:color w:val="000000" w:themeColor="text1"/>
                <w:sz w:val="22"/>
                <w:szCs w:val="22"/>
              </w:rPr>
              <w:t xml:space="preserve">10.873.558.031</w:t>
            </w:r>
            <w:r>
              <w:rPr>
                <w:color w:val="000000"/>
                <w:sz w:val="20"/>
                <w:szCs w:val="20"/>
              </w:rPr>
            </w:r>
            <w:r>
              <w:rPr>
                <w:color w:val="000000"/>
                <w:sz w:val="20"/>
                <w:szCs w:val="20"/>
              </w:rPr>
            </w:r>
          </w:p>
        </w:tc>
        <w:tc>
          <w:tcPr>
            <w:shd w:val="clear" w:color="000000" w:fill="ffffff"/>
            <w:tcBorders/>
            <w:tcW w:w="1620" w:type="dxa"/>
            <w:vAlign w:val="center"/>
            <w:textDirection w:val="lrTb"/>
            <w:noWrap w:val="false"/>
          </w:tcPr>
          <w:p>
            <w:pPr>
              <w:pBdr/>
              <w:spacing/>
              <w:ind/>
              <w:jc w:val="center"/>
              <w:rPr>
                <w:color w:val="000000"/>
                <w:sz w:val="20"/>
                <w:szCs w:val="20"/>
              </w:rPr>
            </w:pPr>
            <w:r>
              <w:rPr>
                <w:color w:val="000000" w:themeColor="text1"/>
                <w:sz w:val="22"/>
                <w:szCs w:val="22"/>
              </w:rPr>
              <w:t xml:space="preserve">12.749.044.454</w:t>
            </w:r>
            <w:r>
              <w:rPr>
                <w:color w:val="000000"/>
                <w:sz w:val="20"/>
                <w:szCs w:val="20"/>
              </w:rPr>
            </w:r>
            <w:r>
              <w:rPr>
                <w:color w:val="000000"/>
                <w:sz w:val="20"/>
                <w:szCs w:val="20"/>
              </w:rPr>
            </w:r>
          </w:p>
        </w:tc>
      </w:tr>
      <w:tr>
        <w:trPr>
          <w:trHeight w:val="20"/>
        </w:trPr>
        <w:tc>
          <w:tcPr>
            <w:shd w:val="clear" w:color="000000" w:fill="ffffff"/>
            <w:tcBorders/>
            <w:tcW w:w="738"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139.794.503</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142.138.013</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133.918.534</w:t>
            </w:r>
            <w:r>
              <w:rPr>
                <w:color w:val="000000"/>
                <w:sz w:val="22"/>
                <w:szCs w:val="22"/>
              </w:rPr>
            </w:r>
            <w:r>
              <w:rPr>
                <w:color w:val="000000"/>
                <w:sz w:val="22"/>
                <w:szCs w:val="22"/>
              </w:rPr>
            </w:r>
          </w:p>
        </w:tc>
      </w:tr>
      <w:tr>
        <w:trPr>
          <w:trHeight w:val="20"/>
        </w:trPr>
        <w:tc>
          <w:tcPr>
            <w:shd w:val="clear" w:color="000000" w:fill="ffffff"/>
            <w:tcBorders/>
            <w:tcW w:w="738"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38"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20"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20"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139.308.150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139.823.050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133.918.534</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139.308.150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139.823.050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133.918.534</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139.308.150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139.823.050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133.918.534</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Tiếp giáp đường Lưu Quý Kỳ, giao thông thuận tiện.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6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Tiếp giáp đường Lưu Quý Kỳ, giao thông thuận tiện.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6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Tiếp giáp đường Lưu Quý Kỳ, giao thông thuận tiện.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6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Tiếp giáp đường Lưu Quý Kỳ, giao thông thuận tiện.</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139.308.150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139.823.050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133.918.534</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139.308.150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139.823.050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133.918.534</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139.308.150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139.823.050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133.918.534</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139.308.150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139.823.050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133.918.534</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72,4</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color w:val="000000" w:themeColor="text1"/>
                <w:sz w:val="22"/>
                <w:szCs w:val="22"/>
              </w:rPr>
              <w:t xml:space="preserve">72,4</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76,5</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95,2</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6.695.927</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139.308.150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139.823.050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140.614.461</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4,67</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color w:val="000000" w:themeColor="text1"/>
                <w:sz w:val="22"/>
                <w:szCs w:val="22"/>
              </w:rPr>
              <w:t xml:space="preserve">4,67</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5,6</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-2.678.371</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139.308.150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139.823.050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137.936.090</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color w:val="000000"/>
                <w:sz w:val="22"/>
                <w:szCs w:val="22"/>
              </w:rPr>
            </w:pPr>
            <w:r>
              <w:rPr>
                <w:color w:val="000000" w:themeColor="text1"/>
                <w:sz w:val="22"/>
                <w:szCs w:val="22"/>
              </w:rPr>
              <w:t xml:space="preserve">139.308.150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139.823.050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ind/>
              <w:jc w:val="center"/>
              <w:rPr>
                <w:color w:val="000000"/>
                <w:sz w:val="22"/>
                <w:szCs w:val="22"/>
              </w:rPr>
            </w:pPr>
            <w:r>
              <w:rPr>
                <w:color w:val="000000" w:themeColor="text1"/>
                <w:sz w:val="22"/>
                <w:szCs w:val="22"/>
              </w:rPr>
              <w:t xml:space="preserve">137.936.090</w:t>
            </w:r>
            <w:r>
              <w:rPr>
                <w:color w:val="000000"/>
                <w:sz w:val="22"/>
                <w:szCs w:val="22"/>
              </w:rPr>
            </w:r>
            <w:r>
              <w:rPr>
                <w:color w:val="000000"/>
                <w:sz w:val="22"/>
                <w:szCs w:val="22"/>
              </w:rPr>
            </w:r>
          </w:p>
        </w:tc>
      </w:tr>
      <w:tr>
        <w:trPr>
          <w:trHeight w:val="20"/>
        </w:trPr>
        <w:tc>
          <w:tcPr>
            <w:shd w:val="clear" w:color="000000" w:fill="ffffff"/>
            <w:tcBorders/>
            <w:tcW w:w="738"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139.308.150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139.823.050</w:t>
            </w:r>
            <w:r>
              <w:rPr>
                <w:color w:val="000000"/>
                <w:sz w:val="22"/>
                <w:szCs w:val="22"/>
              </w:rPr>
            </w:r>
            <w:r>
              <w:rPr>
                <w:color w:val="000000"/>
                <w:sz w:val="22"/>
                <w:szCs w:val="22"/>
              </w:rPr>
            </w:r>
          </w:p>
        </w:tc>
        <w:tc>
          <w:tcPr>
            <w:shd w:val="clear" w:color="000000" w:fill="ffffff"/>
            <w:tcBorders/>
            <w:tcW w:w="1620"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137.936.090</w:t>
            </w:r>
            <w:r>
              <w:rPr>
                <w:color w:val="000000"/>
                <w:sz w:val="22"/>
                <w:szCs w:val="22"/>
              </w:rPr>
            </w:r>
            <w:r>
              <w:rPr>
                <w:color w:val="000000"/>
                <w:sz w:val="22"/>
                <w:szCs w:val="22"/>
              </w:rPr>
            </w:r>
          </w:p>
        </w:tc>
      </w:tr>
      <w:tr>
        <w:trPr>
          <w:trHeight w:val="20"/>
        </w:trPr>
        <w:tc>
          <w:tcPr>
            <w:shd w:val="clear" w:color="000000" w:fill="ffffff"/>
            <w:tcBorders/>
            <w:tcW w:w="738"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line="276" w:lineRule="auto"/>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139.794.503</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142.138.013</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137.936.090</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878"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139.956.202</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-0,12%</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1,56%</w:t>
            </w:r>
            <w:r>
              <w:rPr>
                <w:color w:val="000000"/>
                <w:sz w:val="22"/>
                <w:szCs w:val="22"/>
              </w:rPr>
            </w:r>
            <w:r>
              <w:rPr>
                <w:color w:val="000000"/>
                <w:sz w:val="22"/>
                <w:szCs w:val="22"/>
              </w:rPr>
            </w:r>
          </w:p>
        </w:tc>
        <w:tc>
          <w:tcPr>
            <w:shd w:val="clear" w:color="000000" w:fill="ffffff"/>
            <w:tcBorders/>
            <w:tcW w:w="1620"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-1,44%</w:t>
            </w:r>
            <w:r>
              <w:rPr>
                <w:color w:val="000000"/>
                <w:sz w:val="22"/>
                <w:szCs w:val="22"/>
              </w:rPr>
            </w:r>
            <w:r>
              <w:rPr>
                <w:color w:val="000000"/>
                <w:sz w:val="22"/>
                <w:szCs w:val="22"/>
              </w:rPr>
            </w:r>
          </w:p>
        </w:tc>
      </w:tr>
      <w:tr>
        <w:trPr>
          <w:trHeight w:val="20"/>
        </w:trPr>
        <w:tc>
          <w:tcPr>
            <w:shd w:val="clear" w:color="000000" w:fill="ffffff"/>
            <w:tcBorders/>
            <w:tcW w:w="738"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620" w:type="dxa"/>
            <w:vAlign w:val="center"/>
            <w:textDirection w:val="lrTb"/>
            <w:noWrap w:val="false"/>
          </w:tcPr>
          <w:p>
            <w:pPr>
              <w:pBdr/>
              <w:spacing/>
              <w:ind/>
              <w:jc w:val="center"/>
              <w:rPr>
                <w:b/>
                <w:bCs/>
                <w:color w:val="000000"/>
                <w:sz w:val="22"/>
                <w:szCs w:val="22"/>
              </w:rPr>
            </w:pPr>
            <w:r>
              <w:rPr>
                <w:color w:val="000000" w:themeColor="text1"/>
                <w:sz w:val="22"/>
                <w:szCs w:val="22"/>
              </w:rPr>
              <w:t xml:space="preserve">9.374.298</w:t>
            </w:r>
            <w:r>
              <w:rPr>
                <w:b/>
                <w:bCs/>
                <w:color w:val="000000"/>
                <w:sz w:val="22"/>
                <w:szCs w:val="22"/>
              </w:rPr>
            </w:r>
            <w:r>
              <w:rPr>
                <w:b/>
                <w:bCs/>
                <w:color w:val="000000"/>
                <w:sz w:val="22"/>
                <w:szCs w:val="22"/>
              </w:rPr>
            </w:r>
          </w:p>
        </w:tc>
      </w:tr>
      <w:tr>
        <w:trPr>
          <w:trHeight w:val="20"/>
        </w:trPr>
        <w:tc>
          <w:tcPr>
            <w:shd w:val="clear" w:color="000000" w:fill="ffffff"/>
            <w:tcBorders/>
            <w:tcW w:w="738"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620"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620"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738"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620"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620"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738"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638"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620"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620" w:type="dxa"/>
            <w:vAlign w:val="center"/>
            <w:textDirection w:val="lrTb"/>
            <w:noWrap/>
          </w:tcPr>
          <w:p>
            <w:pPr>
              <w:pBdr/>
              <w:spacing/>
              <w:ind/>
              <w:jc w:val="center"/>
              <w:rPr>
                <w:sz w:val="22"/>
                <w:szCs w:val="22"/>
              </w:rPr>
            </w:pPr>
            <w:r>
              <w:rPr>
                <w:color w:val="000000" w:themeColor="text1"/>
                <w:sz w:val="22"/>
                <w:szCs w:val="22"/>
              </w:rPr>
              <w:t xml:space="preserve">4.017.556</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-1,44</w:t>
      </w:r>
      <w:r>
        <w:t xml:space="preserve">% </w:t>
      </w:r>
      <w:r>
        <w:t xml:space="preserve">đến</w:t>
      </w:r>
      <w:r>
        <w:t xml:space="preserve"> </w:t>
      </w:r>
      <w:r>
        <w:t xml:space="preserve"> </w:t>
      </w:r>
      <w:r>
        <w:t xml:space="preserve">1,56</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line="288" w:lineRule="auto"/>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line="288" w:lineRule="auto"/>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line="288" w:lineRule="auto"/>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line="288" w:lineRule="auto"/>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line="288"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88"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88"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288" w:lineRule="auto"/>
              <w:ind/>
              <w:jc w:val="center"/>
              <w:rPr>
                <w:color w:val="000000"/>
              </w:rPr>
            </w:pPr>
            <w:r>
              <w:rPr>
                <w:color w:val="000000"/>
              </w:rPr>
              <w:t xml:space="preserve">139.794.503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288" w:lineRule="auto"/>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88" w:lineRule="auto"/>
              <w:ind/>
              <w:jc w:val="center"/>
              <w:rPr>
                <w:color w:val="000000"/>
              </w:rPr>
            </w:pPr>
            <w:r>
              <w:rPr>
                <w:color w:val="000000"/>
              </w:rPr>
              <w:t xml:space="preserve">48.928.076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88"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88"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288" w:lineRule="auto"/>
              <w:ind/>
              <w:jc w:val="center"/>
              <w:rPr>
                <w:color w:val="000000"/>
              </w:rPr>
            </w:pPr>
            <w:r>
              <w:rPr>
                <w:color w:val="000000"/>
              </w:rPr>
              <w:t xml:space="preserve">142.138.013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288" w:lineRule="auto"/>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88" w:lineRule="auto"/>
              <w:ind/>
              <w:jc w:val="center"/>
              <w:rPr>
                <w:color w:val="000000"/>
              </w:rPr>
            </w:pPr>
            <w:r>
              <w:rPr>
                <w:color w:val="000000"/>
              </w:rPr>
              <w:t xml:space="preserve">49.748.305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88"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88"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288" w:lineRule="auto"/>
              <w:ind/>
              <w:jc w:val="center"/>
              <w:rPr>
                <w:color w:val="000000"/>
              </w:rPr>
            </w:pPr>
            <w:r>
              <w:rPr>
                <w:color w:val="000000"/>
              </w:rPr>
              <w:t xml:space="preserve">137.936.090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288" w:lineRule="auto"/>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88" w:lineRule="auto"/>
              <w:ind/>
              <w:jc w:val="center"/>
              <w:rPr>
                <w:color w:val="000000"/>
              </w:rPr>
            </w:pPr>
            <w:r>
              <w:rPr>
                <w:color w:val="000000"/>
              </w:rPr>
              <w:t xml:space="preserve">41.380.827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288"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88" w:lineRule="auto"/>
              <w:ind/>
              <w:jc w:val="center"/>
              <w:rPr>
                <w:b/>
                <w:bCs/>
                <w:color w:val="000000"/>
              </w:rPr>
            </w:pPr>
            <w:r>
              <w:rPr>
                <w:b/>
                <w:bCs/>
                <w:color w:val="000000" w:themeColor="text1"/>
                <w:lang w:val="vi-VN"/>
              </w:rPr>
              <w:t xml:space="preserve">140.057.208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288" w:lineRule="auto"/>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88" w:lineRule="auto"/>
              <w:ind/>
              <w:jc w:val="center"/>
              <w:rPr>
                <w:b/>
                <w:bCs/>
                <w:color w:val="000000"/>
              </w:rPr>
            </w:pPr>
            <w:r>
              <w:rPr>
                <w:b/>
                <w:bCs/>
                <w:color w:val="000000" w:themeColor="text1"/>
                <w:lang w:val="vi-VN"/>
              </w:rPr>
              <w:t xml:space="preserve">142.000.000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142.000.000</w:t>
      </w:r>
      <w:r>
        <w:rPr>
          <w:b/>
          <w:bCs/>
          <w:color w:val="000000" w:themeColor="text1"/>
        </w:rPr>
        <w:t xml:space="preserve"> </w:t>
      </w:r>
      <w:r>
        <w:rPr>
          <w:b/>
          <w:bCs/>
        </w:rPr>
        <w:t xml:space="preserve">đồng</w:t>
      </w:r>
      <w:r>
        <w:rPr>
          <w:b/>
          <w:bCs/>
        </w:rPr>
        <w:t xml:space="preserve">/m².</w:t>
      </w:r>
      <w:r>
        <w:rPr>
          <w:b/>
          <w:bCs/>
        </w:rPr>
      </w:r>
      <w:r>
        <w:rPr>
          <w:b/>
          <w:bCs/>
        </w:rPr>
      </w:r>
    </w:p>
    <w:p>
      <w:pPr>
        <w:pStyle w:val="1035"/>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r>
        <w:rPr>
          <w:b/>
          <w:bCs/>
        </w:rPr>
      </w:r>
    </w:p>
    <w:p>
      <w:pPr>
        <w:numPr>
          <w:ilvl w:val="0"/>
          <w:numId w:val="40"/>
        </w:numPr>
        <w:pBdr>
          <w:top w:val="none" w:color="000000" w:sz="4" w:space="0"/>
          <w:left w:val="none" w:color="000000" w:sz="4" w:space="0"/>
          <w:bottom w:val="none" w:color="000000" w:sz="4" w:space="0"/>
          <w:right w:val="none" w:color="000000" w:sz="4" w:space="0"/>
        </w:pBdr>
        <w:spacing w:after="120" w:before="120" w:line="300" w:lineRule="auto"/>
        <w:ind w:right="0" w:hanging="360" w:left="360"/>
        <w:jc w:val="both"/>
        <w:rPr/>
      </w:pPr>
      <w:r>
        <w:rPr>
          <w:rFonts w:ascii="Times New Roman" w:hAnsi="Times New Roman" w:eastAsia="Times New Roman" w:cs="Times New Roman"/>
          <w:b/>
          <w:i/>
          <w:color w:val="000000"/>
          <w:sz w:val="24"/>
        </w:rPr>
        <w:t xml:space="preserve">Xác định đơn giá xây mới của công trình xây dựng trên đất:</w:t>
      </w:r>
      <w:r/>
    </w:p>
    <w:p>
      <w:pPr>
        <w:pBdr>
          <w:top w:val="none" w:color="000000" w:sz="4" w:space="0"/>
          <w:left w:val="none" w:color="000000" w:sz="4" w:space="0"/>
          <w:bottom w:val="none" w:color="000000" w:sz="4" w:space="0"/>
          <w:right w:val="none" w:color="000000" w:sz="4" w:space="0"/>
        </w:pBdr>
        <w:spacing w:after="120" w:before="120" w:line="300" w:lineRule="auto"/>
        <w:ind w:right="0" w:firstLine="425"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cân nhắc và xem xét với mức độ hoàn thiện của công trình xây dựng hiện có, tổ thẩm định nhận thấy đơn giá vận dụng theo Quyết định số 409/QĐ-BXD của Bộ Xây dựng về</w:t>
      </w:r>
      <w:r>
        <w:rPr>
          <w:rFonts w:ascii="Times New Roman" w:hAnsi="Times New Roman" w:eastAsia="Times New Roman" w:cs="Times New Roman"/>
          <w:color w:val="000000"/>
          <w:sz w:val="24"/>
        </w:rPr>
        <w:t xml:space="preserve"> việc công bố suất vốn đầu tư xây dựng và giá xây dựng tổng hợp bộ phận kết cấu công trình năm 2024 là khá phù hợp với thị trường, theo đó: </w:t>
      </w:r>
      <w:r/>
    </w:p>
    <w:p>
      <w:pPr>
        <w:pBdr>
          <w:top w:val="none" w:color="000000" w:sz="4" w:space="0"/>
          <w:left w:val="none" w:color="000000" w:sz="4" w:space="0"/>
          <w:bottom w:val="none" w:color="000000" w:sz="4" w:space="0"/>
          <w:right w:val="none" w:color="000000" w:sz="4" w:space="0"/>
        </w:pBdr>
        <w:spacing w:after="120" w:before="120" w:line="300" w:lineRule="auto"/>
        <w:ind w:right="0" w:firstLine="425" w:left="0"/>
        <w:jc w:val="both"/>
        <w:rPr>
          <w:rFonts w:ascii="Times New Roman" w:hAnsi="Times New Roman" w:eastAsia="Times New Roman" w:cs="Times New Roman"/>
          <w:sz w:val="24"/>
        </w:rPr>
      </w:pPr>
      <w:r>
        <w:rPr>
          <w:rFonts w:ascii="Times New Roman" w:hAnsi="Times New Roman" w:eastAsia="Times New Roman" w:cs="Times New Roman"/>
          <w:i/>
          <w:iCs/>
          <w:color w:val="000000"/>
          <w:sz w:val="24"/>
          <w:szCs w:val="24"/>
        </w:rPr>
        <w:t xml:space="preserve">Mã</w:t>
      </w:r>
      <w:r>
        <w:rPr>
          <w:rFonts w:ascii="Times New Roman" w:hAnsi="Times New Roman" w:eastAsia="Times New Roman" w:cs="Times New Roman"/>
          <w:i/>
          <w:iCs/>
          <w:color w:val="000000"/>
          <w:sz w:val="24"/>
          <w:szCs w:val="24"/>
        </w:rPr>
        <w:t xml:space="preserve"> số </w:t>
      </w:r>
      <w:r>
        <w:rPr>
          <w:rFonts w:ascii="Times New Roman" w:hAnsi="Times New Roman" w:eastAsia="Times New Roman" w:cs="Times New Roman"/>
          <w:i/>
          <w:iCs/>
          <w:color w:val="000000"/>
          <w:sz w:val="24"/>
          <w:szCs w:val="24"/>
        </w:rPr>
        <w:t xml:space="preserve">11120.01</w:t>
      </w:r>
      <w:r>
        <w:rPr>
          <w:rFonts w:ascii="Times New Roman" w:hAnsi="Times New Roman" w:eastAsia="Times New Roman" w:cs="Times New Roman"/>
          <w:i/>
          <w:iCs/>
          <w:color w:val="000000"/>
          <w:sz w:val="24"/>
          <w:szCs w:val="24"/>
        </w:rPr>
        <w:t xml:space="preserve">:</w:t>
      </w:r>
      <w:r>
        <w:rPr>
          <w:rFonts w:ascii="Times New Roman" w:hAnsi="Times New Roman" w:eastAsia="Times New Roman" w:cs="Times New Roman"/>
          <w:i/>
          <w:iCs/>
          <w:color w:val="000000"/>
          <w:sz w:val="24"/>
          <w:szCs w:val="24"/>
        </w:rPr>
        <w:t xml:space="preserve"> “</w:t>
      </w:r>
      <w:r>
        <w:rPr>
          <w:rFonts w:ascii="Times New Roman" w:hAnsi="Times New Roman" w:eastAsia="Times New Roman" w:cs="Times New Roman"/>
          <w:i/>
          <w:iCs/>
          <w:color w:val="000000"/>
          <w:sz w:val="24"/>
          <w:szCs w:val="24"/>
        </w:rPr>
        <w:t xml:space="preserve">Suấ</w:t>
      </w:r>
      <w:r>
        <w:rPr>
          <w:rFonts w:ascii="Times New Roman" w:hAnsi="Times New Roman" w:eastAsia="Times New Roman" w:cs="Times New Roman"/>
          <w:i/>
          <w:color w:val="000000"/>
          <w:sz w:val="24"/>
        </w:rPr>
        <w:t xml:space="preserve">t vốn xây dựng</w:t>
      </w:r>
      <w:r>
        <w:rPr>
          <w:rFonts w:ascii="Times New Roman" w:hAnsi="Times New Roman" w:eastAsia="Times New Roman" w:cs="Times New Roman"/>
          <w:i/>
          <w:iCs/>
          <w:color w:val="000000"/>
          <w:sz w:val="24"/>
          <w:szCs w:val="24"/>
        </w:rPr>
        <w:t xml:space="preserve"> </w:t>
      </w:r>
      <w:r>
        <w:rPr>
          <w:rFonts w:ascii="Times New Roman" w:hAnsi="Times New Roman" w:eastAsia="Times New Roman" w:cs="Times New Roman"/>
          <w:i/>
          <w:iCs/>
          <w:color w:val="000000"/>
          <w:sz w:val="24"/>
          <w:szCs w:val="24"/>
        </w:rPr>
        <w:t xml:space="preserve">Nhà 1 tầng, căn hộ khép kín, kết cấu tường gạch chịu lực, mái tôn</w:t>
      </w:r>
      <w:r>
        <w:rPr>
          <w:rFonts w:ascii="Times New Roman" w:hAnsi="Times New Roman" w:eastAsia="Times New Roman" w:cs="Times New Roman"/>
          <w:i/>
          <w:color w:val="000000"/>
          <w:sz w:val="24"/>
        </w:rPr>
        <w:t xml:space="preserve"> là 8.350.000 đồng/m² (bao gồm VAT); hệ số điều chỉnh Vùng 3 – Quảng Nam: 1,032”</w:t>
      </w:r>
      <w:r>
        <w:rPr>
          <w:rFonts w:ascii="Times New Roman" w:hAnsi="Times New Roman" w:eastAsia="Times New Roman" w:cs="Times New Roman"/>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highlight w:val="white"/>
        </w:rPr>
      </w:pPr>
      <w:r>
        <w:rPr>
          <w:rFonts w:ascii="Times New Roman" w:hAnsi="Times New Roman" w:eastAsia="Times New Roman" w:cs="Times New Roman"/>
          <w:color w:val="000000"/>
          <w:sz w:val="24"/>
        </w:rPr>
        <w:t xml:space="preserve">Do đó, Tổ thẩm định ước tính đơn giá xây dựng mới của công trình nhà 1 tầng  hoàn thiện là: </w:t>
      </w:r>
      <w:r>
        <w:rPr>
          <w:rFonts w:ascii="Times New Roman" w:hAnsi="Times New Roman" w:eastAsia="Times New Roman" w:cs="Times New Roman"/>
          <w:b/>
          <w:color w:val="000000"/>
          <w:sz w:val="24"/>
        </w:rPr>
        <w:t xml:space="preserve">5.184.000</w:t>
      </w:r>
      <w:r>
        <w:rPr>
          <w:rFonts w:ascii="Times New Roman" w:hAnsi="Times New Roman" w:eastAsia="Times New Roman" w:cs="Times New Roman"/>
          <w:b/>
          <w:i/>
          <w:color w:val="000000"/>
          <w:sz w:val="24"/>
        </w:rPr>
        <w:t xml:space="preserve"> </w:t>
      </w:r>
      <w:r>
        <w:rPr>
          <w:rFonts w:ascii="Times New Roman" w:hAnsi="Times New Roman" w:eastAsia="Times New Roman" w:cs="Times New Roman"/>
          <w:b/>
          <w:color w:val="000000"/>
          <w:sz w:val="24"/>
        </w:rPr>
        <w:t xml:space="preserve">x</w:t>
      </w:r>
      <w:r>
        <w:rPr>
          <w:rFonts w:ascii="Times New Roman" w:hAnsi="Times New Roman" w:eastAsia="Times New Roman" w:cs="Times New Roman"/>
          <w:b/>
          <w:color w:val="000000"/>
          <w:sz w:val="24"/>
          <w:highlight w:val="white"/>
        </w:rPr>
        <w:t xml:space="preserve"> 1</w:t>
      </w:r>
      <w:r>
        <w:rPr>
          <w:rFonts w:ascii="Times New Roman" w:hAnsi="Times New Roman" w:eastAsia="Times New Roman" w:cs="Times New Roman"/>
          <w:b/>
          <w:color w:val="000000"/>
          <w:sz w:val="24"/>
          <w:highlight w:val="white"/>
        </w:rPr>
        <w:t xml:space="preserve">,032</w:t>
      </w:r>
      <w:r>
        <w:rPr>
          <w:rFonts w:ascii="Times New Roman" w:hAnsi="Times New Roman" w:eastAsia="Times New Roman" w:cs="Times New Roman"/>
          <w:b/>
          <w:color w:val="000000"/>
          <w:sz w:val="24"/>
          <w:highlight w:val="white"/>
        </w:rPr>
        <w:t xml:space="preserve">/1,1 = 4.863.535 đồng/m².</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p>
      <w:pPr>
        <w:numPr>
          <w:ilvl w:val="0"/>
          <w:numId w:val="40"/>
        </w:numPr>
        <w:pBdr>
          <w:top w:val="none" w:color="000000" w:sz="4" w:space="0"/>
          <w:left w:val="none" w:color="000000" w:sz="4" w:space="0"/>
          <w:bottom w:val="none" w:color="000000" w:sz="4" w:space="0"/>
          <w:right w:val="none" w:color="000000" w:sz="4" w:space="0"/>
        </w:pBdr>
        <w:spacing w:after="120" w:before="120" w:line="300" w:lineRule="auto"/>
        <w:ind/>
        <w:jc w:val="both"/>
        <w:rPr>
          <w:rFonts w:ascii="Times New Roman" w:hAnsi="Times New Roman" w:eastAsia="Times New Roman" w:cs="Times New Roman"/>
          <w:sz w:val="24"/>
        </w:rPr>
      </w:pPr>
      <w:r>
        <w:rPr>
          <w:rFonts w:ascii="Times New Roman" w:hAnsi="Times New Roman" w:eastAsia="Times New Roman" w:cs="Times New Roman"/>
          <w:b/>
          <w:i/>
          <w:color w:val="000000"/>
          <w:sz w:val="24"/>
          <w:highlight w:val="white"/>
        </w:rPr>
        <w:t xml:space="preserve">Xác đ</w:t>
      </w:r>
      <w:r>
        <w:rPr>
          <w:rFonts w:ascii="Times New Roman" w:hAnsi="Times New Roman" w:eastAsia="Times New Roman" w:cs="Times New Roman"/>
          <w:b/>
          <w:i/>
          <w:color w:val="000000"/>
          <w:sz w:val="24"/>
          <w:highlight w:val="white"/>
        </w:rPr>
        <w:t xml:space="preserve">ịnh g</w:t>
      </w:r>
      <w:r>
        <w:rPr>
          <w:rFonts w:ascii="Times New Roman" w:hAnsi="Times New Roman" w:eastAsia="Times New Roman" w:cs="Times New Roman"/>
          <w:b/>
          <w:i/>
          <w:color w:val="000000"/>
          <w:sz w:val="24"/>
          <w:highlight w:val="white"/>
        </w:rPr>
        <w:t xml:space="preserve">iá trị h</w:t>
      </w:r>
      <w:r>
        <w:rPr>
          <w:rFonts w:ascii="Times New Roman" w:hAnsi="Times New Roman" w:eastAsia="Times New Roman" w:cs="Times New Roman"/>
          <w:b/>
          <w:i/>
          <w:color w:val="000000"/>
          <w:sz w:val="24"/>
        </w:rPr>
        <w:t xml:space="preserve">ao mòn theo kỹ thuật tuổi đời:</w:t>
      </w:r>
      <w:r>
        <w:rPr>
          <w:rFonts w:ascii="Times New Roman" w:hAnsi="Times New Roman" w:eastAsia="Times New Roman" w:cs="Times New Roman"/>
          <w:sz w:val="24"/>
        </w:rP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color w:val="000000"/>
          <w:sz w:val="24"/>
        </w:rPr>
        <w:t xml:space="preserve">Tài sản thẩm định là công trình nhà 1 tầng đã được xây dựng và hoàn thiện tuy nhiên chủ sở hữu tài sản không xác định được thời gian h</w:t>
      </w:r>
      <w:r>
        <w:rPr>
          <w:rFonts w:ascii="Times New Roman" w:hAnsi="Times New Roman" w:eastAsia="Times New Roman" w:cs="Times New Roman"/>
          <w:color w:val="000000"/>
          <w:sz w:val="24"/>
        </w:rPr>
        <w:t xml:space="preserve">oàn thiện. Đồng thời, tổ thẩm định không nhận được hồ sơ pháp lý nào liên quan đến thời điểm hoàn thiện đưa vào sử dụng của công trình xây dựng. Do đó, tổ thẩm định  xác định tỷ lệ CLCL của công trình xây dựng theo phương pháp chuyên gia, cụ thể như sau:  </w:t>
      </w: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69"/>
        <w:gridCol w:w="4006"/>
        <w:gridCol w:w="650"/>
        <w:gridCol w:w="730"/>
        <w:gridCol w:w="729"/>
        <w:gridCol w:w="643"/>
        <w:gridCol w:w="642"/>
        <w:gridCol w:w="642"/>
        <w:gridCol w:w="918"/>
      </w:tblGrid>
      <w:tr>
        <w:trPr>
          <w:trHeight w:val="418"/>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69"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b/>
                <w:color w:val="000000"/>
                <w:sz w:val="22"/>
              </w:rPr>
              <w:t xml:space="preserve">STT</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006"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b/>
                <w:color w:val="000000"/>
                <w:sz w:val="22"/>
              </w:rPr>
              <w:t xml:space="preserve">Nhà 1 tầng</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0"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i/>
                <w:color w:val="000000"/>
                <w:sz w:val="22"/>
              </w:rPr>
              <w:t xml:space="preserve">Móng</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30"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i/>
                <w:color w:val="000000"/>
                <w:sz w:val="22"/>
              </w:rPr>
              <w:t xml:space="preserve">Khung cột</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29"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i/>
                <w:color w:val="000000"/>
                <w:sz w:val="22"/>
              </w:rPr>
              <w:t xml:space="preserve">Tường</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43"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i/>
                <w:color w:val="000000"/>
                <w:sz w:val="22"/>
              </w:rPr>
              <w:t xml:space="preserve">Nền, sàn</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42"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i/>
                <w:color w:val="000000"/>
                <w:sz w:val="22"/>
              </w:rPr>
              <w:t xml:space="preserve">Đỡ mái</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42"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i/>
                <w:color w:val="000000"/>
                <w:sz w:val="22"/>
              </w:rPr>
              <w:t xml:space="preserve">Mái</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18"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b/>
                <w:color w:val="000000"/>
                <w:sz w:val="22"/>
              </w:rPr>
              <w:t xml:space="preserve">Tỷ lệ CLCL</w:t>
            </w:r>
            <w:r/>
          </w:p>
        </w:tc>
      </w:tr>
      <w:tr>
        <w:trPr>
          <w:trHeight w:val="28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69" w:type="dxa"/>
            <w:vAlign w:val="center"/>
            <w:textDirection w:val="lrTb"/>
            <w:noWrap w:val="false"/>
          </w:tcPr>
          <w:p>
            <w:pPr>
              <w:pBdr/>
              <w:spacing w:after="0" w:afterAutospacing="0" w:before="0" w:beforeAutospacing="0" w:line="216" w:lineRule="auto"/>
              <w:ind/>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006" w:type="dxa"/>
            <w:vAlign w:val="center"/>
            <w:textDirection w:val="lrTb"/>
            <w:noWrap w:val="false"/>
          </w:tcPr>
          <w:p>
            <w:pPr>
              <w:pBdr/>
              <w:spacing w:after="0" w:afterAutospacing="0" w:before="0" w:beforeAutospacing="0" w:line="216" w:lineRule="auto"/>
              <w:ind/>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0"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b/>
                <w:i/>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30"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b/>
                <w:i/>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29"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b/>
                <w:i/>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43"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b/>
                <w:i/>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42"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b/>
                <w:i/>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42"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b/>
                <w:i/>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18"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b/>
                <w:i/>
                <w:color w:val="000000"/>
                <w:sz w:val="22"/>
              </w:rPr>
              <w:t xml:space="preserve">60,2%</w:t>
            </w:r>
            <w:r/>
          </w:p>
        </w:tc>
      </w:tr>
      <w:tr>
        <w:trPr>
          <w:trHeight w:val="28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69"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006" w:type="dxa"/>
            <w:vAlign w:val="center"/>
            <w:textDirection w:val="lrTb"/>
            <w:noWrap w:val="false"/>
          </w:tcPr>
          <w:p>
            <w:pPr>
              <w:pBdr/>
              <w:spacing w:after="0" w:afterAutospacing="0" w:before="0" w:beforeAutospacing="0" w:line="216" w:lineRule="auto"/>
              <w:ind/>
              <w:rPr/>
            </w:pPr>
            <w:r>
              <w:rPr>
                <w:rFonts w:ascii="Times New Roman" w:hAnsi="Times New Roman" w:eastAsia="Times New Roman" w:cs="Times New Roman"/>
                <w:i/>
                <w:color w:val="000000"/>
                <w:sz w:val="22"/>
              </w:rPr>
              <w:t xml:space="preserve">- Tỉ trọng kết cấu</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0"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30"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color w:val="000000"/>
                <w:sz w:val="22"/>
              </w:rPr>
              <w:t xml:space="preserve">0%</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29"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color w:val="000000"/>
                <w:sz w:val="22"/>
              </w:rPr>
              <w:t xml:space="preserve">18%</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43"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42"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42"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color w:val="000000"/>
                <w:sz w:val="22"/>
              </w:rPr>
              <w:t xml:space="preserve">17%</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18"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color w:val="000000"/>
                <w:sz w:val="22"/>
              </w:rPr>
              <w:t xml:space="preserve"> </w:t>
            </w:r>
            <w:r/>
          </w:p>
        </w:tc>
      </w:tr>
      <w:tr>
        <w:trPr>
          <w:trHeight w:val="28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69"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006" w:type="dxa"/>
            <w:vAlign w:val="center"/>
            <w:textDirection w:val="lrTb"/>
            <w:noWrap w:val="false"/>
          </w:tcPr>
          <w:p>
            <w:pPr>
              <w:pBdr/>
              <w:spacing w:after="0" w:afterAutospacing="0" w:before="0" w:beforeAutospacing="0" w:line="216" w:lineRule="auto"/>
              <w:ind/>
              <w:rPr/>
            </w:pPr>
            <w:r>
              <w:rPr>
                <w:rFonts w:ascii="Times New Roman" w:hAnsi="Times New Roman" w:eastAsia="Times New Roman" w:cs="Times New Roman"/>
                <w:i/>
                <w:color w:val="000000"/>
                <w:sz w:val="22"/>
              </w:rPr>
              <w:t xml:space="preserve">- Chất lượng còn lại</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0"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color w:val="000000"/>
                <w:sz w:val="22"/>
              </w:rPr>
              <w:t xml:space="preserve">61%</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30"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color w:val="000000"/>
                <w:sz w:val="22"/>
              </w:rPr>
              <w:t xml:space="preserve">0%</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29"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color w:val="000000"/>
                <w:sz w:val="22"/>
              </w:rPr>
              <w:t xml:space="preserve">60%</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43"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color w:val="000000"/>
                <w:sz w:val="22"/>
              </w:rPr>
              <w:t xml:space="preserve">60%</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42"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color w:val="000000"/>
                <w:sz w:val="22"/>
              </w:rPr>
              <w:t xml:space="preserve">60%</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42"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color w:val="000000"/>
                <w:sz w:val="22"/>
              </w:rPr>
              <w:t xml:space="preserve">60%</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18" w:type="dxa"/>
            <w:vAlign w:val="center"/>
            <w:textDirection w:val="lrTb"/>
            <w:noWrap w:val="false"/>
          </w:tcPr>
          <w:p>
            <w:pPr>
              <w:pBdr/>
              <w:spacing w:after="0" w:afterAutospacing="0" w:before="0" w:beforeAutospacing="0" w:line="216" w:lineRule="auto"/>
              <w:ind/>
              <w:jc w:val="center"/>
              <w:rPr/>
            </w:pPr>
            <w:r>
              <w:rPr>
                <w:rFonts w:ascii="Times New Roman" w:hAnsi="Times New Roman" w:eastAsia="Times New Roman" w:cs="Times New Roman"/>
                <w:color w:val="000000"/>
                <w:sz w:val="22"/>
              </w:rPr>
              <w:t xml:space="preserve"> </w:t>
            </w:r>
            <w:r/>
          </w:p>
        </w:tc>
      </w:tr>
    </w:tbl>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12"/>
        </w:rPr>
        <w:t xml:space="preserve"> </w:t>
      </w:r>
      <w:r/>
    </w:p>
    <w:p>
      <w:pPr>
        <w:pBdr>
          <w:top w:val="none" w:color="000000" w:sz="4" w:space="0"/>
          <w:left w:val="none" w:color="000000" w:sz="4" w:space="0"/>
          <w:bottom w:val="none" w:color="000000" w:sz="4" w:space="0"/>
          <w:right w:val="none" w:color="000000" w:sz="4" w:space="0"/>
        </w:pBdr>
        <w:spacing w:after="120" w:before="120" w:line="300" w:lineRule="auto"/>
        <w:ind w:right="0" w:firstLine="0" w:left="0"/>
        <w:jc w:val="both"/>
        <w:rPr/>
      </w:pPr>
      <w:r>
        <w:rPr>
          <w:rFonts w:ascii="Times New Roman" w:hAnsi="Times New Roman" w:eastAsia="Times New Roman" w:cs="Times New Roman"/>
          <w:color w:val="000000"/>
          <w:sz w:val="24"/>
        </w:rPr>
        <w:t xml:space="preserve">Tổ thẩm định xác định tỉ lệ hao mòn của tài sản thẩm định là: 39,8</w:t>
      </w:r>
      <w:r>
        <w:rPr>
          <w:rFonts w:ascii="Times New Roman" w:hAnsi="Times New Roman" w:eastAsia="Times New Roman" w:cs="Times New Roman"/>
          <w:color w:val="000000"/>
          <w:sz w:val="24"/>
        </w:rPr>
        <w:t xml:space="preserve">%, tương đương tỷ lệ chất lượng còn lại của tài sản là: </w:t>
      </w:r>
      <w:r>
        <w:rPr>
          <w:rFonts w:ascii="Times New Roman" w:hAnsi="Times New Roman" w:eastAsia="Times New Roman" w:cs="Times New Roman"/>
          <w:b/>
          <w:color w:val="000000"/>
          <w:sz w:val="24"/>
        </w:rPr>
        <w:t xml:space="preserve">60,2%.</w:t>
      </w:r>
      <w:r>
        <w:rPr>
          <w:rFonts w:ascii="Times New Roman" w:hAnsi="Times New Roman" w:eastAsia="Times New Roman" w:cs="Times New Roman"/>
          <w:color w:val="000000"/>
          <w:sz w:val="22"/>
        </w:rPr>
        <w:t xml:space="preserve">   </w:t>
      </w:r>
      <w:r/>
    </w:p>
    <w:p>
      <w:pPr>
        <w:numPr>
          <w:ilvl w:val="0"/>
          <w:numId w:val="40"/>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b/>
          <w:i/>
          <w:color w:val="000000"/>
          <w:sz w:val="24"/>
        </w:rPr>
        <w:t xml:space="preserve">Xác định giá trị của công trình xây dựng trên đất:</w:t>
      </w: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1838"/>
        <w:gridCol w:w="1271"/>
        <w:gridCol w:w="1998"/>
        <w:gridCol w:w="1416"/>
        <w:gridCol w:w="1559"/>
        <w:gridCol w:w="1543"/>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3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afterAutospacing="1" w:before="0" w:beforeAutospacing="0" w:line="216" w:lineRule="auto"/>
              <w:ind w:right="0" w:firstLine="0" w:left="0"/>
              <w:jc w:val="center"/>
              <w:rPr/>
            </w:pPr>
            <w:r>
              <w:rPr>
                <w:rFonts w:ascii="Times New Roman" w:hAnsi="Times New Roman" w:eastAsia="Times New Roman" w:cs="Times New Roman"/>
                <w:b/>
                <w:color w:val="000000"/>
                <w:sz w:val="24"/>
              </w:rPr>
              <w:t xml:space="preserve">Tên công trình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afterAutospacing="1" w:before="0" w:beforeAutospacing="0" w:line="216" w:lineRule="auto"/>
              <w:ind w:right="0" w:firstLine="0" w:left="0"/>
              <w:jc w:val="center"/>
              <w:rPr/>
            </w:pPr>
            <w:r>
              <w:rPr>
                <w:rFonts w:ascii="Times New Roman" w:hAnsi="Times New Roman" w:eastAsia="Times New Roman" w:cs="Times New Roman"/>
                <w:b/>
                <w:color w:val="000000"/>
                <w:sz w:val="24"/>
              </w:rPr>
              <w:t xml:space="preserve">Diện tích sàn (m²)</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afterAutospacing="1" w:before="0" w:beforeAutospacing="0" w:line="216" w:lineRule="auto"/>
              <w:ind w:right="0" w:firstLine="0" w:left="0"/>
              <w:jc w:val="center"/>
              <w:rPr/>
            </w:pPr>
            <w:r>
              <w:rPr>
                <w:rFonts w:ascii="Times New Roman" w:hAnsi="Times New Roman" w:eastAsia="Times New Roman" w:cs="Times New Roman"/>
                <w:b/>
                <w:color w:val="000000"/>
                <w:sz w:val="24"/>
              </w:rPr>
              <w:t xml:space="preserve"> Đơn giá XD mới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b/>
                <w:color w:val="000000"/>
                <w:sz w:val="24"/>
              </w:rPr>
              <w:t xml:space="preserve">)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416" w:type="dxa"/>
            <w:vAlign w:val="top"/>
            <w:textDirection w:val="lrTb"/>
            <w:noWrap w:val="false"/>
          </w:tcPr>
          <w:p>
            <w:pPr>
              <w:pBdr>
                <w:top w:val="none" w:color="000000" w:sz="4" w:space="0"/>
                <w:left w:val="none" w:color="000000" w:sz="4" w:space="0"/>
                <w:bottom w:val="none" w:color="000000" w:sz="4" w:space="0"/>
                <w:right w:val="none" w:color="000000" w:sz="4" w:space="0"/>
              </w:pBdr>
              <w:spacing w:after="0" w:afterAutospacing="1" w:before="0" w:beforeAutospacing="0" w:line="216" w:lineRule="auto"/>
              <w:ind w:right="0" w:firstLine="0" w:left="0"/>
              <w:jc w:val="center"/>
              <w:rPr/>
            </w:pPr>
            <w:r>
              <w:rPr>
                <w:rFonts w:ascii="Times New Roman" w:hAnsi="Times New Roman" w:eastAsia="Times New Roman" w:cs="Times New Roman"/>
                <w:b/>
                <w:color w:val="000000"/>
                <w:sz w:val="24"/>
              </w:rPr>
              <w:t xml:space="preserve">Chi phí thay thế (đồng)</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afterAutospacing="1" w:before="0" w:beforeAutospacing="0" w:line="216" w:lineRule="auto"/>
              <w:ind w:right="0" w:firstLine="0" w:left="0"/>
              <w:jc w:val="center"/>
              <w:rPr/>
            </w:pPr>
            <w:r>
              <w:rPr>
                <w:rFonts w:ascii="Times New Roman" w:hAnsi="Times New Roman" w:eastAsia="Times New Roman" w:cs="Times New Roman"/>
                <w:b/>
                <w:color w:val="000000"/>
                <w:sz w:val="24"/>
              </w:rPr>
              <w:t xml:space="preserve">Giá trị hao mòn (Đồng)</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afterAutospacing="1" w:before="0" w:beforeAutospacing="0" w:line="216" w:lineRule="auto"/>
              <w:ind w:right="0" w:firstLine="0" w:left="0"/>
              <w:jc w:val="center"/>
              <w:rPr/>
            </w:pPr>
            <w:r>
              <w:rPr>
                <w:rFonts w:ascii="Times New Roman" w:hAnsi="Times New Roman" w:eastAsia="Times New Roman" w:cs="Times New Roman"/>
                <w:b/>
                <w:color w:val="000000"/>
                <w:sz w:val="24"/>
              </w:rPr>
              <w:t xml:space="preserve">Giá trị thẩm định (Đồng)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83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afterAutospacing="1" w:before="0" w:beforeAutospacing="0" w:line="216" w:lineRule="auto"/>
              <w:ind w:right="0" w:firstLine="0" w:left="0"/>
              <w:jc w:val="center"/>
              <w:rPr/>
            </w:pPr>
            <w:r>
              <w:rPr>
                <w:rFonts w:ascii="Times New Roman" w:hAnsi="Times New Roman" w:eastAsia="Times New Roman" w:cs="Times New Roman"/>
                <w:b/>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afterAutospacing="1" w:before="0" w:beforeAutospacing="0" w:line="216" w:lineRule="auto"/>
              <w:ind w:right="0" w:firstLine="0" w:left="0"/>
              <w:jc w:val="center"/>
              <w:rPr/>
            </w:pPr>
            <w:r>
              <w:rPr>
                <w:rFonts w:ascii="Times New Roman" w:hAnsi="Times New Roman" w:eastAsia="Times New Roman" w:cs="Times New Roman"/>
                <w:b/>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afterAutospacing="1" w:before="0" w:beforeAutospacing="0" w:line="216" w:lineRule="auto"/>
              <w:ind w:right="0" w:firstLine="0" w:left="0"/>
              <w:jc w:val="center"/>
              <w:rPr/>
            </w:pPr>
            <w:r>
              <w:rPr>
                <w:rFonts w:ascii="Times New Roman" w:hAnsi="Times New Roman" w:eastAsia="Times New Roman" w:cs="Times New Roman"/>
                <w:b/>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416" w:type="dxa"/>
            <w:vAlign w:val="top"/>
            <w:textDirection w:val="lrTb"/>
            <w:noWrap w:val="false"/>
          </w:tcPr>
          <w:p>
            <w:pPr>
              <w:pBdr>
                <w:top w:val="none" w:color="000000" w:sz="4" w:space="0"/>
                <w:left w:val="none" w:color="000000" w:sz="4" w:space="0"/>
                <w:bottom w:val="none" w:color="000000" w:sz="4" w:space="0"/>
                <w:right w:val="none" w:color="000000" w:sz="4" w:space="0"/>
              </w:pBdr>
              <w:spacing w:after="0" w:afterAutospacing="1" w:before="0" w:beforeAutospacing="0" w:line="216" w:lineRule="auto"/>
              <w:ind w:right="0" w:firstLine="0" w:left="0"/>
              <w:jc w:val="center"/>
              <w:rPr/>
            </w:pPr>
            <w:r>
              <w:rPr>
                <w:rFonts w:ascii="Times New Roman" w:hAnsi="Times New Roman" w:eastAsia="Times New Roman" w:cs="Times New Roman"/>
                <w:b/>
                <w:color w:val="000000"/>
                <w:sz w:val="24"/>
              </w:rPr>
              <w:t xml:space="preserve">(3)=1x(2)</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afterAutospacing="1" w:before="0" w:beforeAutospacing="0" w:line="216" w:lineRule="auto"/>
              <w:ind w:right="0" w:firstLine="0" w:left="0"/>
              <w:jc w:val="center"/>
              <w:rPr/>
            </w:pPr>
            <w:r>
              <w:rPr>
                <w:rFonts w:ascii="Times New Roman" w:hAnsi="Times New Roman" w:eastAsia="Times New Roman" w:cs="Times New Roman"/>
                <w:b/>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afterAutospacing="1" w:before="0" w:beforeAutospacing="0" w:line="216" w:lineRule="auto"/>
              <w:ind w:right="0" w:firstLine="0" w:left="0"/>
              <w:jc w:val="center"/>
              <w:rPr/>
            </w:pPr>
            <w:r>
              <w:rPr>
                <w:rFonts w:ascii="Times New Roman" w:hAnsi="Times New Roman" w:eastAsia="Times New Roman" w:cs="Times New Roman"/>
                <w:b/>
                <w:color w:val="000000"/>
                <w:sz w:val="24"/>
              </w:rPr>
              <w:t xml:space="preserve">(5)=(3)-(4)</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838" w:type="dxa"/>
            <w:vAlign w:val="center"/>
            <w:textDirection w:val="lrTb"/>
            <w:noWrap/>
          </w:tcPr>
          <w:p>
            <w:pPr>
              <w:pBdr>
                <w:top w:val="none" w:color="000000" w:sz="4" w:space="0"/>
                <w:left w:val="none" w:color="000000" w:sz="4" w:space="0"/>
                <w:bottom w:val="none" w:color="000000" w:sz="4" w:space="0"/>
                <w:right w:val="none" w:color="000000" w:sz="4" w:space="0"/>
              </w:pBdr>
              <w:spacing w:after="0" w:afterAutospacing="1" w:before="0" w:beforeAutospacing="0" w:line="216" w:lineRule="auto"/>
              <w:ind w:right="0" w:firstLine="0" w:left="0"/>
              <w:jc w:val="both"/>
              <w:rPr/>
            </w:pPr>
            <w:r>
              <w:rPr>
                <w:rFonts w:ascii="Times New Roman" w:hAnsi="Times New Roman" w:eastAsia="Times New Roman" w:cs="Times New Roman"/>
                <w:color w:val="000000"/>
                <w:sz w:val="24"/>
              </w:rPr>
              <w:t xml:space="preserve">CTXD</w:t>
            </w:r>
            <w:r/>
          </w:p>
        </w:tc>
        <w:tc>
          <w:tcPr>
            <w:tcBorders>
              <w:bottom w:val="single" w:color="000000" w:sz="8" w:space="0"/>
              <w:right w:val="single" w:color="000000" w:sz="8" w:space="0"/>
            </w:tcBorders>
            <w:tcMar>
              <w:left w:w="108" w:type="dxa"/>
              <w:top w:w="0" w:type="dxa"/>
              <w:right w:w="108" w:type="dxa"/>
              <w:bottom w:w="0" w:type="dxa"/>
            </w:tcMar>
            <w:tcW w:w="1271" w:type="dxa"/>
            <w:vAlign w:val="top"/>
            <w:textDirection w:val="lrTb"/>
            <w:noWrap/>
          </w:tcPr>
          <w:p>
            <w:pPr>
              <w:pBdr>
                <w:top w:val="none" w:color="000000" w:sz="4" w:space="0"/>
                <w:left w:val="none" w:color="000000" w:sz="4" w:space="0"/>
                <w:bottom w:val="none" w:color="000000" w:sz="4" w:space="0"/>
                <w:right w:val="none" w:color="000000" w:sz="4" w:space="0"/>
              </w:pBdr>
              <w:spacing w:after="0" w:afterAutospacing="1" w:before="0" w:beforeAutospacing="0" w:line="216" w:lineRule="auto"/>
              <w:ind w:right="0" w:firstLine="0" w:left="0"/>
              <w:jc w:val="center"/>
              <w:rPr/>
            </w:pPr>
            <w:r>
              <w:rPr>
                <w:rFonts w:ascii="Times New Roman" w:hAnsi="Times New Roman" w:eastAsia="Times New Roman" w:cs="Times New Roman"/>
                <w:color w:val="000000"/>
                <w:sz w:val="24"/>
              </w:rPr>
              <w:t xml:space="preserve"> 81,5 </w:t>
            </w:r>
            <w:r/>
          </w:p>
        </w:tc>
        <w:tc>
          <w:tcPr>
            <w:tcBorders>
              <w:bottom w:val="single" w:color="000000" w:sz="8" w:space="0"/>
              <w:right w:val="single" w:color="000000" w:sz="8" w:space="0"/>
            </w:tcBorders>
            <w:tcMar>
              <w:left w:w="108" w:type="dxa"/>
              <w:top w:w="0" w:type="dxa"/>
              <w:right w:w="108" w:type="dxa"/>
              <w:bottom w:w="0" w:type="dxa"/>
            </w:tcMar>
            <w:tcW w:w="1998" w:type="dxa"/>
            <w:vAlign w:val="top"/>
            <w:textDirection w:val="lrTb"/>
            <w:noWrap/>
          </w:tcPr>
          <w:p>
            <w:pPr>
              <w:pBdr>
                <w:top w:val="none" w:color="000000" w:sz="4" w:space="0"/>
                <w:left w:val="none" w:color="000000" w:sz="4" w:space="0"/>
                <w:bottom w:val="none" w:color="000000" w:sz="4" w:space="0"/>
                <w:right w:val="none" w:color="000000" w:sz="4" w:space="0"/>
              </w:pBdr>
              <w:spacing w:after="0" w:afterAutospacing="1" w:before="0" w:beforeAutospacing="0" w:line="216" w:lineRule="auto"/>
              <w:ind w:right="0" w:firstLine="0" w:left="0"/>
              <w:jc w:val="center"/>
              <w:rPr/>
            </w:pPr>
            <w:r>
              <w:rPr>
                <w:rFonts w:ascii="Times New Roman" w:hAnsi="Times New Roman" w:eastAsia="Times New Roman" w:cs="Times New Roman"/>
                <w:color w:val="000000"/>
                <w:sz w:val="24"/>
              </w:rPr>
              <w:t xml:space="preserve"> 4.863.535</w:t>
            </w:r>
            <w:r/>
          </w:p>
        </w:tc>
        <w:tc>
          <w:tcPr>
            <w:tcBorders>
              <w:bottom w:val="single" w:color="000000" w:sz="8" w:space="0"/>
              <w:right w:val="single" w:color="000000" w:sz="8" w:space="0"/>
            </w:tcBorders>
            <w:tcMar>
              <w:left w:w="108" w:type="dxa"/>
              <w:top w:w="0" w:type="dxa"/>
              <w:right w:w="108" w:type="dxa"/>
              <w:bottom w:w="0" w:type="dxa"/>
            </w:tcMar>
            <w:tcW w:w="1416" w:type="dxa"/>
            <w:vAlign w:val="top"/>
            <w:textDirection w:val="lrTb"/>
            <w:noWrap w:val="false"/>
          </w:tcPr>
          <w:p>
            <w:pPr>
              <w:pBdr>
                <w:top w:val="none" w:color="000000" w:sz="4" w:space="0"/>
                <w:left w:val="none" w:color="000000" w:sz="4" w:space="0"/>
                <w:bottom w:val="none" w:color="000000" w:sz="4" w:space="0"/>
                <w:right w:val="none" w:color="000000" w:sz="4" w:space="0"/>
              </w:pBdr>
              <w:spacing w:after="0" w:afterAutospacing="1" w:before="0" w:beforeAutospacing="0" w:line="216" w:lineRule="auto"/>
              <w:ind w:right="0" w:firstLine="0" w:left="0"/>
              <w:jc w:val="left"/>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396.378.065 </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c>
          <w:tcPr>
            <w:tcBorders>
              <w:bottom w:val="single" w:color="000000" w:sz="8" w:space="0"/>
              <w:right w:val="single" w:color="000000" w:sz="8" w:space="0"/>
            </w:tcBorders>
            <w:tcMar>
              <w:left w:w="108" w:type="dxa"/>
              <w:top w:w="0" w:type="dxa"/>
              <w:right w:w="108" w:type="dxa"/>
              <w:bottom w:w="0" w:type="dxa"/>
            </w:tcMar>
            <w:tcW w:w="1559" w:type="dxa"/>
            <w:vAlign w:val="top"/>
            <w:textDirection w:val="lrTb"/>
            <w:noWrap/>
          </w:tcPr>
          <w:p>
            <w:pPr>
              <w:pBdr>
                <w:top w:val="none" w:color="000000" w:sz="4" w:space="0"/>
                <w:left w:val="none" w:color="000000" w:sz="4" w:space="0"/>
                <w:bottom w:val="none" w:color="000000" w:sz="4" w:space="0"/>
                <w:right w:val="none" w:color="000000" w:sz="4" w:space="0"/>
              </w:pBdr>
              <w:spacing w:after="0" w:afterAutospacing="1" w:before="0" w:beforeAutospacing="0" w:line="216" w:lineRule="auto"/>
              <w:ind w:right="0" w:firstLine="0" w:left="0"/>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  122.084.444 </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c>
          <w:tcPr>
            <w:tcBorders>
              <w:bottom w:val="single" w:color="000000" w:sz="8" w:space="0"/>
              <w:right w:val="single" w:color="000000" w:sz="8" w:space="0"/>
            </w:tcBorders>
            <w:tcMar>
              <w:left w:w="108" w:type="dxa"/>
              <w:top w:w="0" w:type="dxa"/>
              <w:right w:w="108" w:type="dxa"/>
              <w:bottom w:w="0" w:type="dxa"/>
            </w:tcMar>
            <w:tcW w:w="1543" w:type="dxa"/>
            <w:vAlign w:val="top"/>
            <w:textDirection w:val="lrTb"/>
            <w:noWrap w:val="false"/>
          </w:tcPr>
          <w:p>
            <w:pPr>
              <w:pBdr>
                <w:top w:val="none" w:color="000000" w:sz="4" w:space="0"/>
                <w:left w:val="none" w:color="000000" w:sz="4" w:space="0"/>
                <w:bottom w:val="none" w:color="000000" w:sz="4" w:space="0"/>
                <w:right w:val="none" w:color="000000" w:sz="4" w:space="0"/>
              </w:pBdr>
              <w:spacing w:after="0" w:afterAutospacing="1" w:before="0" w:beforeAutospacing="0" w:line="216" w:lineRule="auto"/>
              <w:ind w:right="0" w:firstLine="0" w:left="0"/>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  274.293.621 </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r>
    </w:tbl>
    <w:p>
      <w:pPr>
        <w:pStyle w:val="103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20"/>
        <w:gridCol w:w="2244"/>
        <w:gridCol w:w="1304"/>
        <w:gridCol w:w="1936"/>
        <w:gridCol w:w="1210"/>
        <w:gridCol w:w="2070"/>
      </w:tblGrid>
      <w:tr>
        <w:trPr>
          <w:trHeight w:val="64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20"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24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30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936"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209"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Hệ số/</w:t>
              <w:br/>
              <w:t xml:space="preserve">CLCL (%)</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070"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Thành tiền (đồng)</w:t>
            </w:r>
            <w:r/>
          </w:p>
        </w:tc>
      </w:tr>
      <w:tr>
        <w:trPr>
          <w:trHeight w:val="2160"/>
        </w:trPr>
        <w:tc>
          <w:tcPr>
            <w:tcBorders>
              <w:left w:val="single" w:color="000000" w:sz="4" w:space="0"/>
              <w:bottom w:val="single" w:color="000000" w:sz="4" w:space="0"/>
              <w:right w:val="single" w:color="000000" w:sz="4" w:space="0"/>
            </w:tcBorders>
            <w:tcMar>
              <w:left w:w="0" w:type="dxa"/>
              <w:top w:w="0" w:type="dxa"/>
              <w:right w:w="0" w:type="dxa"/>
              <w:bottom w:w="0" w:type="dxa"/>
            </w:tcMar>
            <w:tcW w:w="720"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I</w:t>
            </w:r>
            <w:r/>
          </w:p>
        </w:tc>
        <w:tc>
          <w:tcPr>
            <w:gridSpan w:val="4"/>
            <w:tcBorders>
              <w:top w:val="single" w:color="000000" w:sz="4" w:space="0"/>
              <w:bottom w:val="single" w:color="000000" w:sz="4" w:space="0"/>
              <w:right w:val="single" w:color="000000" w:sz="4" w:space="0"/>
            </w:tcBorders>
            <w:tcMar>
              <w:left w:w="0" w:type="dxa"/>
              <w:top w:w="0" w:type="dxa"/>
              <w:right w:w="0" w:type="dxa"/>
              <w:bottom w:w="0" w:type="dxa"/>
            </w:tcMar>
            <w:tcW w:w="6693" w:type="dxa"/>
            <w:vAlign w:val="center"/>
            <w:textDirection w:val="lrTb"/>
            <w:noWrap w:val="false"/>
          </w:tcPr>
          <w:p>
            <w:pPr>
              <w:suppressLineNumbers w:val="false"/>
              <w:pBdr/>
              <w:spacing w:after="0" w:before="0" w:line="240" w:lineRule="auto"/>
              <w:ind w:right="144" w:left="144"/>
              <w:jc w:val="both"/>
              <w:rPr/>
            </w:pPr>
            <w:r>
              <w:rPr>
                <w:rFonts w:ascii="Times New Roman" w:hAnsi="Times New Roman" w:eastAsia="Times New Roman" w:cs="Times New Roman"/>
                <w:b/>
                <w:color w:val="000000"/>
                <w:sz w:val="24"/>
              </w:rPr>
              <w:t xml:space="preserve">Quyền sử dụng đất và công trình xây dựng trên đất tại thửa đất số: 267, tờ bản đồ số: 16; có địa chỉ: số 35 Lưu Quý Kỳ, phường Minh An, thành phố Hội An, tỉnh Quảng Nam </w:t>
            </w:r>
            <w:r>
              <w:rPr>
                <w:rFonts w:ascii="Times New Roman" w:hAnsi="Times New Roman" w:eastAsia="Times New Roman" w:cs="Times New Roman"/>
                <w:b/>
                <w:i/>
                <w:color w:val="000000"/>
                <w:sz w:val="24"/>
              </w:rPr>
              <w:t xml:space="preserve">(Nay là phường Hội An, thành phố Đà Nẵng) </w:t>
            </w:r>
            <w:r>
              <w:rPr>
                <w:rFonts w:ascii="Times New Roman" w:hAnsi="Times New Roman" w:eastAsia="Times New Roman" w:cs="Times New Roman"/>
                <w:b/>
                <w:color w:val="000000"/>
                <w:sz w:val="24"/>
              </w:rPr>
              <w:t xml:space="preserve">theo Giấy chứng nhận quyền sử dụng đất quyền sở hữu nhà ở và tài sản khác gắn liền với đất số CX 554327, số vào sổ cấp GCN: CS01104 do Sở Tài nguyên và Môi trường tỉnh Quảng Nam cấp ngày 15/12/2020 chủ sử dụng đất là Ông Nguyễn Đình Thuận.</w:t>
            </w:r>
            <w:r/>
          </w:p>
        </w:tc>
        <w:tc>
          <w:tcPr>
            <w:tcBorders>
              <w:bottom w:val="single" w:color="000000" w:sz="4" w:space="0"/>
              <w:right w:val="single" w:color="000000" w:sz="4" w:space="0"/>
            </w:tcBorders>
            <w:tcMar>
              <w:left w:w="0" w:type="dxa"/>
              <w:top w:w="0" w:type="dxa"/>
              <w:right w:w="0" w:type="dxa"/>
              <w:bottom w:w="0" w:type="dxa"/>
            </w:tcMar>
            <w:tcW w:w="2070" w:type="dxa"/>
            <w:vAlign w:val="center"/>
            <w:textDirection w:val="lrTb"/>
            <w:noWrap w:val="false"/>
          </w:tcPr>
          <w:p>
            <w:pPr>
              <w:suppressLineNumbers w:val="false"/>
              <w:pBdr/>
              <w:spacing w:after="0" w:before="0" w:line="240" w:lineRule="auto"/>
              <w:ind w:right="144" w:left="144"/>
              <w:jc w:val="right"/>
              <w:rPr/>
            </w:pPr>
            <w:r>
              <w:rPr>
                <w:rFonts w:ascii="Times New Roman" w:hAnsi="Times New Roman" w:eastAsia="Times New Roman" w:cs="Times New Roman"/>
                <w:b/>
                <w:color w:val="000000"/>
                <w:sz w:val="24"/>
              </w:rPr>
              <w:t xml:space="preserve">10.555.093.621</w:t>
            </w:r>
            <w:r/>
          </w:p>
        </w:tc>
      </w:tr>
      <w:tr>
        <w:trPr>
          <w:trHeight w:val="292"/>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20"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4" w:space="0"/>
              <w:right w:val="single" w:color="000000" w:sz="4" w:space="0"/>
            </w:tcBorders>
            <w:tcMar>
              <w:left w:w="0" w:type="dxa"/>
              <w:top w:w="0" w:type="dxa"/>
              <w:right w:w="0" w:type="dxa"/>
              <w:bottom w:w="0" w:type="dxa"/>
            </w:tcMar>
            <w:tcW w:w="2244"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4"/>
              </w:rPr>
              <w:t xml:space="preserve">Quyền sử dụng đất</w:t>
            </w:r>
            <w:r/>
          </w:p>
        </w:tc>
        <w:tc>
          <w:tcPr>
            <w:tcBorders>
              <w:bottom w:val="single" w:color="000000" w:sz="4" w:space="0"/>
              <w:right w:val="single" w:color="000000" w:sz="4" w:space="0"/>
            </w:tcBorders>
            <w:tcMar>
              <w:left w:w="0" w:type="dxa"/>
              <w:top w:w="0" w:type="dxa"/>
              <w:right w:w="0" w:type="dxa"/>
              <w:bottom w:w="0" w:type="dxa"/>
            </w:tcMar>
            <w:tcW w:w="1304" w:type="dxa"/>
            <w:vAlign w:val="center"/>
            <w:textDirection w:val="lrTb"/>
            <w:noWrap/>
          </w:tcPr>
          <w:p>
            <w:pPr>
              <w:suppressLineNumbers w:val="false"/>
              <w:pBdr/>
              <w:spacing w:after="0" w:before="0" w:line="240" w:lineRule="auto"/>
              <w:ind w:right="144" w:left="0"/>
              <w:jc w:val="center"/>
              <w:rPr/>
            </w:pPr>
            <w:r>
              <w:rPr>
                <w:rFonts w:ascii="Times New Roman" w:hAnsi="Times New Roman" w:eastAsia="Times New Roman" w:cs="Times New Roman"/>
                <w:color w:val="000000"/>
                <w:sz w:val="24"/>
              </w:rPr>
              <w:t xml:space="preserve">72,4 </w:t>
            </w:r>
            <w:r/>
          </w:p>
        </w:tc>
        <w:tc>
          <w:tcPr>
            <w:shd w:val="clear" w:color="ffffff" w:fill="ffffff"/>
            <w:tcBorders>
              <w:bottom w:val="single" w:color="000000" w:sz="4" w:space="0"/>
              <w:right w:val="single" w:color="000000" w:sz="4" w:space="0"/>
            </w:tcBorders>
            <w:tcMar>
              <w:left w:w="0" w:type="dxa"/>
              <w:top w:w="0" w:type="dxa"/>
              <w:right w:w="0" w:type="dxa"/>
              <w:bottom w:w="0" w:type="dxa"/>
            </w:tcMar>
            <w:tcW w:w="1936" w:type="dxa"/>
            <w:vAlign w:val="center"/>
            <w:textDirection w:val="lrTb"/>
            <w:noWrap w:val="false"/>
          </w:tcPr>
          <w:p>
            <w:pPr>
              <w:suppressLineNumbers w:val="false"/>
              <w:pBdr/>
              <w:spacing w:after="0" w:before="0" w:line="240" w:lineRule="auto"/>
              <w:ind w:right="144" w:left="0"/>
              <w:jc w:val="center"/>
              <w:rPr/>
            </w:pPr>
            <w:r>
              <w:rPr>
                <w:rFonts w:ascii="Times New Roman" w:hAnsi="Times New Roman" w:eastAsia="Times New Roman" w:cs="Times New Roman"/>
                <w:color w:val="000000"/>
                <w:sz w:val="24"/>
              </w:rPr>
              <w:t xml:space="preserve">142.000.000 </w:t>
            </w:r>
            <w:r/>
          </w:p>
        </w:tc>
        <w:tc>
          <w:tcPr>
            <w:shd w:val="clear" w:color="ffffff" w:fill="ffffff"/>
            <w:tcBorders>
              <w:bottom w:val="single" w:color="000000" w:sz="4" w:space="0"/>
              <w:right w:val="single" w:color="000000" w:sz="4" w:space="0"/>
            </w:tcBorders>
            <w:tcMar>
              <w:left w:w="0" w:type="dxa"/>
              <w:top w:w="0" w:type="dxa"/>
              <w:right w:w="0" w:type="dxa"/>
              <w:bottom w:w="0" w:type="dxa"/>
            </w:tcMar>
            <w:tcW w:w="1209"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070" w:type="dxa"/>
            <w:vAlign w:val="center"/>
            <w:textDirection w:val="lrTb"/>
            <w:noWrap w:val="false"/>
          </w:tcPr>
          <w:p>
            <w:pPr>
              <w:suppressLineNumbers w:val="false"/>
              <w:pBdr/>
              <w:spacing w:after="0" w:before="0" w:line="240" w:lineRule="auto"/>
              <w:ind w:right="144" w:left="144"/>
              <w:jc w:val="right"/>
              <w:rPr/>
            </w:pPr>
            <w:r>
              <w:rPr>
                <w:rFonts w:ascii="Times New Roman" w:hAnsi="Times New Roman" w:eastAsia="Times New Roman" w:cs="Times New Roman"/>
                <w:color w:val="000000"/>
                <w:sz w:val="24"/>
              </w:rPr>
              <w:t xml:space="preserve">10.280.800.000</w:t>
            </w:r>
            <w:r/>
          </w:p>
        </w:tc>
      </w:tr>
      <w:tr>
        <w:trPr>
          <w:trHeight w:val="31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20"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4" w:space="0"/>
              <w:right w:val="single" w:color="000000" w:sz="4" w:space="0"/>
            </w:tcBorders>
            <w:tcMar>
              <w:left w:w="0" w:type="dxa"/>
              <w:top w:w="0" w:type="dxa"/>
              <w:right w:w="0" w:type="dxa"/>
              <w:bottom w:w="0" w:type="dxa"/>
            </w:tcMar>
            <w:tcW w:w="2244"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4"/>
              </w:rPr>
              <w:t xml:space="preserve">Nhà 1 tầng cấp IV</w:t>
            </w:r>
            <w:r/>
          </w:p>
        </w:tc>
        <w:tc>
          <w:tcPr>
            <w:tcBorders>
              <w:bottom w:val="single" w:color="000000" w:sz="4" w:space="0"/>
              <w:right w:val="single" w:color="000000" w:sz="4" w:space="0"/>
            </w:tcBorders>
            <w:tcMar>
              <w:left w:w="0" w:type="dxa"/>
              <w:top w:w="0" w:type="dxa"/>
              <w:right w:w="0" w:type="dxa"/>
              <w:bottom w:w="0" w:type="dxa"/>
            </w:tcMar>
            <w:tcW w:w="1304" w:type="dxa"/>
            <w:vAlign w:val="center"/>
            <w:textDirection w:val="lrTb"/>
            <w:noWrap/>
          </w:tcPr>
          <w:p>
            <w:pPr>
              <w:suppressLineNumbers w:val="false"/>
              <w:pBdr/>
              <w:spacing w:after="0" w:before="0" w:line="240" w:lineRule="auto"/>
              <w:ind w:right="144" w:left="0"/>
              <w:jc w:val="center"/>
              <w:rPr/>
            </w:pPr>
            <w:r>
              <w:rPr>
                <w:rFonts w:ascii="Times New Roman" w:hAnsi="Times New Roman" w:eastAsia="Times New Roman" w:cs="Times New Roman"/>
                <w:color w:val="000000"/>
                <w:sz w:val="24"/>
              </w:rPr>
              <w:t xml:space="preserve">81,50</w:t>
            </w:r>
            <w:r/>
          </w:p>
        </w:tc>
        <w:tc>
          <w:tcPr>
            <w:shd w:val="clear" w:color="ffffff" w:fill="ffffff"/>
            <w:tcBorders>
              <w:bottom w:val="single" w:color="000000" w:sz="4" w:space="0"/>
              <w:right w:val="single" w:color="000000" w:sz="4" w:space="0"/>
            </w:tcBorders>
            <w:tcMar>
              <w:left w:w="0" w:type="dxa"/>
              <w:top w:w="0" w:type="dxa"/>
              <w:right w:w="0" w:type="dxa"/>
              <w:bottom w:w="0" w:type="dxa"/>
            </w:tcMar>
            <w:tcW w:w="1936" w:type="dxa"/>
            <w:vAlign w:val="center"/>
            <w:textDirection w:val="lrTb"/>
            <w:noWrap w:val="false"/>
          </w:tcPr>
          <w:p>
            <w:pPr>
              <w:suppressLineNumbers w:val="false"/>
              <w:pBdr/>
              <w:spacing w:after="0" w:before="0" w:line="240" w:lineRule="auto"/>
              <w:ind w:right="144" w:left="0"/>
              <w:jc w:val="center"/>
              <w:rPr/>
            </w:pPr>
            <w:r>
              <w:rPr>
                <w:rFonts w:ascii="Times New Roman" w:hAnsi="Times New Roman" w:eastAsia="Times New Roman" w:cs="Times New Roman"/>
                <w:color w:val="000000"/>
                <w:sz w:val="24"/>
              </w:rPr>
              <w:t xml:space="preserve">4.863.535 </w:t>
            </w:r>
            <w:r/>
          </w:p>
        </w:tc>
        <w:tc>
          <w:tcPr>
            <w:shd w:val="clear" w:color="ffffff" w:fill="ffffff"/>
            <w:tcBorders>
              <w:bottom w:val="single" w:color="000000" w:sz="4" w:space="0"/>
              <w:right w:val="single" w:color="000000" w:sz="4" w:space="0"/>
            </w:tcBorders>
            <w:tcMar>
              <w:left w:w="0" w:type="dxa"/>
              <w:top w:w="0" w:type="dxa"/>
              <w:right w:w="0" w:type="dxa"/>
              <w:bottom w:w="0" w:type="dxa"/>
            </w:tcMar>
            <w:tcW w:w="1209"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69,2%</w:t>
            </w:r>
            <w:r/>
          </w:p>
        </w:tc>
        <w:tc>
          <w:tcPr>
            <w:shd w:val="clear" w:color="ffffff" w:fill="ffffff"/>
            <w:tcBorders>
              <w:bottom w:val="single" w:color="000000" w:sz="4" w:space="0"/>
              <w:right w:val="single" w:color="000000" w:sz="4" w:space="0"/>
            </w:tcBorders>
            <w:tcMar>
              <w:left w:w="0" w:type="dxa"/>
              <w:top w:w="0" w:type="dxa"/>
              <w:right w:w="0" w:type="dxa"/>
              <w:bottom w:w="0" w:type="dxa"/>
            </w:tcMar>
            <w:tcW w:w="2070" w:type="dxa"/>
            <w:vAlign w:val="center"/>
            <w:textDirection w:val="lrTb"/>
            <w:noWrap w:val="false"/>
          </w:tcPr>
          <w:p>
            <w:pPr>
              <w:suppressLineNumbers w:val="false"/>
              <w:pBdr/>
              <w:spacing w:after="0" w:before="0" w:line="240" w:lineRule="auto"/>
              <w:ind w:right="144" w:left="144"/>
              <w:jc w:val="right"/>
              <w:rPr/>
            </w:pPr>
            <w:r>
              <w:rPr>
                <w:rFonts w:ascii="Times New Roman" w:hAnsi="Times New Roman" w:eastAsia="Times New Roman" w:cs="Times New Roman"/>
                <w:color w:val="000000"/>
                <w:sz w:val="24"/>
              </w:rPr>
              <w:t xml:space="preserve">274.293.621</w:t>
            </w:r>
            <w:r/>
          </w:p>
        </w:tc>
      </w:tr>
      <w:tr>
        <w:trPr>
          <w:trHeight w:val="57"/>
        </w:trPr>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14"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TỔNG CỘNG</w:t>
            </w:r>
            <w:r/>
          </w:p>
        </w:tc>
        <w:tc>
          <w:tcPr>
            <w:tcBorders>
              <w:bottom w:val="single" w:color="000000" w:sz="4" w:space="0"/>
              <w:right w:val="single" w:color="000000" w:sz="4" w:space="0"/>
            </w:tcBorders>
            <w:tcMar>
              <w:left w:w="0" w:type="dxa"/>
              <w:top w:w="0" w:type="dxa"/>
              <w:right w:w="0" w:type="dxa"/>
              <w:bottom w:w="0" w:type="dxa"/>
            </w:tcMar>
            <w:tcW w:w="2070" w:type="dxa"/>
            <w:vAlign w:val="center"/>
            <w:textDirection w:val="lrTb"/>
            <w:noWrap/>
          </w:tcPr>
          <w:p>
            <w:pPr>
              <w:suppressLineNumbers w:val="false"/>
              <w:pBdr/>
              <w:spacing w:after="0" w:before="0" w:line="240" w:lineRule="auto"/>
              <w:ind w:right="144" w:left="144"/>
              <w:jc w:val="right"/>
              <w:rPr/>
            </w:pPr>
            <w:r>
              <w:rPr>
                <w:rFonts w:ascii="Times New Roman" w:hAnsi="Times New Roman" w:eastAsia="Times New Roman" w:cs="Times New Roman"/>
                <w:b/>
                <w:color w:val="000000"/>
                <w:sz w:val="24"/>
              </w:rPr>
              <w:t xml:space="preserve">10.555.093.621</w:t>
            </w:r>
            <w:r/>
          </w:p>
        </w:tc>
      </w:tr>
      <w:tr>
        <w:trPr>
          <w:trHeight w:val="338"/>
        </w:trPr>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14" w:type="dxa"/>
            <w:vAlign w:val="center"/>
            <w:textDirection w:val="lrTb"/>
            <w:noWrap/>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LÀM TRÒN</w:t>
            </w:r>
            <w:r/>
          </w:p>
        </w:tc>
        <w:tc>
          <w:tcPr>
            <w:tcBorders>
              <w:bottom w:val="single" w:color="000000" w:sz="4" w:space="0"/>
              <w:right w:val="single" w:color="000000" w:sz="4" w:space="0"/>
            </w:tcBorders>
            <w:tcMar>
              <w:left w:w="0" w:type="dxa"/>
              <w:top w:w="0" w:type="dxa"/>
              <w:right w:w="0" w:type="dxa"/>
              <w:bottom w:w="0" w:type="dxa"/>
            </w:tcMar>
            <w:tcW w:w="2070" w:type="dxa"/>
            <w:vAlign w:val="center"/>
            <w:textDirection w:val="lrTb"/>
            <w:noWrap/>
          </w:tcPr>
          <w:p>
            <w:pPr>
              <w:suppressLineNumbers w:val="false"/>
              <w:pBdr/>
              <w:spacing w:after="0" w:before="0" w:line="240" w:lineRule="auto"/>
              <w:ind w:right="144" w:left="144"/>
              <w:jc w:val="right"/>
              <w:rPr/>
            </w:pPr>
            <w:r>
              <w:rPr>
                <w:rFonts w:ascii="Times New Roman" w:hAnsi="Times New Roman" w:eastAsia="Times New Roman" w:cs="Times New Roman"/>
                <w:b/>
                <w:color w:val="000000"/>
                <w:sz w:val="24"/>
              </w:rPr>
              <w:t xml:space="preserve">10.555.000.000</w:t>
            </w:r>
            <w:r/>
          </w:p>
        </w:tc>
      </w:tr>
      <w:tr>
        <w:trPr>
          <w:trHeight w:val="313"/>
        </w:trPr>
        <w:tc>
          <w:tcPr>
            <w:gridSpan w:val="6"/>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48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i/>
                <w:color w:val="000000"/>
                <w:sz w:val="24"/>
              </w:rPr>
              <w:t xml:space="preserve">(Bằng chữ: Mười tỷ, năm trăm năm mươi lăm triệu đồng chẵn ./.)</w:t>
            </w:r>
            <w:r/>
          </w:p>
        </w:tc>
      </w:tr>
    </w:tbl>
    <w:p>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5"/>
        <w:numPr>
          <w:ilvl w:val="0"/>
          <w:numId w:val="5"/>
        </w:numPr>
        <w:pBdr/>
        <w:tabs>
          <w:tab w:val="left" w:leader="none" w:pos="993"/>
        </w:tabs>
        <w:spacing w:after="144" w:afterAutospacing="0" w:before="144" w:beforeAutospacing="0" w:line="276"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5"/>
        <w:numPr>
          <w:ilvl w:val="0"/>
          <w:numId w:val="5"/>
        </w:numPr>
        <w:pBdr/>
        <w:tabs>
          <w:tab w:val="left" w:leader="none" w:pos="993"/>
        </w:tabs>
        <w:spacing w:after="144" w:afterAutospacing="0" w:before="144" w:beforeAutospacing="0" w:line="276"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5"/>
        </w:numPr>
        <w:pBdr/>
        <w:tabs>
          <w:tab w:val="left" w:leader="none" w:pos="993"/>
        </w:tabs>
        <w:spacing w:after="144" w:afterAutospacing="0" w:before="144" w:beforeAutospacing="0" w:line="276"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5"/>
        <w:numPr>
          <w:ilvl w:val="0"/>
          <w:numId w:val="10"/>
        </w:numPr>
        <w:pBdr/>
        <w:spacing w:after="144" w:afterAutospacing="0" w:before="144" w:beforeAutospacing="0" w:line="276"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44" w:afterAutospacing="0" w:before="144" w:beforeAutospacing="0" w:line="276"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44" w:afterAutospacing="0" w:before="144" w:beforeAutospacing="0" w:line="276"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5"/>
        <w:pBdr/>
        <w:tabs>
          <w:tab w:val="left" w:leader="none" w:pos="993"/>
        </w:tabs>
        <w:spacing w:after="144" w:afterAutospacing="0" w:before="144" w:beforeAutospacing="0" w:line="276"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44" w:afterAutospacing="0" w:before="144" w:beforeAutospacing="0" w:line="276"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5"/>
        <w:numPr>
          <w:ilvl w:val="0"/>
          <w:numId w:val="5"/>
        </w:numPr>
        <w:pBdr/>
        <w:tabs>
          <w:tab w:val="left" w:leader="none" w:pos="993"/>
        </w:tabs>
        <w:spacing w:after="144" w:afterAutospacing="0" w:before="144" w:beforeAutospacing="0" w:line="276"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5"/>
        </w:numPr>
        <w:pBdr/>
        <w:tabs>
          <w:tab w:val="left" w:leader="none" w:pos="993"/>
        </w:tabs>
        <w:spacing w:after="144" w:afterAutospacing="0" w:before="144" w:beforeAutospacing="0" w:line="276"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5"/>
        <w:numPr>
          <w:ilvl w:val="0"/>
          <w:numId w:val="5"/>
        </w:numPr>
        <w:pBdr/>
        <w:tabs>
          <w:tab w:val="left" w:leader="none" w:pos="993"/>
        </w:tabs>
        <w:spacing w:after="144" w:afterAutospacing="0" w:before="144" w:beforeAutospacing="0" w:line="276"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5"/>
        <w:numPr>
          <w:ilvl w:val="0"/>
          <w:numId w:val="5"/>
        </w:numPr>
        <w:pBdr/>
        <w:tabs>
          <w:tab w:val="left" w:leader="none" w:pos="993"/>
        </w:tabs>
        <w:spacing w:after="144" w:afterAutospacing="0" w:before="144" w:beforeAutospacing="0" w:line="276"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5"/>
        <w:numPr>
          <w:ilvl w:val="0"/>
          <w:numId w:val="5"/>
        </w:numPr>
        <w:pBdr/>
        <w:tabs>
          <w:tab w:val="left" w:leader="none" w:pos="993"/>
        </w:tabs>
        <w:spacing w:after="144" w:afterAutospacing="0" w:before="144" w:beforeAutospacing="0" w:line="276"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5"/>
        <w:numPr>
          <w:ilvl w:val="0"/>
          <w:numId w:val="5"/>
        </w:numPr>
        <w:pBdr/>
        <w:spacing w:after="144" w:afterAutospacing="0" w:before="144" w:beforeAutospacing="0" w:line="276"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44" w:afterAutospacing="0" w:before="144" w:beforeAutospacing="0" w:line="276"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5"/>
        <w:numPr>
          <w:ilvl w:val="0"/>
          <w:numId w:val="5"/>
        </w:numPr>
        <w:pBdr/>
        <w:spacing w:after="144" w:afterAutospacing="0" w:before="144" w:beforeAutospacing="0" w:line="276"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44" w:afterAutospacing="0" w:before="144" w:beforeAutospacing="0" w:line="276" w:lineRule="auto"/>
        <w:ind/>
        <w:jc w:val="both"/>
        <w:rPr/>
      </w:pPr>
      <w:r>
        <w:rPr>
          <w:rFonts w:ascii="Times New Roman" w:hAnsi="Times New Roman" w:eastAsia="Times New Roman" w:cs="Times New Roman"/>
          <w:color w:val="000000"/>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thẩm định giá.</w:t>
      </w:r>
      <w:r/>
    </w:p>
    <w:p>
      <w:pPr>
        <w:pStyle w:val="1035"/>
        <w:numPr>
          <w:ilvl w:val="0"/>
          <w:numId w:val="5"/>
        </w:numPr>
        <w:pBdr/>
        <w:tabs>
          <w:tab w:val="left" w:leader="none" w:pos="993"/>
        </w:tabs>
        <w:spacing w:after="144" w:afterAutospacing="0" w:before="144" w:beforeAutospacing="0" w:line="276"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35"/>
        <w:numPr>
          <w:ilvl w:val="0"/>
          <w:numId w:val="3"/>
        </w:numPr>
        <w:pBdr/>
        <w:tabs>
          <w:tab w:val="left" w:leader="none" w:pos="993"/>
        </w:tabs>
        <w:spacing w:after="144" w:afterAutospacing="0" w:before="144" w:beforeAutospacing="0" w:line="27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44" w:afterAutospacing="0" w:before="144" w:beforeAutospacing="0" w:line="276"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5"/>
        </w:numPr>
        <w:pBdr/>
        <w:tabs>
          <w:tab w:val="left" w:leader="none" w:pos="993"/>
        </w:tabs>
        <w:spacing w:after="144" w:afterAutospacing="0" w:before="144" w:beforeAutospacing="0" w:line="276"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44" w:afterAutospacing="0" w:before="144" w:beforeAutospacing="0" w:line="276"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44" w:afterAutospacing="0" w:before="144" w:beforeAutospacing="0" w:line="276"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5"/>
        <w:pBdr/>
        <w:tabs>
          <w:tab w:val="left" w:leader="none" w:pos="993"/>
        </w:tabs>
        <w:spacing w:after="144" w:afterAutospacing="0" w:before="144" w:beforeAutospacing="0" w:line="276"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5"/>
        <w:pBdr/>
        <w:tabs>
          <w:tab w:val="left" w:leader="none" w:pos="993"/>
        </w:tabs>
        <w:spacing w:after="144" w:afterAutospacing="0" w:before="144" w:beforeAutospacing="0" w:line="276"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275/2026/0242/VFI-CT.24.A</w:t>
      </w:r>
      <w:r>
        <w:rPr>
          <w:color w:val="ff0000"/>
          <w:lang w:val="vi-VN"/>
        </w:rPr>
        <w:t xml:space="preserve"> </w:t>
      </w:r>
      <w:r>
        <w:rPr>
          <w:color w:val="000000" w:themeColor="text1"/>
        </w:rPr>
        <w:t xml:space="preserve">ngày 02 tháng 02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275/2026/0242/VFI-BC.24.A</w:t>
      </w:r>
      <w:r>
        <w:rPr>
          <w:i/>
          <w:lang w:val="pt-BR"/>
        </w:rPr>
        <w:t xml:space="preserve"> ngày </w:t>
      </w:r>
      <w:r>
        <w:rPr>
          <w:i/>
          <w:lang w:val="pt-BR"/>
        </w:rPr>
        <w:t xml:space="preserve">2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810"/>
        <w:gridCol w:w="4810"/>
      </w:tblGrid>
      <w:tr>
        <w:trPr>
          <w:trHeight w:val="272"/>
        </w:trPr>
        <w:tc>
          <w:tcPr>
            <w:tcBorders/>
            <w:tcMar>
              <w:left w:w="108" w:type="dxa"/>
              <w:top w:w="0" w:type="dxa"/>
              <w:right w:w="108" w:type="dxa"/>
              <w:bottom w:w="0" w:type="dxa"/>
            </w:tcMar>
            <w:tcW w:w="4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Đường tiếp giáp tài sản</w:t>
            </w:r>
            <w:r/>
          </w:p>
        </w:tc>
        <w:tc>
          <w:tcPr>
            <w:tcBorders/>
            <w:tcMar>
              <w:left w:w="108" w:type="dxa"/>
              <w:top w:w="0" w:type="dxa"/>
              <w:right w:w="108" w:type="dxa"/>
              <w:bottom w:w="0" w:type="dxa"/>
            </w:tcMar>
            <w:tcW w:w="4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Đường tiếp giáp tài sản</w:t>
            </w:r>
            <w:r/>
          </w:p>
        </w:tc>
      </w:tr>
      <w:tr>
        <w:trPr>
          <w:trHeight w:val="4241"/>
        </w:trPr>
        <w:tc>
          <w:tcPr>
            <w:tcBorders/>
            <w:tcMar>
              <w:left w:w="108" w:type="dxa"/>
              <w:top w:w="0" w:type="dxa"/>
              <w:right w:w="108" w:type="dxa"/>
              <w:bottom w:w="0" w:type="dxa"/>
            </w:tcMar>
            <w:tcW w:w="4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2895529" cy="3864743"/>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84382" name=""/>
                              <pic:cNvPicPr>
                                <a:picLocks noChangeAspect="1"/>
                              </pic:cNvPicPr>
                              <pic:nvPr/>
                            </pic:nvPicPr>
                            <pic:blipFill rotWithShape="1">
                              <a:blip r:embed="rId19"/>
                              <a:stretch/>
                            </pic:blipFill>
                            <pic:spPr bwMode="auto">
                              <a:xfrm flipH="0" flipV="0">
                                <a:off x="0" y="0"/>
                                <a:ext cx="2895528" cy="38647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7.99pt;height:304.31pt;mso-wrap-distance-left:0.00pt;mso-wrap-distance-top:0.00pt;mso-wrap-distance-right:0.00pt;mso-wrap-distance-bottom:0.00pt;z-index:1;" stroked="false">
                      <v:imagedata r:id="rId19" o:title=""/>
                      <o:lock v:ext="edit" rotation="t"/>
                    </v:shape>
                  </w:pict>
                </mc:Fallback>
              </mc:AlternateContent>
            </w:r>
            <w:r/>
          </w:p>
        </w:tc>
        <w:tc>
          <w:tcPr>
            <w:tcBorders/>
            <w:tcMar>
              <w:left w:w="108" w:type="dxa"/>
              <w:top w:w="0" w:type="dxa"/>
              <w:right w:w="108" w:type="dxa"/>
              <w:bottom w:w="0" w:type="dxa"/>
            </w:tcMar>
            <w:tcW w:w="4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2796159" cy="373211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747122" name=""/>
                              <pic:cNvPicPr>
                                <a:picLocks noChangeAspect="1"/>
                              </pic:cNvPicPr>
                              <pic:nvPr/>
                            </pic:nvPicPr>
                            <pic:blipFill rotWithShape="1">
                              <a:blip r:embed="rId20"/>
                              <a:stretch/>
                            </pic:blipFill>
                            <pic:spPr bwMode="auto">
                              <a:xfrm flipH="0" flipV="0">
                                <a:off x="0" y="0"/>
                                <a:ext cx="2796158" cy="37321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0.17pt;height:293.87pt;mso-wrap-distance-left:0.00pt;mso-wrap-distance-top:0.00pt;mso-wrap-distance-right:0.00pt;mso-wrap-distance-bottom:0.00pt;z-index:1;" stroked="false">
                      <v:imagedata r:id="rId20" o:title=""/>
                      <o:lock v:ext="edit" rotation="t"/>
                    </v:shape>
                  </w:pict>
                </mc:Fallback>
              </mc:AlternateContent>
            </w:r>
            <w:r/>
          </w:p>
        </w:tc>
      </w:tr>
      <w:tr>
        <w:trPr>
          <w:trHeight w:val="406"/>
        </w:trPr>
        <w:tc>
          <w:tcPr>
            <w:tcBorders/>
            <w:tcMar>
              <w:left w:w="108" w:type="dxa"/>
              <w:top w:w="0" w:type="dxa"/>
              <w:right w:w="108" w:type="dxa"/>
              <w:bottom w:w="0" w:type="dxa"/>
            </w:tcMar>
            <w:tcW w:w="4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Tổng quan tài sản</w:t>
            </w:r>
            <w:r/>
          </w:p>
        </w:tc>
        <w:tc>
          <w:tcPr>
            <w:tcBorders/>
            <w:tcMar>
              <w:left w:w="108" w:type="dxa"/>
              <w:top w:w="0" w:type="dxa"/>
              <w:right w:w="108" w:type="dxa"/>
              <w:bottom w:w="0" w:type="dxa"/>
            </w:tcMar>
            <w:tcW w:w="4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Hướng tài sản</w:t>
            </w:r>
            <w:r/>
          </w:p>
        </w:tc>
      </w:tr>
      <w:tr>
        <w:trPr>
          <w:trHeight w:val="4096"/>
        </w:trPr>
        <w:tc>
          <w:tcPr>
            <w:tcBorders/>
            <w:tcMar>
              <w:left w:w="108" w:type="dxa"/>
              <w:top w:w="0" w:type="dxa"/>
              <w:right w:w="108" w:type="dxa"/>
              <w:bottom w:w="0" w:type="dxa"/>
            </w:tcMar>
            <w:tcW w:w="4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2713060" cy="362119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927192" name=""/>
                              <pic:cNvPicPr>
                                <a:picLocks noChangeAspect="1"/>
                              </pic:cNvPicPr>
                              <pic:nvPr/>
                            </pic:nvPicPr>
                            <pic:blipFill rotWithShape="1">
                              <a:blip r:embed="rId21"/>
                              <a:stretch/>
                            </pic:blipFill>
                            <pic:spPr bwMode="auto">
                              <a:xfrm flipH="1" flipV="0">
                                <a:off x="0" y="0"/>
                                <a:ext cx="2713059" cy="36211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3.63pt;height:285.13pt;mso-wrap-distance-left:0.00pt;mso-wrap-distance-top:0.00pt;mso-wrap-distance-right:0.00pt;mso-wrap-distance-bottom:0.00pt;flip:x;z-index:1;" stroked="false">
                      <v:imagedata r:id="rId21" o:title=""/>
                      <o:lock v:ext="edit" rotation="t"/>
                    </v:shape>
                  </w:pict>
                </mc:Fallback>
              </mc:AlternateContent>
            </w:r>
            <w:r/>
          </w:p>
        </w:tc>
        <w:tc>
          <w:tcPr>
            <w:tcBorders/>
            <w:tcMar>
              <w:left w:w="108" w:type="dxa"/>
              <w:top w:w="0" w:type="dxa"/>
              <w:right w:w="108" w:type="dxa"/>
              <w:bottom w:w="0" w:type="dxa"/>
            </w:tcMar>
            <w:tcW w:w="4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mc:AlternateContent>
                <mc:Choice Requires="wpg">
                  <w:drawing>
                    <wp:inline xmlns:wp="http://schemas.openxmlformats.org/drawingml/2006/wordprocessingDrawing" distT="0" distB="0" distL="0" distR="0">
                      <wp:extent cx="2661452" cy="402961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08710" name=""/>
                              <pic:cNvPicPr>
                                <a:picLocks noChangeAspect="1"/>
                              </pic:cNvPicPr>
                              <pic:nvPr/>
                            </pic:nvPicPr>
                            <pic:blipFill rotWithShape="1">
                              <a:blip r:embed="rId22"/>
                              <a:stretch/>
                            </pic:blipFill>
                            <pic:spPr bwMode="auto">
                              <a:xfrm flipH="0" flipV="0">
                                <a:off x="0" y="0"/>
                                <a:ext cx="2661451" cy="40296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9.56pt;height:317.29pt;mso-wrap-distance-left:0.00pt;mso-wrap-distance-top:0.00pt;mso-wrap-distance-right:0.00pt;mso-wrap-distance-bottom:0.00pt;z-index:1;" stroked="false">
                      <v:imagedata r:id="rId22" o:title=""/>
                      <o:lock v:ext="edit" rotation="t"/>
                    </v:shape>
                  </w:pict>
                </mc:Fallback>
              </mc:AlternateContent>
            </w:r>
            <w:r/>
          </w:p>
        </w:tc>
      </w:tr>
      <w:tr>
        <w:trPr>
          <w:trHeight w:val="406"/>
        </w:trPr>
        <w:tc>
          <w:tcPr>
            <w:tcBorders/>
            <w:tcMar>
              <w:left w:w="108" w:type="dxa"/>
              <w:top w:w="0" w:type="dxa"/>
              <w:right w:w="108" w:type="dxa"/>
              <w:bottom w:w="0" w:type="dxa"/>
            </w:tcMar>
            <w:tcW w:w="481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Hiện trạng</w:t>
            </w:r>
            <w:r/>
          </w:p>
        </w:tc>
        <w:tc>
          <w:tcPr>
            <w:tcBorders/>
            <w:tcMar>
              <w:left w:w="108" w:type="dxa"/>
              <w:top w:w="0" w:type="dxa"/>
              <w:right w:w="108" w:type="dxa"/>
              <w:bottom w:w="0" w:type="dxa"/>
            </w:tcMar>
            <w:tcW w:w="481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Người hướng dẫn khảo sát</w:t>
            </w:r>
            <w:r/>
          </w:p>
        </w:tc>
      </w:tr>
      <w:tr>
        <w:trPr>
          <w:trHeight w:val="4096"/>
        </w:trPr>
        <w:tc>
          <w:tcPr>
            <w:tcBorders/>
            <w:tcMar>
              <w:left w:w="108" w:type="dxa"/>
              <w:top w:w="0" w:type="dxa"/>
              <w:right w:w="108" w:type="dxa"/>
              <w:bottom w:w="0" w:type="dxa"/>
            </w:tcMar>
            <w:tcW w:w="481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2940150" cy="39243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098937" name=""/>
                              <pic:cNvPicPr>
                                <a:picLocks noChangeAspect="1"/>
                              </pic:cNvPicPr>
                              <pic:nvPr/>
                            </pic:nvPicPr>
                            <pic:blipFill rotWithShape="1">
                              <a:blip r:embed="rId23"/>
                              <a:stretch/>
                            </pic:blipFill>
                            <pic:spPr bwMode="auto">
                              <a:xfrm flipH="0" flipV="0">
                                <a:off x="0" y="0"/>
                                <a:ext cx="2940149" cy="39242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1.51pt;height:309.00pt;mso-wrap-distance-left:0.00pt;mso-wrap-distance-top:0.00pt;mso-wrap-distance-right:0.00pt;mso-wrap-distance-bottom:0.00pt;z-index:1;" stroked="false">
                      <v:imagedata r:id="rId23" o:title=""/>
                      <o:lock v:ext="edit" rotation="t"/>
                    </v:shape>
                  </w:pict>
                </mc:Fallback>
              </mc:AlternateContent>
            </w:r>
            <w:r/>
          </w:p>
        </w:tc>
        <w:tc>
          <w:tcPr>
            <w:tcBorders/>
            <w:tcMar>
              <w:left w:w="108" w:type="dxa"/>
              <w:top w:w="0" w:type="dxa"/>
              <w:right w:w="108" w:type="dxa"/>
              <w:bottom w:w="0" w:type="dxa"/>
            </w:tcMar>
            <w:tcW w:w="481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mc:AlternateContent>
                <mc:Choice Requires="wpg">
                  <w:drawing>
                    <wp:inline xmlns:wp="http://schemas.openxmlformats.org/drawingml/2006/wordprocessingDrawing" distT="0" distB="0" distL="0" distR="0">
                      <wp:extent cx="2947286" cy="393382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100083" name=""/>
                              <pic:cNvPicPr>
                                <a:picLocks noChangeAspect="1"/>
                              </pic:cNvPicPr>
                              <pic:nvPr/>
                            </pic:nvPicPr>
                            <pic:blipFill rotWithShape="1">
                              <a:blip r:embed="rId24"/>
                              <a:stretch/>
                            </pic:blipFill>
                            <pic:spPr bwMode="auto">
                              <a:xfrm flipH="0" flipV="0">
                                <a:off x="0" y="0"/>
                                <a:ext cx="2947285" cy="39338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2.07pt;height:309.75pt;mso-wrap-distance-left:0.00pt;mso-wrap-distance-top:0.00pt;mso-wrap-distance-right:0.00pt;mso-wrap-distance-bottom:0.00pt;z-index:1;" stroked="false">
                      <v:imagedata r:id="rId24" o:title=""/>
                      <o:lock v:ext="edit" rotation="t"/>
                    </v:shape>
                  </w:pict>
                </mc:Fallback>
              </mc:AlternateContent>
            </w: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275/2026/0242/VFI-BC.24.A</w:t>
      </w:r>
      <w:r>
        <w:rPr>
          <w:i/>
          <w:lang w:val="pt-BR"/>
        </w:rPr>
        <w:t xml:space="preserve"> ngày </w:t>
      </w:r>
      <w:r>
        <w:rPr>
          <w:i/>
          <w:lang w:val="pt-BR"/>
        </w:rPr>
        <w:t xml:space="preserve">2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9"/>
        <w:gridCol w:w="3860"/>
        <w:gridCol w:w="5006"/>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top"/>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386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5006"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 - SĐT: 0336237279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11.500.000.000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10.350.000.000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01/2026</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đường Lưu Quý Kỹ, giao thông thuận tiện.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cắt đường</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5,5m</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72,4</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4,6</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vắn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khác</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Bình thường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1 tầng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38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Bằng chứng</w:t>
            </w:r>
            <w:r/>
          </w:p>
        </w:tc>
        <w:tc>
          <w:tcPr>
            <w:tcBorders>
              <w:bottom w:val="single" w:color="000000" w:sz="8" w:space="0"/>
              <w:right w:val="single" w:color="000000" w:sz="8" w:space="0"/>
            </w:tcBorders>
            <w:tcMar>
              <w:left w:w="108" w:type="dxa"/>
              <w:top w:w="0" w:type="dxa"/>
              <w:right w:w="108" w:type="dxa"/>
              <w:bottom w:w="0" w:type="dxa"/>
            </w:tcMar>
            <w:tcW w:w="500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
          </w:p>
        </w:tc>
      </w:tr>
      <w:tr>
        <w:trPr>
          <w:trHeight w:val="3426"/>
        </w:trPr>
        <w:tc>
          <w:tcPr>
            <w:tcBorders>
              <w:left w:val="single" w:color="000000" w:sz="8" w:space="0"/>
              <w:bottom w:val="single" w:color="000000" w:sz="8" w:space="0"/>
              <w:right w:val="single" w:color="000000" w:sz="8" w:space="0"/>
            </w:tcBorders>
            <w:tcMar>
              <w:left w:w="108" w:type="dxa"/>
              <w:top w:w="0" w:type="dxa"/>
              <w:right w:w="108" w:type="dxa"/>
              <w:bottom w:w="0" w:type="dxa"/>
            </w:tcMar>
            <w:tcW w:w="63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86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none"/>
              </w:rPr>
            </w:pPr>
            <w:r>
              <mc:AlternateContent>
                <mc:Choice Requires="wpg">
                  <w:drawing>
                    <wp:inline xmlns:wp="http://schemas.openxmlformats.org/drawingml/2006/wordprocessingDrawing" distT="0" distB="0" distL="0" distR="0">
                      <wp:extent cx="5199859" cy="331805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563808" name=""/>
                              <pic:cNvPicPr>
                                <a:picLocks noChangeAspect="1"/>
                              </pic:cNvPicPr>
                              <pic:nvPr/>
                            </pic:nvPicPr>
                            <pic:blipFill rotWithShape="1">
                              <a:blip r:embed="rId25"/>
                              <a:stretch/>
                            </pic:blipFill>
                            <pic:spPr bwMode="auto">
                              <a:xfrm flipH="0" flipV="0">
                                <a:off x="0" y="0"/>
                                <a:ext cx="5199859" cy="33180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09.44pt;height:261.26pt;mso-wrap-distance-left:0.00pt;mso-wrap-distance-top:0.00pt;mso-wrap-distance-right:0.00pt;mso-wrap-distance-bottom:0.00pt;z-index:1;" stroked="false">
                      <v:imagedata r:id="rId25" o:title=""/>
                      <o:lock v:ext="edit" rotation="t"/>
                    </v:shape>
                  </w:pict>
                </mc:Fallback>
              </mc:AlternateContent>
            </w:r>
            <w:r>
              <w:rPr>
                <w:highlight w:val="none"/>
              </w:rPr>
            </w:r>
            <w:r>
              <w:rPr>
                <w:highlight w:val="none"/>
              </w:rPr>
            </w:r>
          </w:p>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szCs w:val="24"/>
              </w:rPr>
            </w:pPr>
            <w:r>
              <w:rPr>
                <w:highlight w:val="none"/>
              </w:rPr>
            </w:r>
            <w:r>
              <mc:AlternateContent>
                <mc:Choice Requires="wpg">
                  <w:drawing>
                    <wp:inline xmlns:wp="http://schemas.openxmlformats.org/drawingml/2006/wordprocessingDrawing" distT="0" distB="0" distL="0" distR="0">
                      <wp:extent cx="4502654" cy="284426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219872" name=""/>
                              <pic:cNvPicPr>
                                <a:picLocks noChangeAspect="1"/>
                              </pic:cNvPicPr>
                              <pic:nvPr/>
                            </pic:nvPicPr>
                            <pic:blipFill rotWithShape="1">
                              <a:blip r:embed="rId26"/>
                              <a:stretch/>
                            </pic:blipFill>
                            <pic:spPr bwMode="auto">
                              <a:xfrm flipH="0" flipV="0">
                                <a:off x="0" y="0"/>
                                <a:ext cx="4502654" cy="28442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54.54pt;height:223.96pt;mso-wrap-distance-left:0.00pt;mso-wrap-distance-top:0.00pt;mso-wrap-distance-right:0.00pt;mso-wrap-distance-bottom:0.00pt;z-index:1;" stroked="false">
                      <v:imagedata r:id="rId26" o:title=""/>
                      <o:lock v:ext="edit" rotation="t"/>
                    </v:shape>
                  </w:pict>
                </mc:Fallback>
              </mc:AlternateConten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Lê Thị Quỳnh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Liên hệ trực tiếp - SĐT: 0336237279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(76.5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Minh An, Thành phố Hội An, Tỉnh Quảng Nam, đường Tiếp giáp đường Lưu Quý Kỳ</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967094"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96709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91.11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945887"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94588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89.44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https://batdongsan.com.vn/ban-nha-mat-pho-duong-luu-quy-ky-phuong-minh-an/b-14-5-ty-95-2m2-hoi-qug-nam-chinh-chu-hot-pr45101601</w:t>
            </w:r>
            <w:r>
              <w:rPr>
                <w:color w:val="000000" w:themeColor="text1"/>
                <w:sz w:val="22"/>
                <w:szCs w:val="22"/>
              </w:rPr>
              <w:br/>
            </w:r>
            <w:r>
              <w:rPr>
                <w:color w:val="000000" w:themeColor="text1"/>
                <w:sz w:val="22"/>
                <w:szCs w:val="22"/>
              </w:rPr>
              <w:t xml:space="preserve">SĐT: 0336237279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13.050.000.000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(95.2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Minh An, Thành phố Hội An, Tỉnh Quảng Nam, đường Tiếp giáp đường Lưu Quý Kỳ,</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mc:AlternateContent>
                <mc:Choice Requires="wpg">
                  <w:drawing>
                    <wp:inline xmlns:wp="http://schemas.openxmlformats.org/drawingml/2006/wordprocessingDrawing" distT="0" distB="0" distL="0" distR="0">
                      <wp:extent cx="1162707" cy="76279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679754" name=""/>
                              <pic:cNvPicPr>
                                <a:picLocks noChangeAspect="1"/>
                              </pic:cNvPicPr>
                              <pic:nvPr/>
                            </pic:nvPicPr>
                            <pic:blipFill rotWithShape="1">
                              <a:blip r:embed="rId29"/>
                              <a:stretch/>
                            </pic:blipFill>
                            <pic:spPr bwMode="auto">
                              <a:xfrm flipH="0" flipV="0">
                                <a:off x="0" y="0"/>
                                <a:ext cx="1162706" cy="7627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91.55pt;height:60.06pt;mso-wrap-distance-left:0.00pt;mso-wrap-distance-top:0.00pt;mso-wrap-distance-right:0.00pt;mso-wrap-distance-bottom:0.00pt;z-index:1;" stroked="false">
                      <v:imagedata r:id="rId29" o:title=""/>
                      <o:lock v:ext="edit" rotation="t"/>
                    </v:shape>
                  </w:pict>
                </mc:Fallback>
              </mc:AlternateContent>
            </w:r>
            <w:r>
              <w:rPr>
                <w:sz w:val="22"/>
                <w:szCs w:val="22"/>
              </w:rPr>
            </w:r>
            <w:r>
              <w:rPr>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rPr>
                <w:b/>
                <w:bCs/>
              </w:rPr>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8C0BECA"/>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6216875D"/>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6FCE6035"/>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525ABD7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num w:numId="42"/>
  <w:num w:numId="43">
    <w:abstractNumId w:val="39"/>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thanhtra.com.vn/thong-tin-doanh-nghiep-49F64E63D/sau-sap-nhap-bat-"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jpg"/><Relationship Id="rId28" Type="http://schemas.openxmlformats.org/officeDocument/2006/relationships/image" Target="media/image13.jpg"/><Relationship Id="rId29" Type="http://schemas.openxmlformats.org/officeDocument/2006/relationships/image" Target="media/image1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275</cp:revision>
  <dcterms:created xsi:type="dcterms:W3CDTF">2025-09-15T09:58:00Z</dcterms:created>
  <dcterms:modified xsi:type="dcterms:W3CDTF">2026-02-04T03:58:04Z</dcterms:modified>
</cp:coreProperties>
</file>