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
      <w:r>
        <w:rPr>
          <w:b/>
          <w:sz w:val="28"/>
          <w:lang w:val="vi-VN"/>
        </w:rPr>
      </w:r>
      <w:r/>
      <w:r/>
      <w: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275/2026/0229/VFI-CT.52.A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Phùng Thị Thu Vân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Quyền sử dụng đất tại thửa đất số 13, Tờ bản đồ số P3-12  có địa chỉ trên sổ Thôn Phú Cường 2, TT Phố Lu, huyện Bảo Thắng, tỉnh Lào Cai theo Giấy chứng nhận quyền sử dụ</w:t>
                            </w:r>
                            <w:r>
                              <w:rPr>
                                <w:color w:val="000000"/>
                              </w:rPr>
                              <w:t xml:space="preserve">ng đất quyền sở hữu  tài sản gắn liền với đất số AO 904410, số vào sổ H01676CM/QĐ:960 do UBND huyện Bảo Thắng cấp ngày 24/03/2009 cho chủ sử dụng đất Bà Phùng Thị Thu Vân và ông Nguyễn Thành Trung (cập nhật ngày 21/01/2016).</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275/2026/0229/VFI-CT.52.A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Phùng Thị Thu Vân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Quyền sử dụng đất tại thửa đất số 13, Tờ bản đồ số P3-12  có địa chỉ trên sổ Thôn Phú Cường 2, TT Phố Lu, huyện Bảo Thắng, tỉnh Lào Cai theo Giấy chứng nhận quyền sử dụ</w:t>
                      </w:r>
                      <w:r>
                        <w:rPr>
                          <w:color w:val="000000"/>
                        </w:rPr>
                        <w:t xml:space="preserve">ng đất quyền sở hữu  tài sản gắn liền với đất số AO 904410, số vào sổ H01676CM/QĐ:960 do UBND huyện Bảo Thắng cấp ngày 24/03/2009 cho chủ sử dụng đất Bà Phùng Thị Thu Vân và ông Nguyễn Thành Trung (cập nhật ngày 21/01/2016).</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453" w:type="dxa"/>
        <w:tblBorders/>
        <w:tblLayout w:type="fixed"/>
        <w:tblLook w:val="04A0" w:firstRow="1" w:lastRow="0" w:firstColumn="1" w:lastColumn="0" w:noHBand="0" w:noVBand="1"/>
      </w:tblPr>
      <w:tblGrid>
        <w:gridCol w:w="108"/>
        <w:gridCol w:w="2956"/>
        <w:gridCol w:w="7389"/>
      </w:tblGrid>
      <w:tr>
        <w:trPr>
          <w:trHeight w:val="1247"/>
        </w:trPr>
        <w:tc>
          <w:tcPr>
            <w:gridSpan w:val="2"/>
            <w:tcBorders/>
            <w:tcW w:w="306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38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78"/>
        </w:trPr>
        <w:tc>
          <w:tcPr>
            <w:shd w:val="clear" w:color="auto" w:fill="auto"/>
            <w:tcBorders/>
            <w:tcMar>
              <w:left w:w="108" w:type="dxa"/>
              <w:top w:w="0" w:type="dxa"/>
              <w:right w:w="108" w:type="dxa"/>
              <w:bottom w:w="0" w:type="dxa"/>
            </w:tcMar>
            <w:tcW w:w="295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275/2026/0229/VFI-CT.52.A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389"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29 tháng 1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Phùng Thị Thu Vân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275/2026/0229/VFI-HĐTĐ.52.A</w:t>
      </w:r>
      <w:r>
        <w:rPr>
          <w:spacing w:val="-4"/>
          <w:lang w:val="vi-VN"/>
        </w:rPr>
        <w:t xml:space="preserve"> ký ngày </w:t>
      </w:r>
      <w:r>
        <w:rPr>
          <w:color w:val="000000" w:themeColor="text1"/>
          <w:spacing w:val="-4"/>
        </w:rPr>
        <w:t xml:space="preserve">29 tháng 1 năm 2026</w:t>
      </w:r>
      <w:r>
        <w:rPr>
          <w:spacing w:val="-4"/>
          <w:lang w:val="vi-VN"/>
        </w:rPr>
        <w:t xml:space="preserve"> </w:t>
      </w:r>
      <w:r>
        <w:rPr>
          <w:spacing w:val="-4"/>
          <w:lang w:val="vi-VN"/>
        </w:rPr>
        <w:t xml:space="preserve">giữa </w:t>
      </w:r>
      <w:r>
        <w:rPr>
          <w:color w:val="000000" w:themeColor="text1"/>
          <w:spacing w:val="-4"/>
        </w:rPr>
        <w:t xml:space="preserve">Phùng Thị Thu Vân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275/2026/0229/VFI-BC.52.A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Phùng Thị Thu Vân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010190007706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TDP Phú Cường 2, Phố Lu, Bảo Thắng, Lào Cai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Quyền sử dụng đất tại thửa đất số 13, Tờ bản đồ số P3-12  có địa chỉ trên sổ Thôn Phú Cường 2, TT Phố Lu, huyện Bảo Thắng, tỉnh Lào Cai theo Giấy chứng nhận quyền sử dụ</w:t>
      </w:r>
      <w:r>
        <w:rPr>
          <w:color w:val="000000" w:themeColor="text1"/>
        </w:rPr>
        <w:t xml:space="preserve">ng đất quyền sở hữu  tài sản gắn liền với đất số AO 904410, số vào sổ H01676CM/QĐ:960 do UBND huyện Bảo Thắng cấp ngày 24/03/2009 cho chủ sử dụng đất Bà Phùng Thị Thu Vân và ông Nguyễn Thành Trung (cập nhật ngày 21/01/2016).</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Quyền sử dụng đất tại thửa đất số 13, Tờ bản đồ số P3-12  có địa chỉ trên sổ Thôn Phú Cường 2, TT Phố Lu, huyện Bảo Thắng, tỉnh Lào Cai theo Giấy chứng nhận quyền sử dụ</w:t>
            </w:r>
            <w:r>
              <w:rPr>
                <w:color w:val="000000"/>
              </w:rPr>
              <w:t xml:space="preserve">ng đất quyền sở hữu  tài sản gắn liền với đất số AO 904410, số vào sổ H01676CM/QĐ:960 do UBND huyện Bảo Thắng cấp ngày 24/03/2009 cho chủ sử dụng đất Bà Phùng Thị Thu Vân và ông Nguyễn Thành Trung (cập nhật ngày 21/01/2016).</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pPr>
              <w:pBdr/>
              <w:spacing w:after="40" w:before="40" w:line="288" w:lineRule="auto"/>
              <w:ind/>
              <w:rPr/>
            </w:pPr>
            <w:r>
              <w:rPr>
                <w:b/>
                <w:bCs/>
              </w:rPr>
              <w:t xml:space="preserve">Quyền sử dụng đất</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154</w:t>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1.540.000.000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pPr>
            <w:r>
              <w:rPr>
                <w:color w:val="000000" w:themeColor="text1"/>
              </w:rPr>
              <w:t xml:space="preserve">1.540.000.000</w:t>
            </w:r>
            <w: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năm trăm bốn mươi triệu đồng chẵn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X15.1419</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275/2026/0229/VFI-CT.52.A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29 tháng 1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275/2026/0229/VFI-CT.52.A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Phùng Thị Thu Vân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010190007706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TDP Phú Cường 2, Phố Lu, Bảo Thắng, Lào Cai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Quyền sử dụng đất tại thửa đất số 13, Tờ bản đồ số P3-12  có địa chỉ trên sổ Thôn Phú Cường 2, TT Phố Lu, huyện Bảo Thắng, tỉnh Lào Cai theo Giấy chứng nhận quyền sử dụ</w:t>
            </w:r>
            <w:r>
              <w:rPr>
                <w:bCs/>
                <w:color w:val="000000" w:themeColor="text1"/>
                <w:lang w:val="pt-BR"/>
              </w:rPr>
              <w:t xml:space="preserve">ng đất quyền sở hữu  tài sản gắn liền với đất số AO 904410, số vào sổ H01676CM/QĐ:960 do UBND huyện Bảo Thắng cấp ngày 24/03/2009 cho chủ sử dụng đất Bà Phùng Thị Thu Vân và ông Nguyễn Thành Trung (cập nhật ngày 21/01/2016).</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TDP Phú Cường 2, phố Lu, Bảo Thắng,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22.323561, 104.192012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Giấy chứng nhận quyền sử dụ</w:t>
      </w:r>
      <w:r>
        <w:rPr>
          <w:bCs/>
          <w:color w:val="000000" w:themeColor="text1"/>
          <w:lang w:val="pt-BR"/>
        </w:rPr>
        <w:t xml:space="preserve">ng đất quyền sở hữu  tài sản gắn liền với đất số AO 904410, số vào sổ H01676CM/QĐ:960 do UBND huyện Bảo Thắng cấp ngày 24/03/2009 cho chủ sử dụng đất Bà Phùng Thị Thu Vân và ông Nguyễn Thành Trung (cập nhật ngày 21/01/2016).</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275/2026/0229/VFI-HĐTĐ.52.A ngày 29/01/2026 giữa Phùng Thị Thu Vân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
          <w:iCs/>
          <w:lang w:val="pt-BR"/>
        </w:rPr>
      </w:pPr>
      <w:r>
        <w:rPr>
          <w:lang w:val="pt-BR"/>
        </w:rPr>
        <w:tab/>
      </w:r>
      <w:r>
        <w:rPr>
          <w:shd w:val="clear" w:color="auto" w:fill="ffffff"/>
        </w:rPr>
        <w:t xml:space="preserve">Bất Động Sản Lào Cai 2025: Toàn Cảnh Thị Trường Hai Động Lực</w:t>
      </w:r>
      <w:r>
        <w:rPr>
          <w:shd w:val="clear" w:color="auto" w:fill="ffffff"/>
        </w:rPr>
        <w:t xml:space="preserve"> </w:t>
      </w:r>
      <w:r>
        <w:rPr>
          <w:shd w:val="clear" w:color="auto" w:fill="ffffff"/>
        </w:rPr>
        <w:t xml:space="preserve">Tăng Trưởng &amp; Chiến Lược Đầu Tư, Trên bản đồ đầu tư bất động sản Việt Nam, Lào Cai không chỉ là một tỉnh miền núi. Đây là một cửa ngõ quốc tế, một đầu mối giao thương liên vận và là thủ phủ du lịch không thể thay thế của cả miền Bắc. Sự phát triển của thị </w:t>
      </w:r>
      <w:r>
        <w:rPr>
          <w:shd w:val="clear" w:color="auto" w:fill="ffffff"/>
        </w:rPr>
        <w:t xml:space="preserve">trường bất động sản Lào Cai không đơn thuần dựa vào một vài dự án hay tiềm năng nội tại, mà được vận hành bởi hai “động cơ” khổng lồ, song song và mạnh mẽ: Kinh tế cửa khẩu và Du lịch cao cấp. Năm 2025 và giai đoạn tới, với sự cộng hưởng từ các siêu dự án </w:t>
      </w:r>
      <w:r>
        <w:rPr>
          <w:shd w:val="clear" w:color="auto" w:fill="ffffff"/>
        </w:rPr>
        <w:t xml:space="preserve">hạ tầng như sân bay Sa Pa và sự hoàn thiện của các quy hoạch chiến lược, thị trường Lào Cai được dự báo sẽ bước vào một chu kỳ tăng trưởng mới, khẳng định vị thế là thị trường năng động và có giá trị cao bậc nhất vùng Tây Bắc. 1: Nền Tảng Vĩ Mô – Vị Thế Độ</w:t>
      </w:r>
      <w:r>
        <w:rPr>
          <w:shd w:val="clear" w:color="auto" w:fill="ffffff"/>
        </w:rPr>
        <w:t xml:space="preserve">c Tôn Của “Cửa Ngõ Quốc Tế” Bất Động Sản Lào Cai. Để hiểu về BĐS Lào Cai, trước tiên phải hiểu về những lợi thế mang tầm quốc gia mà không một tỉnh miền núi nào khác có được.</w:t>
        <w:br/>
        <w:t xml:space="preserve">1.1. Kinh Tế Cửa Khẩu: “Mạch Máu” Giao Thương Tỷ Đô Đây là DNA, là yếu tố cốt lõi</w:t>
      </w:r>
      <w:r>
        <w:rPr>
          <w:shd w:val="clear" w:color="auto" w:fill="ffffff"/>
        </w:rPr>
        <w:t xml:space="preserve"> tạo nên sự khác biệt và sự thịnh vượng của Lào Cai. Cửa khẩu Quốc tế Lào Cai – Hà Khẩu là một trong những cửa khẩu đường bộ lớn nhất và sôi động nhất cả nước. Dòng chảy thương mại không ngừng: Hàng hóa xuất nhập khẩu qua đây tạo ra một dòng tiền khổng lồ </w:t>
      </w:r>
      <w:r>
        <w:rPr>
          <w:shd w:val="clear" w:color="auto" w:fill="ffffff"/>
        </w:rPr>
        <w:t xml:space="preserve">và nhu cầu cực lớn về các dịch vụ hậu cần. Điều này trực tiếp thúc đẩy các phân khúc BĐS: BĐS Logistics: Nhu cầu về kho bãi, kho lạnh, trung tâm trung chuyển hàng hóa tại khu vực gần cửa khẩu Kim Thành luôn ở mức cao. BĐS Thương mại: Các trung tâm thương m</w:t>
      </w:r>
      <w:r>
        <w:rPr>
          <w:shd w:val="clear" w:color="auto" w:fill="ffffff"/>
        </w:rPr>
        <w:t xml:space="preserve">ại, siêu thị, khách sạn, nhà hàng phát triển mạnh mẽ để phục vụ đội ngũ doanh nhân, thương nhân, lái xe và công nhân làm việc trong lĩnh vực xuất nhập khẩu. BĐS Nhà ở: Nhu cầu nhà ở và nhà cho thuê cho các chuyên gia, cán bộ hải quan, biên phòng và người l</w:t>
      </w:r>
      <w:r>
        <w:rPr>
          <w:shd w:val="clear" w:color="auto" w:fill="ffffff"/>
        </w:rPr>
        <w:t xml:space="preserve">ao động trong các khu kinh tế cửa khẩu là rất lớn và bền vững. 1.2. Cuộc Cách Mạng Hạ Tầng: Xóa Bỏ Mọi Khoảng Cách Lào Cai đang đứng trước một cuộc cách mạng hạ tầng lần thứ hai, hứa hẹn sẽ đưa vùng đất này lên một tầm cao mới. Cao tốc Nội Bài – Lào Cai (Đ</w:t>
      </w:r>
      <w:r>
        <w:rPr>
          <w:shd w:val="clear" w:color="auto" w:fill="ffffff"/>
        </w:rPr>
        <w:t xml:space="preserve">ã hoàn thiện): Tuyến đường này đã rút ngắn thời gian di chuyển từ Hà Nội xuống còn 3,5 – 4 giờ, là cuộc cách mạng lần thứ nhất, mở ra kỷ nguyên phát triển cho du lịch Sa Pa và kinh tế Lào Cai. Sân bay Sa Pa (Siêu dự án tương lai): Đây sẽ là cuộc cách mạng </w:t>
      </w:r>
      <w:r>
        <w:rPr>
          <w:shd w:val="clear" w:color="auto" w:fill="ffffff"/>
        </w:rPr>
        <w:t xml:space="preserve">lần thứ hai và là cú hích có sức công phá lớn nhất. Dự án sân bay Sa Pa tại huyện Bảo Yên, với tổng vốn đầu tư hàng ngàn tỷ đồng, đã được khởi công và đang được đẩy nhanh tiến độ. Ý nghĩa chiến lược: Khi sân bay đi vào hoạt động, du khách từ TP.HCM, Đà Nẵn</w:t>
      </w:r>
      <w:r>
        <w:rPr>
          <w:shd w:val="clear" w:color="auto" w:fill="ffffff"/>
        </w:rPr>
        <w:t xml:space="preserve">g và cả khách quốc tế có thể bay thẳng tới Lào Cai mà không cần qua chặng đường bộ dài từ Hà Nội. Điều này sẽ tạo ra một sự bùng nổ về lượng khách du lịch cao cấp, dòng vốn đầu tư và định vị lại hoàn toàn BĐS nghỉ dưỡng Sa Pa. Tuyến đường sắt khổ tiêu chuẩ</w:t>
      </w:r>
      <w:r>
        <w:rPr>
          <w:shd w:val="clear" w:color="auto" w:fill="ffffff"/>
        </w:rPr>
        <w:t xml:space="preserve">n Lào Cai – Hà Nội – Hải Phòng: Là dự án dài hạn, khi hoàn thành sẽ nâng cao năng lực vận chuyển hàng hóa, củng cố thêm vị thế trung tâm logistics của Lào Cai. 1.3. Tầm Nhìn Quy Hoạch &amp; Dấu Ấn Của Các “Ông Lớn” Tầm nhìn của chính quyền tỉnh Lào Cai rất rõ </w:t>
      </w:r>
      <w:r>
        <w:rPr>
          <w:shd w:val="clear" w:color="auto" w:fill="ffffff"/>
        </w:rPr>
        <w:t xml:space="preserve">ràng: Xây dựng Lào Cai thành trung tâm kết nối giao thương giữa Việt Nam và các nước ASEAN với thị trường Tây Nam Trung Quốc. Song song đó, Sa Pa được định hướng trở thành khu du lịch quốc gia mang tầm vóc quốc tế. Sự xuất hiện của các nhà đầu tư hàng đầu </w:t>
      </w:r>
      <w:r>
        <w:rPr>
          <w:shd w:val="clear" w:color="auto" w:fill="ffffff"/>
        </w:rPr>
        <w:t xml:space="preserve">Việt Nam như Sun Group tại Sa Pa với quần thể Sun World Fansipan Legend đã chứng tỏ sức hút của vùng đất này. Dấu ấn của Sun Group không chỉ là những công trình kỷ lục, mà còn là việc nâng tầm tiêu chuẩn dịch vụ, thu hút dòng khách hạng sang và tạo ra một </w:t>
      </w:r>
      <w:r>
        <w:rPr>
          <w:shd w:val="clear" w:color="auto" w:fill="ffffff"/>
        </w:rPr>
        <w:t xml:space="preserve">hệ sinh thái BĐS cao cấp xung quanh. Sự thành công của họ là bảo chứng và là động lực để các nhà đầu tư khác tự tin đổ vốn vào Lào Cai. 2: Câu Chuyện Của “Hai Thành Phố” – Phân Tích Sâu Các Điểm Nóng Bất Động Sản Lào Cai Thị trường BĐS Lào Cai có sự phân h</w:t>
      </w:r>
      <w:r>
        <w:rPr>
          <w:shd w:val="clear" w:color="auto" w:fill="ffffff"/>
        </w:rPr>
        <w:t xml:space="preserve">ó</w:t>
      </w:r>
      <w:r>
        <w:rPr>
          <w:shd w:val="clear" w:color="auto" w:fill="ffffff"/>
        </w:rPr>
        <w:t xml:space="preserve">a rõ rệt thành các khu vực trọng điểm với đặc tính và tiềm năng hoàn toàn khác nhau. 2.1. Thành phố Lào Cai: Trái Tim Kinh Tế &amp; Giao Thương Sầm Uất. Đây là trung tâm đầu não, nơi dòng tiền từ hoạt động kinh tế cửa khẩu chảy về. Bất động sản tại TP. Lào Cai</w:t>
      </w:r>
      <w:r>
        <w:rPr>
          <w:shd w:val="clear" w:color="auto" w:fill="ffffff"/>
        </w:rPr>
        <w:t xml:space="preserve"> mang đặc tính của một đô thị kinh tế năng động. Động lực tăng trưởng: Sức sống từ Khu kinh tế cửa khẩu: Toàn bộ hoạt động thương mại, dịch vụ, hành chính đều tập trung tại đây. Phát triển đô thị mạnh mẽ: Hàng loạt các khu đô thị mới được quy hoạch và xây</w:t>
      </w:r>
      <w:r>
        <w:rPr>
          <w:shd w:val="clear" w:color="auto" w:fill="ffffff"/>
        </w:rPr>
        <w:t xml:space="preserve"> dựng để đáp ứng nhu cầu nhà ở ngày càng tăng của người dân và các chuyên gia. Các dự án tiêu biểu: The Manor Lào Cai, Kosy City Park: Là những khu đô thị được đầu tư bài bản, đã góp phần thay đổi diện mạo thành phố và thiết lập mặt bằng giá mới. Khu đô th</w:t>
      </w:r>
      <w:r>
        <w:rPr>
          <w:shd w:val="clear" w:color="auto" w:fill="ffffff"/>
        </w:rPr>
        <w:t xml:space="preserve">ị mới Lào Cai – Cam Đường: Là khu vực phát triển trọng điểm của thành phố trong tương lai. Phân khúc BĐS chính: Shophouse và nhà phố thương mại: Là “vua” của BĐS TP. Lào Cai, phục vụ nhu cầu kinh doanh và cho thuê mặt bằng. Các trục đường lớn như Trần Hưng</w:t>
      </w:r>
      <w:r>
        <w:rPr>
          <w:shd w:val="clear" w:color="auto" w:fill="ffffff"/>
        </w:rPr>
        <w:t xml:space="preserve"> Đạo, Hoàng Liên, Võ Nguyên Giáp luôn có giá trị thương mại rất cao. Đất nền dự án: Trong các khu đô thị mới, là kênh đầu tư được ưa chuộng nhất nhờ pháp lý rõ ràng và tiềm năng tăng giá theo sự phát triển chung. Kho bãi, mặt bằng kinh doanh: Tập trung tại</w:t>
      </w:r>
      <w:r>
        <w:rPr>
          <w:shd w:val="clear" w:color="auto" w:fill="ffffff"/>
        </w:rPr>
        <w:t xml:space="preserve"> khu vực gần cửa khẩu Kim Thành. Hồ sơ nhà đầu tư phù hợp: Nhà đầu tư tìm kiếm sự ổn định, an toàn, có thể khai thác dòng tiền thương mại và hưởng lợi từ sự tăng trưởng kinh tế bền vững.</w:t>
        <w:br/>
        <w:t xml:space="preserve">2.2. Thị xã Sa Pa: “Nữ Hoàng” Du Lịch Đang Thay Áo Mới Sa Pa là một c</w:t>
      </w:r>
      <w:r>
        <w:rPr>
          <w:shd w:val="clear" w:color="auto" w:fill="ffffff"/>
        </w:rPr>
        <w:t xml:space="preserve">âu chuyện hoàn toàn khác. Đây là thị trường của BĐS nghỉ dưỡng, của cảm xúc, của trải nghiệm và của sự xa xỉ.Động lực tăng trưởng:Thương hiệu quốc tế: Sa Pa là điểm đến không thể bỏ qua trên bản đồ du lịch Việt Nam. Dấu ấn của Sun Group: Quần thể du lịch</w:t>
      </w:r>
      <w:r>
        <w:rPr>
          <w:shd w:val="clear" w:color="auto" w:fill="ffffff"/>
        </w:rPr>
        <w:t xml:space="preserve"> Sun World Fansipan Legend với tuyến cáp treo và tàu hỏa leo núi đã biến Sa Pa từ một điểm du lịch mùa vụ thành một điểm đến quanh năm. Cú hích từ sân bay Sa Pa: Đây sẽ là yếu tố đưa giá trị BĐS Sa Pa lên một tầm cao mới, thu hút dòng khách chi trả cao và </w:t>
      </w:r>
      <w:r>
        <w:rPr>
          <w:shd w:val="clear" w:color="auto" w:fill="ffffff"/>
        </w:rPr>
        <w:t xml:space="preserve">các thương hiệu quản lý khách sạn quốc tế. Thị trường &amp; Phân khúc: BĐS cao cấp ở trung tâm: Các khách sạn 5 sao (như Hotel de la Coupole – MGallery), các dãy shophouse quanh khu vực nhà thờ đá, hồ Sa Pa có giá trị cực kỳ cao, được ví như “đất vàng”. Biệt t</w:t>
      </w:r>
      <w:r>
        <w:rPr>
          <w:shd w:val="clear" w:color="auto" w:fill="ffffff"/>
        </w:rPr>
        <w:t xml:space="preserve">hự nghỉ dưỡng (resort villa): Tập trung ở các sườn đồi, thung lũng có view đẹp như Mường Hoa, Tả Van. Đây là phân khúc dành cho giới thượng lưu. Homestay và boutique hotel: Phát triển mạnh ở các bản làng du lịch như Cát Cát, Tả Phìn, Tả Van, phục vụ du khá</w:t>
      </w:r>
      <w:r>
        <w:rPr>
          <w:shd w:val="clear" w:color="auto" w:fill="ffffff"/>
        </w:rPr>
        <w:t xml:space="preserve">ch yêu thích trải nghiệm văn hóa. Hồ sơ nhà đầu tư phù hợp: Nhà đầu tư có tiềm lực tài chính mạnh, am hiểu về ngành du lịch, khách sạn. Đầu tư vào Sa Pa là đầu tư vào tài sản có giá trị thương hiệu và khả năng khai thác dòng tiền du lịch cao cấp. 2.3. Bát </w:t>
      </w:r>
      <w:r>
        <w:rPr>
          <w:shd w:val="clear" w:color="auto" w:fill="ffffff"/>
        </w:rPr>
        <w:t xml:space="preserve">X</w:t>
      </w:r>
      <w:r>
        <w:rPr>
          <w:shd w:val="clear" w:color="auto" w:fill="ffffff"/>
        </w:rPr>
        <w:t xml:space="preserve">át (Y Tý): “Miền Đất Hứa” Cho Người Tiên Phong. Nếu TP. Lào Cai là hiện tại, Sa Pa là tương lai gần, thì Bát Xát (đặc biệt là Y Tý) là tương lai xa hơn, một “Sa Pa thứ hai” trong giai đoạn sơ khai. Động lực tăng trưởng: Vẻ đẹp hoang sơ, nguyên bản: Nổi tiế</w:t>
      </w:r>
      <w:r>
        <w:rPr>
          <w:shd w:val="clear" w:color="auto" w:fill="ffffff"/>
        </w:rPr>
        <w:t xml:space="preserve">ng với những “biển mây” huyền ảo và những thửa ruộng bậc thang kỳ vĩ của người Hà Nhì. Quy hoạch du lịch: Tỉnh Lào Cai đã có quy hoạch phát triển Y Tý thành một điểm du lịch sinh thái, cộng đồng cao cấp, nhưng theo hướng bảo tồn nghiêm ngặt. Phân khúc BĐS </w:t>
      </w:r>
      <w:r>
        <w:rPr>
          <w:shd w:val="clear" w:color="auto" w:fill="ffffff"/>
        </w:rPr>
        <w:t xml:space="preserve">chính: Đất thổ cư có view đẹp: Để xây dựng homestay, quán cà phê “săn mây”. Đất nông nghiệp: Dành cho các nhà đầu tư có tầm nhìn cực dài hạn, chờ đợi quy hoạch và sự phát triển của hạ tầng. Hồ sơ nhà đầu tư phù hợp: Nhà đầu tư mạo hiểm, tiên phong, có số v</w:t>
      </w:r>
      <w:r>
        <w:rPr>
          <w:shd w:val="clear" w:color="auto" w:fill="ffffff"/>
        </w:rPr>
        <w:t xml:space="preserve">ố</w:t>
      </w:r>
      <w:r>
        <w:rPr>
          <w:shd w:val="clear" w:color="auto" w:fill="ffffff"/>
        </w:rPr>
        <w:t xml:space="preserve">n không quá lớn và chấp nhận chờ đợi trong nhiều năm. Rủi ro cao nhưng tiềm năng lợi nhuận cũng rất lớn. 3: Phân Tích Các Phân Khúc Sản Phẩm Chủ Đạo Bất Động Sản Lào Cai. Mỗi sản phẩm BĐS tại Lào Cai đều có một câu chuyện và một tệp khách hàng riêng. 3.1. </w:t>
      </w:r>
      <w:r>
        <w:rPr>
          <w:shd w:val="clear" w:color="auto" w:fill="ffffff"/>
        </w:rPr>
        <w:t xml:space="preserve">Shophouse: “Con Gà Đẻ Trứng Vàng” Shophouse tại Lào Cai thành công vì nó đáp ứng được cả hai “động cơ” tăng trưởng. Tại TP. Lào Cai: Shophouse phục vụ nhu cầu kinh doanh, buôn bán hàng ngày của một đô thị sầm uất. Tại Sa Pa: Shophouse phục vụ dòng khách du</w:t>
      </w:r>
      <w:r>
        <w:rPr>
          <w:shd w:val="clear" w:color="auto" w:fill="ffffff"/>
        </w:rPr>
        <w:t xml:space="preserve"> lịch khổng lồ, kinh doanh các mặt hàng lưu niệm, đặc sản, nhà hàng, quán cà phê, dịch vụ massage… Đây là sản phẩm 2 trong 1 (vừa ở vừa kinh doanh) hoặc 3 trong 1 (ở, kinh doanh, cho thuê) có hiệu suất khai thác rất cao. 3.2. Bất Động Sản Nghỉ Dưỡng: Cuộc </w:t>
      </w:r>
      <w:r>
        <w:rPr>
          <w:shd w:val="clear" w:color="auto" w:fill="ffffff"/>
        </w:rPr>
        <w:t xml:space="preserve">Chơi Của Sự Đẳng Cấp</w:t>
        <w:br/>
        <w:t xml:space="preserve">Thị trường này tập trung gần như toàn bộ tại Sa Pa. Khách sạn &amp; Condotel: Cung cấp phòng lưu trú cho hàng triệu lượt khách mỗi năm. Các dự án được quản lý bởi các thương hiệu quốc tế sẽ có công suất phòng và giá thuê vượt trội. Biệt th</w:t>
      </w:r>
      <w:r>
        <w:rPr>
          <w:shd w:val="clear" w:color="auto" w:fill="ffffff"/>
        </w:rPr>
        <w:t xml:space="preserve">ự nghỉ dưỡng: Là tài sản khẳng định đẳng cấp, một “second home” đúng nghĩa, nơi chủ nhân có thể tận hưởng không khí trong lành và cảnh quan tuyệt đẹp của núi rừng. 3.3. Đất Nền: Kênh Tích Lũy Bền Vững Đất nền vẫn là kênh đầu tư quen thuộc và an toàn đối vớ</w:t>
      </w:r>
      <w:r>
        <w:rPr>
          <w:shd w:val="clear" w:color="auto" w:fill="ffffff"/>
        </w:rPr>
        <w:t xml:space="preserve">i nhiều người. Đất nền TP. Lào Cai: Tăng trưởng ổn định theo sự phát triển của kinh tế và đô thị. Đất nền ven Sa Pa: Có tiềm năng tăng giá đột biến khi hạ tầng (đặc biệt là sân bay) hoàn thiện và đô thị Sa Pa mở rộng. Tuy nhiên, rủi ro pháp lý cũng cao hơn</w:t>
      </w:r>
      <w:r>
        <w:rPr>
          <w:shd w:val="clear" w:color="auto" w:fill="ffffff"/>
        </w:rPr>
        <w:t xml:space="preserve">, cần kiểm tra quy hoạch rất kỹ. 4: Cẩm Nang Cho Nhà Đầu Tư Tại Bất Động Sản Lào Cai</w:t>
        <w:br/>
        <w:t xml:space="preserve">Đầu tư vào một thị trường năng động như Lào Cai đòi hỏi sự tỉnh táo và chiến lược rõ ràng.</w:t>
        <w:br/>
        <w:t xml:space="preserve">4.1. Rủi Ro Cốt Lõi Cần Nhận Diện Rủi ro quy hoạch tại Sa Pa: Sa Pa có phần lớn</w:t>
      </w:r>
      <w:r>
        <w:rPr>
          <w:shd w:val="clear" w:color="auto" w:fill="ffffff"/>
        </w:rPr>
        <w:t xml:space="preserve"> diện tích là đất rừng, đất nông nghiệp. Nhiều khu vực có cảnh quan đẹp nhưng không nằm trong quy hoạch đất ở hoặc đất thương mại dịch vụ. Mua bán sai quy hoạch sẽ dẫn đến mất trắng. Rủi ro “hiệu ứng sân bay”: Giá BĐS tại các khu vực gần sân bay (Bảo Yên) </w:t>
      </w:r>
      <w:r>
        <w:rPr>
          <w:shd w:val="clear" w:color="auto" w:fill="ffffff"/>
        </w:rPr>
        <w:t xml:space="preserve">và Sa Pa đã tăng trước một bước để đón đầu. Nhà đầu tư vào sau cần cẩn trọng để không bị mua phải giá “đỉnh” của cơn sốt. Rủi ro cạnh tranh (đối với BĐS nghỉ dưỡng): Nguồn cung khách sạn, homestay tại Sa Pa rất lớn. Để kinh doanh hiệu quả, sản phẩm của bạn</w:t>
      </w:r>
      <w:r>
        <w:rPr>
          <w:shd w:val="clear" w:color="auto" w:fill="ffffff"/>
        </w:rPr>
        <w:t xml:space="preserve"> phải có sự khác biệt về vị trí, thiết kế hoặc chất lượng dịch vụ. 4.2. Chiến Lược Đầu Tư Thông Minh Chiến lược “Hai Giỏ Hàng”: Phân bổ vốn vào cả hai thị trường: một phần vào BĐS thương mại tại TP. Lào Cai để có dòng tiền ổn định và an toàn; phần còn lại </w:t>
      </w:r>
      <w:r>
        <w:rPr>
          <w:shd w:val="clear" w:color="auto" w:fill="ffffff"/>
        </w:rPr>
        <w:t xml:space="preserve">vào BĐS nghỉ dưỡng tại Sa Pa để tìm kiếm sự tăng trưởng đột phá.Chiến lược “Đi Theo Người Khổng Lồ”: Đầu tư vào các khu vực lân cận những dự án lớn của các chủ đầu tư uy tín như Sun Group. Các dự án này sẽ tạo ra hệ sinh thái và kéo hạ tầng, tiện ích về th</w:t>
      </w:r>
      <w:r>
        <w:rPr>
          <w:shd w:val="clear" w:color="auto" w:fill="ffffff"/>
        </w:rPr>
        <w:t xml:space="preserve">eo. Chiến lược “Đón Đầu Sân Bay”: Thay vì lao vào tâm điểm Sa Pa, có thể nghiên cứu các khu vực tại Bảo Yên (nơi có sân bay) hoặc các điểm kết nối thuận tiện từ sân bay đến Sa Pa. Đây là những vùng đất sẽ hưởng lợi trực tiếp khi sân bay hoạt động. Chiến lư</w:t>
      </w:r>
      <w:r>
        <w:rPr>
          <w:shd w:val="clear" w:color="auto" w:fill="ffffff"/>
        </w:rPr>
        <w:t xml:space="preserve">ợc “Tìm Ngọc Trong Đá”: Dành cho các nhà đầu tư mạo hiểm với các khu vực như Y Tý (Bát Xát), với số vốn nhỏ và tầm nhìn trên 7-10 năm. 5: Kết Luận – Vị Thế Không Thể Lay Chuyển Bất động sản Lào Cai năm 2025 không phải là một câu chuyện tiềm năng trên giấy,</w:t>
      </w:r>
      <w:r>
        <w:rPr>
          <w:shd w:val="clear" w:color="auto" w:fill="ffffff"/>
        </w:rPr>
        <w:t xml:space="preserve"> mà là một cỗ máy đã và đang vận hành mạnh mẽ với hai động cơ song song. Kinh tế cửa khẩu mang lại sức sống thương mại bền bỉ cho TP. Lào Cai, trong khi ngành du lịch cao cấp liên tục được nâng tầm bởi các nhà đầu tư chiến lược, biến Sa Pa thành một “mỏ và</w:t>
      </w:r>
      <w:r>
        <w:rPr>
          <w:shd w:val="clear" w:color="auto" w:fill="ffffff"/>
        </w:rPr>
        <w:t xml:space="preserve">ng” thực sự. Với cú hích từ sân bay Sa Pa đang đến gần, có thể khẳng định rằng chu kỳ tăng trưởng quan trọng nhất của thị trường này vẫn còn ở phía trước. Lào Cai không chỉ là cửa ngõ của Việt Nam ra thế giới, mà còn là cánh cửa mở ra những cơ hội đầu tư v</w:t>
      </w:r>
      <w:r>
        <w:rPr>
          <w:shd w:val="clear" w:color="auto" w:fill="ffffff"/>
        </w:rPr>
        <w:t xml:space="preserve">ô giá.Đối với các nhà đầu tư có tầm nhìn, chiến lược và sự am hiểu sâu sắc, Lào Cai không chỉ là một điểm đến, mà là một di sản đầu tư có giá trị vượt thời gian.</w:t>
        <w:br/>
        <w:t xml:space="preserve">(Trích dẫn: https://vinhomes-land.vn/bat-dong-san-lao-cai-2025-tiem-nang-tu-cua-khau-sa-pa/)</w:t>
      </w:r>
      <w:r>
        <w:rPr>
          <w:i/>
          <w:iCs/>
          <w:lang w:val="pt-BR"/>
        </w:rPr>
      </w:r>
      <w:r>
        <w:rPr>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Quyền sử dụng đất tại thửa đất số 13, Tờ bản đồ số P3-12  có địa chỉ trên sổ Thôn Phú Cường 2, TT Phố Lu, huyện Bảo Thắng, tỉnh Lào Cai theo Giấy chứng nhận quyền sử dụ</w:t>
            </w:r>
            <w:r>
              <w:rPr>
                <w:b/>
                <w:bCs/>
                <w:color w:val="000000"/>
              </w:rPr>
              <w:t xml:space="preserve">ng đất quyền sở hữu  tài sản gắn liền với đất số AO 904410, số vào sổ H01676CM/QĐ:960 do UBND huyện Bảo Thắng cấp ngày 24/03/2009 cho chủ sử dụng đất Bà Phùng Thị Thu Vân và ông Nguyễn Thành Trung (cập nhật ngày 21/01/2016).</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P3-12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TDP Phú Cường 2, phố Lu, Bảo Thắng,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154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 120m2, Đất trồng cây lâu năm: 34m2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ONT: Lâu dài; CLN: đến tháng 01/2059</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|Tại thời điểm thẩm định giá, Tổ thẩm định giá không thu thập được thông tin quy hoạch liên quan đến thửa đất thẩm định giá.</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Quốc lộ 4E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Cách trung tâm thị trấn khoảng 500m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Các hướng khác: Tiếp giáp thửa đất khác.</w:t>
              <w:br/>
              <w:t xml:space="preserve">Hướng Đông Bắc: Tiếp giáp đường giao thông.</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22.323561</w:t>
            </w:r>
            <w:r>
              <w:rPr>
                <w:color w:val="000000"/>
              </w:rPr>
              <w:t xml:space="preserve">, </w:t>
            </w:r>
            <w:r>
              <w:rPr>
                <w:color w:val="000000"/>
              </w:rPr>
              <w:t xml:space="preserve">104.192012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652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652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43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8.8</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17.5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Trung tâm hành chính: 500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jc w:val="both"/>
              <w:rPr>
                <w:b w:val="0"/>
                <w:bCs w:val="0"/>
                <w:color w:val="000000"/>
              </w:rPr>
            </w:pPr>
            <w:r>
              <w:rPr>
                <w:b w:val="0"/>
                <w:bCs w:val="0"/>
                <w:color w:val="000000"/>
              </w:rPr>
              <w:t xml:space="preserve">Tài</w:t>
            </w:r>
            <w:r>
              <w:rPr>
                <w:b w:val="0"/>
                <w:bCs w:val="0"/>
                <w:color w:val="000000"/>
              </w:rPr>
              <w:t xml:space="preserve"> </w:t>
            </w:r>
            <w:r>
              <w:rPr>
                <w:b w:val="0"/>
                <w:bCs w:val="0"/>
                <w:color w:val="000000"/>
              </w:rPr>
              <w:t xml:space="preserve">sản</w:t>
            </w:r>
            <w:r>
              <w:rPr>
                <w:b w:val="0"/>
                <w:bCs w:val="0"/>
                <w:color w:val="000000"/>
              </w:rPr>
              <w:t xml:space="preserve"> </w:t>
            </w:r>
            <w:r>
              <w:rPr>
                <w:b w:val="0"/>
                <w:bCs w:val="0"/>
                <w:color w:val="000000"/>
              </w:rPr>
              <w:t xml:space="preserve">gắn</w:t>
            </w:r>
            <w:r>
              <w:rPr>
                <w:b w:val="0"/>
                <w:bCs w:val="0"/>
                <w:color w:val="000000"/>
              </w:rPr>
              <w:t xml:space="preserve"> </w:t>
            </w:r>
            <w:r>
              <w:rPr>
                <w:b w:val="0"/>
                <w:bCs w:val="0"/>
                <w:color w:val="000000"/>
              </w:rPr>
              <w:t xml:space="preserve">liền</w:t>
            </w:r>
            <w:r>
              <w:rPr>
                <w:b w:val="0"/>
                <w:bCs w:val="0"/>
                <w:color w:val="000000"/>
              </w:rPr>
              <w:t xml:space="preserve"> </w:t>
            </w:r>
            <w:r>
              <w:rPr>
                <w:b w:val="0"/>
                <w:bCs w:val="0"/>
                <w:color w:val="000000"/>
              </w:rPr>
              <w:t xml:space="preserve">với</w:t>
            </w:r>
            <w:r>
              <w:rPr>
                <w:b w:val="0"/>
                <w:bCs w:val="0"/>
                <w:color w:val="000000"/>
              </w:rPr>
              <w:t xml:space="preserve"> đất: Tại thời điê</w:t>
            </w:r>
            <w:r>
              <w:rPr>
                <w:b w:val="0"/>
                <w:bCs w:val="0"/>
                <w:color w:val="000000"/>
              </w:rPr>
              <w:t xml:space="preserve">̉m thẩm định giá, công trình trên đất là nhà 3 tầng, mái bằng bê tông cốt thép đang được sửa chữa bên trong. Theo thống nhất với khách hàng và ngân hàng, tổ thẩm định giá không xác định giá trị công trình xây dựng trên đất.</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TDP Phú Cường 2, phố Lu, Bảo Thắng, Lào Cai ✔</w:t>
            </w:r>
            <w:r/>
          </w:p>
        </w:tc>
        <w:tc>
          <w:tcPr>
            <w:tcBorders/>
            <w:tcW w:w="1605" w:type="dxa"/>
            <w:vAlign w:val="center"/>
            <w:textDirection w:val="lrTb"/>
            <w:noWrap w:val="false"/>
          </w:tcPr>
          <w:p>
            <w:pPr>
              <w:pBdr/>
              <w:spacing/>
              <w:ind/>
              <w:jc w:val="center"/>
              <w:rPr/>
            </w:pPr>
            <w:r>
              <w:t xml:space="preserve">Thị trấn Phố Lu, Huyện Bảo Thắng, Tỉnh Lào Cai</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Đường Quốc lộ 4E, Thị trấn Phố Lu, Huyện Bảo Thắng, Tỉnh Lào Cai</w:t>
            </w:r>
            <w:r/>
          </w:p>
        </w:tc>
        <w:tc>
          <w:tcPr>
            <w:tcBorders/>
            <w:tcW w:w="1605" w:type="dxa"/>
            <w:vAlign w:val="center"/>
            <w:textDirection w:val="lrTb"/>
            <w:noWrap w:val="false"/>
          </w:tcPr>
          <w:p>
            <w:pPr>
              <w:pBdr/>
              <w:spacing/>
              <w:ind/>
              <w:jc w:val="center"/>
              <w:rPr/>
            </w:pPr>
            <w:r>
              <w:t xml:space="preserve">Đường Hoàng Sào, xã phố Lu, tỉnh Lào Cai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 Đất trồng cây lâu năm ✔</w:t>
            </w:r>
            <w:r/>
          </w:p>
        </w:tc>
        <w:tc>
          <w:tcPr>
            <w:tcBorders/>
            <w:tcW w:w="1605" w:type="dxa"/>
            <w:vAlign w:val="center"/>
            <w:textDirection w:val="lrTb"/>
            <w:noWrap w:val="false"/>
          </w:tcPr>
          <w:p>
            <w:pPr>
              <w:pBdr/>
              <w:spacing/>
              <w:ind/>
              <w:jc w:val="center"/>
              <w:rPr/>
            </w:pPr>
            <w:r>
              <w:t xml:space="preserve">Đất ở tại đô thị</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154</w:t>
            </w:r>
            <w:r/>
          </w:p>
        </w:tc>
        <w:tc>
          <w:tcPr>
            <w:tcBorders/>
            <w:tcW w:w="1605" w:type="dxa"/>
            <w:vAlign w:val="center"/>
            <w:textDirection w:val="lrTb"/>
            <w:noWrap w:val="false"/>
          </w:tcPr>
          <w:p>
            <w:pPr>
              <w:pBdr/>
              <w:spacing/>
              <w:ind/>
              <w:jc w:val="center"/>
              <w:rPr/>
            </w:pPr>
            <w:r>
              <w:t xml:space="preserve">154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8.8</w:t>
            </w:r>
            <w:r/>
          </w:p>
        </w:tc>
        <w:tc>
          <w:tcPr>
            <w:tcBorders/>
            <w:tcW w:w="1605" w:type="dxa"/>
            <w:vAlign w:val="center"/>
            <w:textDirection w:val="lrTb"/>
            <w:noWrap w:val="false"/>
          </w:tcPr>
          <w:p>
            <w:pPr>
              <w:pBdr/>
              <w:spacing/>
              <w:ind/>
              <w:jc w:val="center"/>
              <w:rPr/>
            </w:pPr>
            <w:r>
              <w:t xml:space="preserve">8.8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17.5 ✔</w:t>
            </w:r>
            <w:r/>
          </w:p>
        </w:tc>
        <w:tc>
          <w:tcPr>
            <w:tcBorders/>
            <w:tcW w:w="1605" w:type="dxa"/>
            <w:vAlign w:val="center"/>
            <w:textDirection w:val="lrTb"/>
            <w:noWrap w:val="false"/>
          </w:tcPr>
          <w:p>
            <w:pPr>
              <w:pBdr/>
              <w:spacing/>
              <w:ind/>
              <w:jc w:val="center"/>
              <w:rPr/>
            </w:pPr>
            <w:r>
              <w:t xml:space="preserve">17.5</w:t>
            </w:r>
            <w:r/>
          </w:p>
        </w:tc>
        <w:tc>
          <w:tcPr>
            <w:tcBorders/>
            <w:tcW w:w="1371" w:type="dxa"/>
            <w:vAlign w:val="center"/>
            <w:textDirection w:val="lrTb"/>
            <w:noWrap w:val="false"/>
          </w:tcPr>
          <w:p>
            <w:pPr>
              <w:pBdr/>
              <w:spacing/>
              <w:ind/>
              <w:jc w:val="center"/>
              <w:rPr/>
            </w:pPr>
            <w:r>
              <w:t xml:space="preserve">-17.5</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 thống nhất giữa khách hàng và ngân hàng tổ thẩm định giá không xác định giá trị công trình xây dựng trên đất.</w:t>
      </w:r>
      <w:r>
        <w:rPr>
          <w:lang w:val="de-DE"/>
        </w:rPr>
      </w:r>
      <w:r>
        <w:rPr>
          <w:lang w:val="de-DE"/>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Quốc lộ 4E, Thị trấn Phố Lu, Huyện Bảo Thắng,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Quốc Lộ 151, Thị trấn Phố Lu, Huyện Bảo Thắng,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Quốc lộ 4E, Thị trấn Phố Lu, Huyện Bảo Thắng,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Tằng Loỏng, Huyện Bảo Thắng, Tỉnh Lào Cai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https://batdongsan.com.vn/ban-nha-mat-pho-duong-quoc-lo-151-thi-tran-tang-loong/ban-2-dat-tl151-ong-8m-tien-dang-cho-thue-5tr-thang-pr44652480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https://www.facebook.com/ha.bat.ong.san.822767/posts/pfbid02HiifYvX8jv4zfJE8VMnvCNfow4SprkVrUYM71Nvvvhub9zE7RVRWZc9ponjUNpDLl?rdid=JzK5AZVHKtMTnLtV#</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Bảng giá đất</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0982621588</w:t>
            </w:r>
            <w:r>
              <w:rPr>
                <w:sz w:val="22"/>
                <w:szCs w:val="22"/>
              </w:rPr>
              <w:t xml:space="preserve"> </w:t>
            </w:r>
            <w:r>
              <w:rPr>
                <w:sz w:val="22"/>
                <w:szCs w:val="22"/>
              </w:rPr>
              <w:br/>
              <w:t xml:space="preserve">(</w:t>
            </w:r>
            <w:r>
              <w:rPr>
                <w:sz w:val="22"/>
                <w:szCs w:val="22"/>
              </w:rPr>
              <w:t xml:space="preserve">sales</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0987.711.455</w:t>
            </w:r>
            <w:r>
              <w:rPr>
                <w:sz w:val="22"/>
                <w:szCs w:val="22"/>
              </w:rPr>
              <w:br/>
            </w:r>
            <w:r>
              <w:rPr>
                <w:sz w:val="22"/>
                <w:szCs w:val="22"/>
              </w:rPr>
              <w:t xml:space="preserve">(</w:t>
            </w:r>
            <w:r>
              <w:rPr>
                <w:sz w:val="22"/>
                <w:szCs w:val="22"/>
              </w:rPr>
              <w:t xml:space="preserve">bđs</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012345678</w:t>
            </w:r>
            <w:r>
              <w:rPr>
                <w:sz w:val="22"/>
                <w:szCs w:val="22"/>
              </w:rPr>
              <w:br/>
            </w:r>
            <w:r>
              <w:rPr>
                <w:sz w:val="22"/>
                <w:szCs w:val="22"/>
              </w:rPr>
              <w:t xml:space="preserve">(</w:t>
            </w:r>
            <w:r>
              <w:rPr>
                <w:sz w:val="22"/>
                <w:szCs w:val="22"/>
              </w:rPr>
              <w:t xml:space="preserve">Bảng giá đất</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(120 m²), Đất trồng cây lâu năm (34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Quốc lộ 4E, Thị trấn Phố Lu, Huyện Bảo Thắng, Tỉnh Lào Cai, độ rộng đường trước mặt tài sản 10m, mặt tiền 8.8m, 22.323333333333, 104.19213888889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Quốc Lộ 151, Thị trấn Phố Lu, Huyện Bảo Thắng, Tỉnh Lào Cai, độ rộng đường trước mặt tài sản 20m, mặt tiền 5m, 22.317805555555555, 104.11455555555555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Quốc lộ 4E, Thị trấn Phố Lu, Huyện Bảo Thắng, Tỉnh Lào Cai, độ rộng đường trước mặt tài sản 7m, mặt tiền 6m, 22.325277777777778, 104.17355555555557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Tằng Loỏng, Huyện Bảo Thắng, Tỉnh Lào Cai, đường Tài sản tiếp giáp với DT151, độ rộng đường trước mặt tài sản 7m, mặt tiền 5m, 22.316903604848974, 104.11484098611692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8.550.000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855.000.000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8.550.000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(120 m²), Đất trồng cây lâu năm (34 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Quốc lộ 4E, Thị trấn Phố Lu, Huyện Bảo Thắng, Tỉnh Lào Cai, độ rộng đường trước mặt tài sản 10m, mặt tiền 8.8m, 22.323333333333, 104.19213888889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Quốc Lộ 151, Thị trấn Phố Lu, Huyện Bảo Thắng, Tỉnh Lào Cai, độ rộng đường trước mặt tài sản 20m, mặt tiền 5m, 22.317805555555555, 104.11455555555555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Quốc lộ 4E, Thị trấn Phố Lu, Huyện Bảo Thắng, Tỉnh Lào Cai, độ rộng đường trước mặt tài sản 7m, mặt tiền 6m, 22.325277777777778, 104.17355555555557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Thị trấn Tằng Loỏng, Huyện Bảo Thắng, Tỉnh Lào Cai, đường Tài sản tiếp giáp với DT151, độ rộng đường trước mặt tài sản 7m, mặt tiền 5m, 22.316903604848974, 104.11484098611692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Không có bất lợi thương mạ</w:t>
            </w:r>
            <w:r>
              <w:rPr>
                <w:color w:val="000000" w:themeColor="text1"/>
                <w:sz w:val="22"/>
                <w:szCs w:val="22"/>
              </w:rPr>
              <w:t xml:space="preserve">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443"/>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highlight w:val="none"/>
              </w:rPr>
            </w:r>
            <w:r>
              <w:rPr>
                <w:color w:val="000000" w:themeColor="text1"/>
                <w:sz w:val="22"/>
                <w:szCs w:val="22"/>
                <w:highlight w:val="none"/>
              </w:rPr>
            </w:r>
            <w:r>
              <w:rPr>
                <w:b/>
                <w:bCs/>
                <w:color w:val="000000"/>
                <w:sz w:val="22"/>
                <w:szCs w:val="22"/>
              </w:rPr>
            </w:r>
          </w:p>
          <w:p>
            <w:pPr>
              <w:pBdr/>
              <w:spacing/>
              <w:ind/>
              <w:jc w:val="center"/>
              <w:rPr>
                <w:color w:val="000000" w:themeColor="text1"/>
                <w:sz w:val="22"/>
                <w:szCs w:val="22"/>
                <w:highlight w:val="none"/>
              </w:rPr>
            </w:pPr>
            <w:r>
              <w:rPr>
                <w:color w:val="000000" w:themeColor="text1"/>
                <w:sz w:val="22"/>
                <w:szCs w:val="22"/>
              </w:rPr>
              <w:t xml:space="preserve">Bình thường</w:t>
            </w:r>
            <w:r>
              <w:rPr>
                <w:b/>
                <w:bCs/>
                <w:color w:val="000000"/>
                <w:sz w:val="22"/>
                <w:szCs w:val="22"/>
              </w:rPr>
            </w:r>
            <w:r>
              <w:rPr>
                <w:color w:val="000000" w:themeColor="text1"/>
                <w:sz w:val="22"/>
                <w:szCs w:val="22"/>
                <w:highlight w:val="none"/>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11.250.000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8.970.000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9.832.500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10.017.500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11.250.000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1.282.500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11.250.000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1.170.000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1.282.500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-10.46</w:t>
      </w:r>
      <w:r>
        <w:t xml:space="preserve">% </w:t>
      </w:r>
      <w:r>
        <w:t xml:space="preserve">đến</w:t>
      </w:r>
      <w:r>
        <w:t xml:space="preserve"> </w:t>
      </w:r>
      <w:r>
        <w:t xml:space="preserve"> </w:t>
      </w:r>
      <w:r>
        <w:t xml:space="preserve">12.3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11.250.000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3.750.750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8.970.000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2.989.701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9.832.500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3.277.172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10.017.623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10.000.000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Quyền sử dụng đất tại thửa đất số 13, Tờ bản đồ số P3-12  có địa chỉ trên sổ Thôn Phú Cường 2, TT Phố Lu, huyện Bảo Thắng, tỉnh Lào Cai theo Giấy chứng nhận quyền sử dụ</w:t>
            </w:r>
            <w:r>
              <w:rPr>
                <w:color w:val="000000"/>
              </w:rPr>
              <w:t xml:space="preserve">ng đất quyền sở hữu  tài sản gắn liền với đất số AO 904410, số vào sổ H01676CM/QĐ:960 do UBND huyện Bảo Thắng cấp ngày 24/03/2009 cho chủ sử dụng đất Bà Phùng Thị Thu Vân và ông Nguyễn Thành Trung (cập nhật ngày 21/01/2016).</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r/>
          </w:p>
        </w:tc>
        <w:tc>
          <w:tcPr>
            <w:shd w:val="clear" w:color="000000" w:fill="ffffff"/>
            <w:tcBorders/>
            <w:tcW w:w="2025" w:type="dxa"/>
            <w:vAlign w:val="center"/>
            <w:textDirection w:val="lrTb"/>
            <w:noWrap w:val="false"/>
          </w:tcPr>
          <w:p>
            <w:pPr>
              <w:pBdr/>
              <w:spacing w:after="40" w:before="40" w:line="288" w:lineRule="auto"/>
              <w:ind/>
              <w:rPr/>
            </w:pPr>
            <w:r>
              <w:rPr>
                <w:b/>
                <w:bCs/>
              </w:rPr>
              <w:t xml:space="preserve">Quyền sử dụng đất</w:t>
            </w:r>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154</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10.000.000</w:t>
            </w:r>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1.540.000.000</w:t>
            </w:r>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pPr>
            <w:r>
              <w:rPr>
                <w:color w:val="000000" w:themeColor="text1"/>
              </w:rPr>
              <w:t xml:space="preserve">1.540.000.000</w:t>
            </w:r>
            <w: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năm trăm bốn mươi triệu đồng chẵn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275/2026/0229/VFI-CT.52.A</w:t>
      </w:r>
      <w:r>
        <w:rPr>
          <w:color w:val="ff0000"/>
          <w:lang w:val="vi-VN"/>
        </w:rPr>
        <w:t xml:space="preserve"> </w:t>
      </w:r>
      <w:r>
        <w:rPr>
          <w:color w:val="000000" w:themeColor="text1"/>
        </w:rPr>
        <w:t xml:space="preserve">ngày 29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X15.1419</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ind/>
              <w:rPr/>
            </w:pPr>
            <w:r/>
            <w:r/>
          </w:p>
        </w:tc>
        <w:tc>
          <w:tcPr>
            <w:tcBorders/>
            <w:tcW w:w="2445" w:type="pct"/>
            <w:vAlign w:val="bottom"/>
            <w:textDirection w:val="lrTb"/>
            <w:noWrap w:val="false"/>
          </w:tcPr>
          <w:p>
            <w:pPr>
              <w:pBdr/>
              <w:spacing/>
              <w:ind/>
              <w:rPr/>
            </w:pPr>
            <w:r/>
            <w:r/>
          </w:p>
        </w:tc>
      </w:tr>
      <w:tr>
        <w:trPr>
          <w:trHeight w:val="1430"/>
        </w:trPr>
        <w:tc>
          <w:tcPr>
            <w:tcBorders/>
            <w:tcW w:w="2555" w:type="pct"/>
            <w:vAlign w:val="center"/>
            <w:textDirection w:val="lrTb"/>
            <w:noWrap w:val="false"/>
          </w:tcPr>
          <w:p>
            <w:pPr>
              <w:pBdr/>
              <w:spacing/>
              <w:ind/>
              <w:rPr/>
            </w:pPr>
            <w:r/>
            <w:r/>
          </w:p>
        </w:tc>
        <w:tc>
          <w:tcPr>
            <w:tcBorders/>
            <w:tcW w:w="2445" w:type="pct"/>
            <w:vAlign w:val="bottom"/>
            <w:textDirection w:val="lrTb"/>
            <w:noWrap w:val="false"/>
          </w:tcPr>
          <w:p>
            <w:pPr>
              <w:pBdr/>
              <w:spacing/>
              <w:ind/>
              <w:rPr/>
            </w:pPr>
            <w:r/>
            <w:r/>
          </w:p>
        </w:tc>
      </w:tr>
      <w:tr>
        <w:trPr>
          <w:trHeight w:val="20"/>
        </w:trPr>
        <w:tc>
          <w:tcPr>
            <w:tcBorders/>
            <w:tcW w:w="2555" w:type="pct"/>
            <w:vAlign w:val="center"/>
            <w:textDirection w:val="lrTb"/>
            <w:noWrap w:val="false"/>
          </w:tcPr>
          <w:p>
            <w:pPr>
              <w:pBdr/>
              <w:spacing/>
              <w:ind/>
              <w:rPr/>
            </w:pPr>
            <w:r/>
            <w:r/>
          </w:p>
        </w:tc>
        <w:tc>
          <w:tcPr>
            <w:tcBorders/>
            <w:tcW w:w="2445" w:type="pct"/>
            <w:vAlign w:val="center"/>
            <w:textDirection w:val="lrTb"/>
            <w:noWrap w:val="false"/>
          </w:tcPr>
          <w:p>
            <w:pPr>
              <w:pBdr/>
              <w:spacing/>
              <w:ind/>
              <w:rPr/>
            </w:pPr>
            <w: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275/2026/0229/VFI-BC.52.A</w:t>
      </w:r>
      <w:r>
        <w:rPr>
          <w:i/>
          <w:lang w:val="pt-BR"/>
        </w:rPr>
        <w:t xml:space="preserve"> </w:t>
      </w:r>
      <w:r>
        <w:rPr>
          <w:i/>
          <w:lang w:val="pt-BR"/>
        </w:rPr>
        <w:t xml:space="preserve">29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2.50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bCs/>
          <w:i/>
          <w:highlight w:val="none"/>
          <w:lang w:val="pt-BR"/>
        </w:rPr>
      </w:pPr>
      <w:r>
        <w:rPr>
          <w:b/>
          <w:highlight w:val="none"/>
        </w:rPr>
        <w:t xml:space="preserve">GIẤY CHỨNG NHẬN QUYỀN SỬ DỤNG ĐẤT</w:t>
      </w:r>
      <w:r>
        <w:rPr>
          <w:bCs/>
          <w:i/>
          <w:lang w:val="pt-BR"/>
        </w:rPr>
      </w:r>
      <w:r>
        <w:rPr>
          <w:b/>
          <w:bCs/>
          <w:highlight w:val="none"/>
        </w:rPr>
      </w:r>
    </w:p>
    <w:p>
      <w:pPr>
        <w:pBdr/>
        <w:spacing w:after="200" w:line="276" w:lineRule="auto"/>
        <w:ind/>
        <w:jc w:val="center"/>
        <w:rPr>
          <w:bCs/>
          <w:i/>
          <w:highlight w:val="none"/>
          <w:lang w:val="pt-BR"/>
        </w:rPr>
      </w:pPr>
      <w:r>
        <w:rPr>
          <w:bCs/>
          <w:i/>
          <w:highlight w:val="none"/>
          <w:lang w:val="pt-BR"/>
        </w:rPr>
      </w:r>
      <w:r>
        <mc:AlternateContent>
          <mc:Choice Requires="wpg">
            <w:drawing>
              <wp:inline xmlns:wp="http://schemas.openxmlformats.org/drawingml/2006/wordprocessingDrawing" distT="0" distB="0" distL="0" distR="0">
                <wp:extent cx="4000500" cy="41148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082641" name=""/>
                        <pic:cNvPicPr>
                          <a:picLocks noChangeAspect="1"/>
                        </pic:cNvPicPr>
                        <pic:nvPr/>
                      </pic:nvPicPr>
                      <pic:blipFill rotWithShape="1">
                        <a:blip r:embed="rId24"/>
                        <a:stretch/>
                      </pic:blipFill>
                      <pic:spPr bwMode="auto">
                        <a:xfrm>
                          <a:off x="0" y="0"/>
                          <a:ext cx="4000500" cy="4114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15.00pt;height:324.00pt;mso-wrap-distance-left:0.00pt;mso-wrap-distance-top:0.00pt;mso-wrap-distance-right:0.00pt;mso-wrap-distance-bottom:0.00pt;z-index:1;" stroked="false">
                <v:imagedata r:id="rId24" o:title=""/>
                <o:lock v:ext="edit" rotation="t"/>
              </v:shape>
            </w:pict>
          </mc:Fallback>
        </mc:AlternateContent>
      </w:r>
      <w:r>
        <w:rPr>
          <w:bCs/>
          <w:i/>
          <w:highlight w:val="none"/>
          <w:lang w:val="pt-BR"/>
        </w:rPr>
      </w:r>
      <w:r>
        <w:rPr>
          <w:bCs/>
          <w:i/>
          <w:highlight w:val="none"/>
          <w:lang w:val="pt-BR"/>
        </w:rPr>
      </w:r>
      <w:r>
        <w:rPr>
          <w:b/>
          <w:bCs/>
          <w:highlight w:val="none"/>
        </w:rPr>
      </w:r>
    </w:p>
    <w:p>
      <w:pPr>
        <w:pBdr/>
        <w:spacing w:after="200" w:line="276" w:lineRule="auto"/>
        <w:ind/>
        <w:jc w:val="center"/>
        <w:rPr>
          <w:bCs/>
          <w:i/>
          <w:highlight w:val="none"/>
          <w:lang w:val="pt-BR"/>
        </w:rPr>
      </w:pPr>
      <w:r>
        <w:rPr>
          <w:bCs/>
          <w:i/>
          <w:highlight w:val="none"/>
          <w:lang w:val="pt-BR"/>
        </w:rPr>
      </w:r>
      <w:r>
        <mc:AlternateContent>
          <mc:Choice Requires="wpg">
            <w:drawing>
              <wp:inline xmlns:wp="http://schemas.openxmlformats.org/drawingml/2006/wordprocessingDrawing" distT="0" distB="0" distL="0" distR="0">
                <wp:extent cx="6048375" cy="845102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517057" name=""/>
                        <pic:cNvPicPr>
                          <a:picLocks noChangeAspect="1"/>
                        </pic:cNvPicPr>
                        <pic:nvPr/>
                      </pic:nvPicPr>
                      <pic:blipFill rotWithShape="1">
                        <a:blip r:embed="rId25"/>
                        <a:stretch/>
                      </pic:blipFill>
                      <pic:spPr bwMode="auto">
                        <a:xfrm>
                          <a:off x="0" y="0"/>
                          <a:ext cx="6048374" cy="84510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65.44pt;mso-wrap-distance-left:0.00pt;mso-wrap-distance-top:0.00pt;mso-wrap-distance-right:0.00pt;mso-wrap-distance-bottom:0.00pt;z-index:1;" stroked="false">
                <v:imagedata r:id="rId25" o:title=""/>
                <o:lock v:ext="edit" rotation="t"/>
              </v:shape>
            </w:pict>
          </mc:Fallback>
        </mc:AlternateContent>
      </w:r>
      <w:r>
        <w:rPr>
          <w:bCs/>
          <w:i/>
          <w:highlight w:val="none"/>
          <w:lang w:val="pt-BR"/>
        </w:rPr>
      </w:r>
      <w:r>
        <w:rPr>
          <w:bCs/>
          <w:i/>
          <w:highlight w:val="none"/>
          <w:lang w:val="pt-BR"/>
        </w:rPr>
      </w:r>
      <w:r>
        <w:rPr>
          <w:b/>
          <w:bCs/>
          <w:highlight w:val="none"/>
        </w:rPr>
      </w:r>
    </w:p>
    <w:p>
      <w:pPr>
        <w:pBdr/>
        <w:spacing w:after="200" w:line="276" w:lineRule="auto"/>
        <w:ind/>
        <w:jc w:val="center"/>
        <w:rPr>
          <w:bCs/>
          <w:i/>
          <w:highlight w:val="none"/>
          <w:lang w:val="pt-BR"/>
        </w:rPr>
      </w:pPr>
      <w:r>
        <w:rPr>
          <w:bCs/>
          <w:i/>
          <w:highlight w:val="none"/>
          <w:lang w:val="pt-BR"/>
        </w:rPr>
      </w:r>
      <w:r>
        <mc:AlternateContent>
          <mc:Choice Requires="wpg">
            <w:drawing>
              <wp:inline xmlns:wp="http://schemas.openxmlformats.org/drawingml/2006/wordprocessingDrawing" distT="0" distB="0" distL="0" distR="0">
                <wp:extent cx="6048375" cy="83542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684824" name=""/>
                        <pic:cNvPicPr>
                          <a:picLocks noChangeAspect="1"/>
                        </pic:cNvPicPr>
                        <pic:nvPr/>
                      </pic:nvPicPr>
                      <pic:blipFill rotWithShape="1">
                        <a:blip r:embed="rId26"/>
                        <a:stretch/>
                      </pic:blipFill>
                      <pic:spPr bwMode="auto">
                        <a:xfrm>
                          <a:off x="0" y="0"/>
                          <a:ext cx="6048374" cy="83542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57.82pt;mso-wrap-distance-left:0.00pt;mso-wrap-distance-top:0.00pt;mso-wrap-distance-right:0.00pt;mso-wrap-distance-bottom:0.00pt;z-index:1;" stroked="false">
                <v:imagedata r:id="rId26" o:title=""/>
                <o:lock v:ext="edit" rotation="t"/>
              </v:shape>
            </w:pict>
          </mc:Fallback>
        </mc:AlternateContent>
      </w:r>
      <w:r>
        <w:rPr>
          <w:bCs/>
          <w:i/>
          <w:highlight w:val="none"/>
          <w:lang w:val="pt-BR"/>
        </w:rPr>
      </w:r>
      <w:r>
        <w:rPr>
          <w:bCs/>
          <w:i/>
          <w:highlight w:val="none"/>
          <w:lang w:val="pt-BR"/>
        </w:rPr>
      </w:r>
      <w:r>
        <w:rPr>
          <w:b/>
          <w:bCs/>
          <w:highlight w:val="none"/>
        </w:rPr>
      </w:r>
    </w:p>
    <w:p>
      <w:pPr>
        <w:pBdr/>
        <w:spacing w:after="200" w:line="276" w:lineRule="auto"/>
        <w:ind/>
        <w:jc w:val="center"/>
        <w:rPr>
          <w:b/>
          <w:bCs/>
          <w:highlight w:val="none"/>
        </w:rPr>
      </w:pPr>
      <w:r>
        <w:rPr>
          <w:bCs/>
          <w:i/>
          <w:highlight w:val="none"/>
          <w:lang w:val="pt-BR"/>
        </w:rPr>
      </w:r>
      <w:r>
        <mc:AlternateContent>
          <mc:Choice Requires="wpg">
            <w:drawing>
              <wp:inline xmlns:wp="http://schemas.openxmlformats.org/drawingml/2006/wordprocessingDrawing" distT="0" distB="0" distL="0" distR="0">
                <wp:extent cx="6048375" cy="839897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84540" name=""/>
                        <pic:cNvPicPr>
                          <a:picLocks noChangeAspect="1"/>
                        </pic:cNvPicPr>
                        <pic:nvPr/>
                      </pic:nvPicPr>
                      <pic:blipFill rotWithShape="1">
                        <a:blip r:embed="rId27"/>
                        <a:stretch/>
                      </pic:blipFill>
                      <pic:spPr bwMode="auto">
                        <a:xfrm>
                          <a:off x="0" y="0"/>
                          <a:ext cx="6048374" cy="83989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61.34pt;mso-wrap-distance-left:0.00pt;mso-wrap-distance-top:0.00pt;mso-wrap-distance-right:0.00pt;mso-wrap-distance-bottom:0.00pt;z-index:1;" stroked="false">
                <v:imagedata r:id="rId27" o:title=""/>
                <o:lock v:ext="edit" rotation="t"/>
              </v:shape>
            </w:pict>
          </mc:Fallback>
        </mc:AlternateContent>
      </w:r>
      <w:r>
        <w:rPr>
          <w:bCs/>
          <w:i/>
          <w:highlight w:val="none"/>
          <w:lang w:val="pt-BR"/>
        </w:rPr>
      </w:r>
      <w:r>
        <w:rPr>
          <w:bCs/>
          <w:i/>
          <w:highlight w:val="none"/>
          <w:lang w:val="pt-BR"/>
        </w:rPr>
      </w:r>
      <w:r>
        <w:rPr>
          <w:bCs/>
          <w:i/>
          <w:highlight w:val="none"/>
          <w:lang w:val="pt-BR"/>
        </w:rPr>
      </w:r>
    </w:p>
    <w:p>
      <w:pPr>
        <w:pBdr/>
        <w:spacing w:after="200" w:line="276" w:lineRule="auto"/>
        <w:ind/>
        <w:jc w:val="center"/>
        <w:rPr>
          <w:bCs/>
          <w:i/>
          <w:lang w:val="pt-BR"/>
        </w:rPr>
      </w:pPr>
      <w:r>
        <w:rPr>
          <w:b/>
          <w:highlight w:val="none"/>
          <w:lang w:val="pt-BR" w:bidi="pt-BR"/>
        </w:rPr>
      </w:r>
      <w:r>
        <w:rPr>
          <w:b/>
          <w:highlight w:val="none"/>
          <w:lang w:val="pt-BR"/>
        </w:rPr>
      </w:r>
      <w:r>
        <w:rPr>
          <w:bCs/>
          <w:i/>
          <w:lang w:val="pt-BR"/>
        </w:rPr>
      </w:r>
    </w:p>
    <w:p>
      <w:pPr>
        <w:pBdr/>
        <w:spacing w:after="200" w:line="276" w:lineRule="auto"/>
        <w:ind/>
        <w:jc w:val="center"/>
        <w:rPr>
          <w:b/>
          <w:bCs/>
          <w:highlight w:val="none"/>
        </w:rPr>
      </w:pPr>
      <w:r>
        <w:rPr>
          <w:b/>
          <w:highlight w:val="none"/>
        </w:rPr>
      </w:r>
      <w:r>
        <w:rPr>
          <w:b/>
          <w:highlight w:val="none"/>
        </w:rPr>
      </w:r>
      <w:r>
        <w:rPr>
          <w:b/>
          <w:highlight w:val="none"/>
        </w:rPr>
      </w:r>
    </w:p>
    <w:p>
      <w:pPr>
        <w:pBdr/>
        <w:spacing w:after="200" w:line="276" w:lineRule="auto"/>
        <w:ind/>
        <w:jc w:val="center"/>
        <w:rPr>
          <w:b/>
          <w:bCs/>
          <w:highlight w:val="none"/>
        </w:rPr>
      </w:pPr>
      <w:r>
        <w:rPr>
          <w:b/>
          <w:highlight w:val="none"/>
        </w:rPr>
        <w:t xml:space="preserve">BIÊN BẢN KIỂM TRA HIỆN TRẠNG</w:t>
      </w:r>
      <w:r>
        <w:rPr>
          <w:b/>
          <w:bCs/>
          <w:highlight w:val="none"/>
        </w:rPr>
      </w:r>
    </w:p>
    <w:p>
      <w:pPr>
        <w:pBdr/>
        <w:spacing w:after="200" w:line="276" w:lineRule="auto"/>
        <w:ind/>
        <w:jc w:val="center"/>
        <w:rPr>
          <w:b/>
          <w:bCs/>
          <w:highlight w:val="none"/>
        </w:rPr>
      </w:pPr>
      <w:r>
        <w:rPr>
          <w:b/>
          <w:highlight w:val="none"/>
        </w:rPr>
      </w:r>
      <w:r>
        <w:rPr>
          <w:b/>
          <w:highlight w:val="none"/>
        </w:rPr>
      </w:r>
      <w:r>
        <w:rPr>
          <w:b/>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275/2026/0229/VFI-BC.52.A</w:t>
      </w:r>
      <w:r>
        <w:rPr>
          <w:i/>
          <w:lang w:val="pt-BR"/>
        </w:rPr>
        <w:t xml:space="preserve"> </w:t>
      </w:r>
      <w:r>
        <w:rPr>
          <w:i/>
          <w:lang w:val="pt-BR"/>
        </w:rPr>
        <w:t xml:space="preserve">29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https://batdongsan.com.vn/ban-nha-mat-pho-duong-quoc-lo-151-thi-tran-tang-loong/ban-2-dat-tl151-ong-8m-tien-dang-cho-thue-5tr-thang-pr44652480</w:t>
            </w:r>
            <w:r>
              <w:rPr>
                <w:color w:val="000000" w:themeColor="text1"/>
                <w:sz w:val="22"/>
                <w:szCs w:val="22"/>
              </w:rPr>
              <w:br/>
              <w:t xml:space="preserve">0982621588</w:t>
            </w:r>
            <w:r>
              <w:rPr>
                <w:sz w:val="22"/>
                <w:szCs w:val="22"/>
              </w:rPr>
              <w:t xml:space="preserve"> </w:t>
            </w:r>
            <w:r>
              <w:rPr>
                <w:sz w:val="22"/>
                <w:szCs w:val="22"/>
              </w:rPr>
              <w:br/>
              <w:t xml:space="preserve">(sales</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Quốc Lộ 151, Thị trấn Phố Lu, Huyện Bảo Thắng, Tỉnh Lào Cai, độ rộng đường trước mặt tài sản 20m, mặt tiền 5m, 22.317805555555555, 104.11455555555555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3.3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8255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7825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55.3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65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78565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0.6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Thùy</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https://www.facebook.com/ha.bat.ong.san.822767/posts/pfbid02HiifYvX8jv4zfJE8VMnvCNfow4SprkVrUYM71Nvvvhub9zE7RVRWZc9ponjUNpDLl?rdid=JzK5AZVHKtMTnLtV#</w:t>
            </w:r>
            <w:r>
              <w:rPr>
                <w:color w:val="000000" w:themeColor="text1"/>
                <w:sz w:val="22"/>
                <w:szCs w:val="22"/>
              </w:rPr>
              <w:br/>
              <w:t xml:space="preserve">0987.711.455</w:t>
            </w:r>
            <w:r>
              <w:rPr>
                <w:sz w:val="22"/>
                <w:szCs w:val="22"/>
              </w:rPr>
              <w:t xml:space="preserve"> </w:t>
            </w:r>
            <w:r>
              <w:rPr>
                <w:sz w:val="22"/>
                <w:szCs w:val="22"/>
              </w:rPr>
              <w:br/>
              <w:t xml:space="preserve">(bđs</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Quốc lộ 4E, Thị trấn Phố Lu, Huyện Bảo Thắng, Tỉnh Lào Cai, độ rộng đường trước mặt tài sản 7m, mặt tiền 6m, 22.325277777777778, 104.17355555555557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4411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8441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02.69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97886"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4978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32.9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68419"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8684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5.86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Nguyễn Thị Thùy</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Bảng giá đất</w:t>
            </w:r>
            <w:r>
              <w:rPr>
                <w:color w:val="000000" w:themeColor="text1"/>
                <w:sz w:val="22"/>
                <w:szCs w:val="22"/>
              </w:rPr>
              <w:br/>
            </w:r>
            <w:r>
              <w:rPr>
                <w:sz w:val="22"/>
                <w:szCs w:val="22"/>
              </w:rPr>
              <w:t xml:space="preserve">SĐT: </w:t>
            </w:r>
            <w:r>
              <w:rPr>
                <w:color w:val="000000" w:themeColor="text1"/>
                <w:sz w:val="22"/>
                <w:szCs w:val="22"/>
              </w:rPr>
              <w:t xml:space="preserve">012345678</w:t>
            </w:r>
            <w:r>
              <w:rPr>
                <w:sz w:val="22"/>
                <w:szCs w:val="22"/>
              </w:rPr>
              <w:t xml:space="preserve"> </w:t>
            </w:r>
            <w:r>
              <w:rPr>
                <w:sz w:val="22"/>
                <w:szCs w:val="22"/>
              </w:rPr>
              <w:br/>
              <w:t xml:space="preserve">(Bảng giá đất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Tằng Loỏng, Huyện Bảo Thắng, Tỉnh Lào Cai, đường Tài sản tiếp giáp với DT151, độ rộng đường trước mặt tài sản 7m, mặt tiền 5m, 22.316903604848974, 104.11484098611692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8255000" cy="29083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8255000" cy="29083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650.00pt;height:229.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8255000" cy="29083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8255000" cy="29083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650.00pt;height:229.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Thị Thùy </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273</cp:revision>
  <dcterms:created xsi:type="dcterms:W3CDTF">2025-09-15T09:58:00Z</dcterms:created>
  <dcterms:modified xsi:type="dcterms:W3CDTF">2026-01-29T09:17:14Z</dcterms:modified>
</cp:coreProperties>
</file>